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FC8156" w14:textId="77777777" w:rsidR="00230E57" w:rsidRPr="00CD2BAE" w:rsidRDefault="00230E57" w:rsidP="00E4549D">
      <w:pPr>
        <w:rPr>
          <w:rFonts w:ascii="Arial" w:hAnsi="Arial" w:cs="Arial"/>
        </w:rPr>
      </w:pPr>
    </w:p>
    <w:p w14:paraId="50FAACBD" w14:textId="77777777" w:rsidR="00230E57" w:rsidRPr="00CD2BAE" w:rsidRDefault="00230E57" w:rsidP="00230E57">
      <w:pPr>
        <w:jc w:val="center"/>
        <w:rPr>
          <w:rFonts w:ascii="Arial" w:hAnsi="Arial" w:cs="Arial"/>
        </w:rPr>
      </w:pPr>
    </w:p>
    <w:p w14:paraId="3BC1A919" w14:textId="77777777" w:rsidR="00230E57" w:rsidRPr="00CD2BAE" w:rsidRDefault="00230E57" w:rsidP="00230E57">
      <w:pPr>
        <w:jc w:val="center"/>
        <w:rPr>
          <w:rFonts w:ascii="Arial" w:hAnsi="Arial" w:cs="Arial"/>
        </w:rPr>
      </w:pPr>
    </w:p>
    <w:p w14:paraId="0F810724" w14:textId="32106DCF" w:rsidR="00230E57" w:rsidRPr="00CD2BAE" w:rsidRDefault="00E4549D" w:rsidP="00E4549D">
      <w:pPr>
        <w:jc w:val="center"/>
        <w:rPr>
          <w:rFonts w:ascii="Arial" w:hAnsi="Arial" w:cs="Arial"/>
        </w:rPr>
      </w:pPr>
      <w:r>
        <w:rPr>
          <w:noProof/>
        </w:rPr>
        <w:drawing>
          <wp:inline distT="0" distB="0" distL="0" distR="0" wp14:anchorId="1E7F189C" wp14:editId="0CDFCA34">
            <wp:extent cx="4387850" cy="1779206"/>
            <wp:effectExtent l="0" t="0" r="0" b="0"/>
            <wp:docPr id="5" name="Picture 5"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V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31858" cy="1797051"/>
                    </a:xfrm>
                    <a:prstGeom prst="rect">
                      <a:avLst/>
                    </a:prstGeom>
                    <a:noFill/>
                    <a:ln>
                      <a:noFill/>
                    </a:ln>
                  </pic:spPr>
                </pic:pic>
              </a:graphicData>
            </a:graphic>
          </wp:inline>
        </w:drawing>
      </w:r>
    </w:p>
    <w:p w14:paraId="63FBA87F" w14:textId="77777777" w:rsidR="00230E57" w:rsidRPr="00CD2BAE" w:rsidRDefault="00230E57" w:rsidP="00230E57">
      <w:pPr>
        <w:jc w:val="center"/>
        <w:rPr>
          <w:rFonts w:ascii="Arial" w:hAnsi="Arial" w:cs="Arial"/>
        </w:rPr>
      </w:pPr>
    </w:p>
    <w:p w14:paraId="487C07B9" w14:textId="77777777" w:rsidR="00230E57" w:rsidRPr="00CD2BAE" w:rsidRDefault="00230E57" w:rsidP="00230E57">
      <w:pPr>
        <w:jc w:val="center"/>
        <w:rPr>
          <w:rFonts w:ascii="Arial" w:hAnsi="Arial" w:cs="Arial"/>
        </w:rPr>
      </w:pPr>
    </w:p>
    <w:p w14:paraId="1417FEFB" w14:textId="50BD509E" w:rsidR="00230E57" w:rsidRPr="00CD2BAE" w:rsidRDefault="00230E57" w:rsidP="00230E57">
      <w:pPr>
        <w:jc w:val="center"/>
        <w:rPr>
          <w:rFonts w:ascii="Arial" w:hAnsi="Arial" w:cs="Arial"/>
          <w:b/>
          <w:sz w:val="32"/>
          <w:szCs w:val="32"/>
        </w:rPr>
      </w:pPr>
      <w:r w:rsidRPr="00CD2BAE">
        <w:rPr>
          <w:rFonts w:ascii="Arial" w:hAnsi="Arial" w:cs="Arial"/>
          <w:b/>
          <w:sz w:val="32"/>
          <w:szCs w:val="32"/>
        </w:rPr>
        <w:t>LCBB6002</w:t>
      </w:r>
    </w:p>
    <w:p w14:paraId="779DAF62" w14:textId="77777777" w:rsidR="00230E57" w:rsidRPr="00CD2BAE" w:rsidRDefault="00230E57" w:rsidP="00230E57">
      <w:pPr>
        <w:jc w:val="center"/>
        <w:rPr>
          <w:rFonts w:ascii="Arial" w:hAnsi="Arial" w:cs="Arial"/>
          <w:b/>
          <w:sz w:val="32"/>
          <w:szCs w:val="32"/>
        </w:rPr>
      </w:pPr>
      <w:r w:rsidRPr="00CD2BAE">
        <w:rPr>
          <w:rFonts w:ascii="Arial" w:hAnsi="Arial" w:cs="Arial"/>
          <w:b/>
          <w:sz w:val="32"/>
          <w:szCs w:val="32"/>
        </w:rPr>
        <w:t>International Financial Management</w:t>
      </w:r>
    </w:p>
    <w:p w14:paraId="775E3863" w14:textId="77777777" w:rsidR="00230E57" w:rsidRPr="00CD2BAE" w:rsidRDefault="00230E57" w:rsidP="00230E57">
      <w:pPr>
        <w:jc w:val="center"/>
        <w:rPr>
          <w:rFonts w:ascii="Arial" w:hAnsi="Arial" w:cs="Arial"/>
          <w:b/>
          <w:sz w:val="32"/>
          <w:szCs w:val="32"/>
        </w:rPr>
      </w:pPr>
      <w:r w:rsidRPr="00CD2BAE">
        <w:rPr>
          <w:rFonts w:ascii="Arial" w:hAnsi="Arial" w:cs="Arial"/>
          <w:b/>
          <w:sz w:val="32"/>
          <w:szCs w:val="32"/>
        </w:rPr>
        <w:t>Component 1- Coursework: Written Report</w:t>
      </w:r>
    </w:p>
    <w:p w14:paraId="1774DF46" w14:textId="77777777" w:rsidR="00E4549D" w:rsidRDefault="00E4549D" w:rsidP="00230E57">
      <w:pPr>
        <w:rPr>
          <w:rFonts w:ascii="Arial" w:hAnsi="Arial" w:cs="Arial"/>
          <w:sz w:val="32"/>
          <w:szCs w:val="32"/>
        </w:rPr>
      </w:pPr>
    </w:p>
    <w:p w14:paraId="78C035D6" w14:textId="77777777" w:rsidR="00E4549D" w:rsidRDefault="00E4549D" w:rsidP="00230E57">
      <w:pPr>
        <w:rPr>
          <w:rFonts w:ascii="Arial" w:hAnsi="Arial" w:cs="Arial"/>
          <w:sz w:val="32"/>
          <w:szCs w:val="32"/>
        </w:rPr>
      </w:pPr>
    </w:p>
    <w:p w14:paraId="6C999A3A" w14:textId="77777777" w:rsidR="00E4549D" w:rsidRDefault="00E4549D" w:rsidP="00230E57">
      <w:pPr>
        <w:rPr>
          <w:rFonts w:ascii="Arial" w:hAnsi="Arial" w:cs="Arial"/>
          <w:sz w:val="32"/>
          <w:szCs w:val="32"/>
        </w:rPr>
      </w:pPr>
    </w:p>
    <w:p w14:paraId="0F9D0DB5" w14:textId="77777777" w:rsidR="00E4549D" w:rsidRDefault="00E4549D" w:rsidP="00230E57">
      <w:pPr>
        <w:rPr>
          <w:rFonts w:ascii="Arial" w:hAnsi="Arial" w:cs="Arial"/>
          <w:sz w:val="32"/>
          <w:szCs w:val="32"/>
        </w:rPr>
      </w:pPr>
    </w:p>
    <w:p w14:paraId="4C768632" w14:textId="77777777" w:rsidR="00E4549D" w:rsidRDefault="00E4549D" w:rsidP="00230E57">
      <w:pPr>
        <w:rPr>
          <w:rFonts w:ascii="Arial" w:hAnsi="Arial" w:cs="Arial"/>
          <w:sz w:val="32"/>
          <w:szCs w:val="32"/>
        </w:rPr>
      </w:pPr>
    </w:p>
    <w:p w14:paraId="7C4CF136" w14:textId="77777777" w:rsidR="00E4549D" w:rsidRDefault="00E4549D" w:rsidP="00230E57">
      <w:pPr>
        <w:rPr>
          <w:rFonts w:ascii="Arial" w:hAnsi="Arial" w:cs="Arial"/>
          <w:sz w:val="32"/>
          <w:szCs w:val="32"/>
        </w:rPr>
      </w:pPr>
    </w:p>
    <w:p w14:paraId="39938846" w14:textId="77777777" w:rsidR="00E4549D" w:rsidRDefault="00E4549D" w:rsidP="00230E57">
      <w:pPr>
        <w:rPr>
          <w:rFonts w:ascii="Arial" w:hAnsi="Arial" w:cs="Arial"/>
          <w:sz w:val="32"/>
          <w:szCs w:val="32"/>
        </w:rPr>
      </w:pPr>
    </w:p>
    <w:p w14:paraId="4A5DCA93" w14:textId="77777777" w:rsidR="00E4549D" w:rsidRPr="00E4549D" w:rsidRDefault="00E4549D" w:rsidP="00E4549D">
      <w:pPr>
        <w:jc w:val="left"/>
        <w:rPr>
          <w:rFonts w:cs="Arial"/>
          <w:b/>
          <w:sz w:val="32"/>
          <w:szCs w:val="32"/>
        </w:rPr>
      </w:pPr>
      <w:r w:rsidRPr="00E4549D">
        <w:rPr>
          <w:rFonts w:cs="Arial"/>
          <w:b/>
          <w:sz w:val="32"/>
          <w:szCs w:val="32"/>
        </w:rPr>
        <w:t xml:space="preserve">Student name: Dan Joita                                       </w:t>
      </w:r>
    </w:p>
    <w:p w14:paraId="0B3136E2" w14:textId="77777777" w:rsidR="00E4549D" w:rsidRPr="00E4549D" w:rsidRDefault="00E4549D" w:rsidP="00E4549D">
      <w:pPr>
        <w:jc w:val="left"/>
        <w:rPr>
          <w:rFonts w:cs="Arial"/>
          <w:b/>
          <w:sz w:val="32"/>
          <w:szCs w:val="32"/>
        </w:rPr>
      </w:pPr>
      <w:r w:rsidRPr="00E4549D">
        <w:rPr>
          <w:rFonts w:cs="Arial"/>
          <w:b/>
          <w:sz w:val="32"/>
          <w:szCs w:val="32"/>
        </w:rPr>
        <w:t xml:space="preserve"> ID Student: 2124449</w:t>
      </w:r>
    </w:p>
    <w:p w14:paraId="74A61C7B" w14:textId="5BBE9629" w:rsidR="00230E57" w:rsidRPr="00E4549D" w:rsidRDefault="00230E57" w:rsidP="00230E57">
      <w:pPr>
        <w:rPr>
          <w:rFonts w:ascii="Arial" w:hAnsi="Arial" w:cs="Arial"/>
          <w:b/>
          <w:sz w:val="32"/>
          <w:szCs w:val="32"/>
        </w:rPr>
      </w:pPr>
      <w:r w:rsidRPr="00E4549D">
        <w:rPr>
          <w:rFonts w:ascii="Arial" w:hAnsi="Arial" w:cs="Arial"/>
          <w:sz w:val="32"/>
          <w:szCs w:val="32"/>
        </w:rPr>
        <w:br w:type="page"/>
      </w:r>
    </w:p>
    <w:p w14:paraId="239F97E4" w14:textId="77777777" w:rsidR="00230E57" w:rsidRPr="00CD2BAE" w:rsidRDefault="00230E57" w:rsidP="00230E57">
      <w:pPr>
        <w:jc w:val="center"/>
        <w:rPr>
          <w:rFonts w:ascii="Arial" w:hAnsi="Arial" w:cs="Arial"/>
          <w:b/>
          <w:sz w:val="28"/>
          <w:szCs w:val="28"/>
        </w:rPr>
      </w:pPr>
      <w:r w:rsidRPr="00CD2BAE">
        <w:rPr>
          <w:rFonts w:ascii="Arial" w:hAnsi="Arial" w:cs="Arial"/>
          <w:b/>
          <w:sz w:val="28"/>
          <w:szCs w:val="28"/>
        </w:rPr>
        <w:lastRenderedPageBreak/>
        <w:t>Executive Summary</w:t>
      </w:r>
    </w:p>
    <w:p w14:paraId="3C92CD63" w14:textId="77777777" w:rsidR="00230E57" w:rsidRPr="00CD2BAE" w:rsidRDefault="00230E57" w:rsidP="00230E57">
      <w:pPr>
        <w:rPr>
          <w:rFonts w:ascii="Arial" w:hAnsi="Arial" w:cs="Arial"/>
        </w:rPr>
      </w:pPr>
      <w:r w:rsidRPr="00CD2BAE">
        <w:rPr>
          <w:rFonts w:ascii="Arial" w:hAnsi="Arial" w:cs="Arial"/>
        </w:rPr>
        <w:t xml:space="preserve">The report aims to understand the strategies that are taken by multinational companies for managing foreign exchange risks. A range of literature has been analysed in the research report. It has been shown that International Finance Management places a contribution in streamlining international banking, the international money market, financial globalisation, purchase power parity, and exchange rate determination. Furthermore, the report has illustrated the core concept of dividend policy of financial management and the purchasing power parity and how the multinational corporations like HSBC are adopting this in managing their exposure to the foreign exchange risks. </w:t>
      </w:r>
    </w:p>
    <w:p w14:paraId="66DE1459" w14:textId="77777777" w:rsidR="00230E57" w:rsidRPr="00CD2BAE" w:rsidRDefault="00230E57" w:rsidP="00230E57">
      <w:pPr>
        <w:rPr>
          <w:rFonts w:ascii="Arial" w:hAnsi="Arial" w:cs="Arial"/>
        </w:rPr>
      </w:pPr>
      <w:r w:rsidRPr="00CD2BAE">
        <w:rPr>
          <w:rFonts w:ascii="Arial" w:hAnsi="Arial" w:cs="Arial"/>
        </w:rPr>
        <w:br w:type="page"/>
      </w:r>
    </w:p>
    <w:p w14:paraId="70BF7BD0" w14:textId="77777777" w:rsidR="00230E57" w:rsidRPr="00CD2BAE" w:rsidRDefault="00230E57" w:rsidP="00230E57">
      <w:pPr>
        <w:keepNext/>
        <w:keepLines/>
        <w:pBdr>
          <w:top w:val="nil"/>
          <w:left w:val="nil"/>
          <w:bottom w:val="nil"/>
          <w:right w:val="nil"/>
          <w:between w:val="nil"/>
        </w:pBdr>
        <w:spacing w:before="240"/>
        <w:jc w:val="center"/>
        <w:rPr>
          <w:rFonts w:ascii="Arial" w:hAnsi="Arial" w:cs="Arial"/>
          <w:b/>
          <w:color w:val="000000"/>
          <w:sz w:val="28"/>
          <w:szCs w:val="28"/>
        </w:rPr>
      </w:pPr>
      <w:r w:rsidRPr="00CD2BAE">
        <w:rPr>
          <w:rFonts w:ascii="Arial" w:hAnsi="Arial" w:cs="Arial"/>
          <w:b/>
          <w:color w:val="000000"/>
          <w:sz w:val="28"/>
          <w:szCs w:val="28"/>
        </w:rPr>
        <w:lastRenderedPageBreak/>
        <w:t>Table of Contents</w:t>
      </w:r>
    </w:p>
    <w:sdt>
      <w:sdtPr>
        <w:rPr>
          <w:rFonts w:ascii="Arial" w:hAnsi="Arial" w:cs="Arial"/>
        </w:rPr>
        <w:id w:val="143701407"/>
        <w:docPartObj>
          <w:docPartGallery w:val="Table of Contents"/>
          <w:docPartUnique/>
        </w:docPartObj>
      </w:sdtPr>
      <w:sdtEndPr/>
      <w:sdtContent>
        <w:p w14:paraId="7CFDC076" w14:textId="0579E75E" w:rsidR="00230E57" w:rsidRPr="00CD2BAE" w:rsidRDefault="00230E57" w:rsidP="00230E57">
          <w:pPr>
            <w:pStyle w:val="TOC1"/>
            <w:tabs>
              <w:tab w:val="right" w:leader="dot" w:pos="9350"/>
            </w:tabs>
            <w:rPr>
              <w:rFonts w:ascii="Arial" w:eastAsiaTheme="minorEastAsia" w:hAnsi="Arial" w:cs="Arial"/>
              <w:noProof/>
              <w:kern w:val="2"/>
              <w:lang w:val="en-IN"/>
              <w14:ligatures w14:val="standardContextual"/>
            </w:rPr>
          </w:pPr>
          <w:r w:rsidRPr="00CD2BAE">
            <w:rPr>
              <w:rFonts w:ascii="Arial" w:hAnsi="Arial" w:cs="Arial"/>
            </w:rPr>
            <w:fldChar w:fldCharType="begin"/>
          </w:r>
          <w:r w:rsidRPr="00CD2BAE">
            <w:rPr>
              <w:rFonts w:ascii="Arial" w:hAnsi="Arial" w:cs="Arial"/>
            </w:rPr>
            <w:instrText xml:space="preserve"> TOC \h \u \z \t "Heading 1,1,Heading 2,2,Heading 3,3,"</w:instrText>
          </w:r>
          <w:r w:rsidRPr="00CD2BAE">
            <w:rPr>
              <w:rFonts w:ascii="Arial" w:hAnsi="Arial" w:cs="Arial"/>
            </w:rPr>
            <w:fldChar w:fldCharType="separate"/>
          </w:r>
          <w:hyperlink w:anchor="_Toc162341748" w:history="1">
            <w:r w:rsidRPr="00CD2BAE">
              <w:rPr>
                <w:rStyle w:val="Hyperlink"/>
                <w:rFonts w:ascii="Arial" w:eastAsiaTheme="majorEastAsia" w:hAnsi="Arial" w:cs="Arial"/>
                <w:noProof/>
              </w:rPr>
              <w:t>Introduction</w:t>
            </w:r>
            <w:r w:rsidRPr="00CD2BAE">
              <w:rPr>
                <w:rFonts w:ascii="Arial" w:hAnsi="Arial" w:cs="Arial"/>
                <w:noProof/>
                <w:webHidden/>
              </w:rPr>
              <w:tab/>
            </w:r>
            <w:r w:rsidRPr="00CD2BAE">
              <w:rPr>
                <w:rFonts w:ascii="Arial" w:hAnsi="Arial" w:cs="Arial"/>
                <w:noProof/>
                <w:webHidden/>
              </w:rPr>
              <w:fldChar w:fldCharType="begin"/>
            </w:r>
            <w:r w:rsidRPr="00CD2BAE">
              <w:rPr>
                <w:rFonts w:ascii="Arial" w:hAnsi="Arial" w:cs="Arial"/>
                <w:noProof/>
                <w:webHidden/>
              </w:rPr>
              <w:instrText xml:space="preserve"> PAGEREF _Toc162341748 \h </w:instrText>
            </w:r>
            <w:r w:rsidRPr="00CD2BAE">
              <w:rPr>
                <w:rFonts w:ascii="Arial" w:hAnsi="Arial" w:cs="Arial"/>
                <w:noProof/>
                <w:webHidden/>
              </w:rPr>
            </w:r>
            <w:r w:rsidRPr="00CD2BAE">
              <w:rPr>
                <w:rFonts w:ascii="Arial" w:hAnsi="Arial" w:cs="Arial"/>
                <w:noProof/>
                <w:webHidden/>
              </w:rPr>
              <w:fldChar w:fldCharType="separate"/>
            </w:r>
            <w:r w:rsidR="00E4549D">
              <w:rPr>
                <w:rFonts w:ascii="Arial" w:hAnsi="Arial" w:cs="Arial"/>
                <w:noProof/>
                <w:webHidden/>
              </w:rPr>
              <w:t>4</w:t>
            </w:r>
            <w:r w:rsidRPr="00CD2BAE">
              <w:rPr>
                <w:rFonts w:ascii="Arial" w:hAnsi="Arial" w:cs="Arial"/>
                <w:noProof/>
                <w:webHidden/>
              </w:rPr>
              <w:fldChar w:fldCharType="end"/>
            </w:r>
          </w:hyperlink>
        </w:p>
        <w:p w14:paraId="2DCD7045" w14:textId="397BDFED" w:rsidR="00230E57" w:rsidRPr="00CD2BAE" w:rsidRDefault="00494450" w:rsidP="00230E57">
          <w:pPr>
            <w:pStyle w:val="TOC1"/>
            <w:tabs>
              <w:tab w:val="right" w:leader="dot" w:pos="9350"/>
            </w:tabs>
            <w:rPr>
              <w:rFonts w:ascii="Arial" w:eastAsiaTheme="minorEastAsia" w:hAnsi="Arial" w:cs="Arial"/>
              <w:noProof/>
              <w:kern w:val="2"/>
              <w:lang w:val="en-IN"/>
              <w14:ligatures w14:val="standardContextual"/>
            </w:rPr>
          </w:pPr>
          <w:hyperlink w:anchor="_Toc162341749" w:history="1">
            <w:r w:rsidR="00230E57" w:rsidRPr="00CD2BAE">
              <w:rPr>
                <w:rStyle w:val="Hyperlink"/>
                <w:rFonts w:ascii="Arial" w:eastAsiaTheme="majorEastAsia" w:hAnsi="Arial" w:cs="Arial"/>
                <w:noProof/>
              </w:rPr>
              <w:t>“Different strategies that multinational corporations often adopt in managing their exposure to foreign exchange risks”</w:t>
            </w:r>
            <w:r w:rsidR="00230E57" w:rsidRPr="00CD2BAE">
              <w:rPr>
                <w:rFonts w:ascii="Arial" w:hAnsi="Arial" w:cs="Arial"/>
                <w:noProof/>
                <w:webHidden/>
              </w:rPr>
              <w:tab/>
            </w:r>
            <w:r w:rsidR="00230E57" w:rsidRPr="00CD2BAE">
              <w:rPr>
                <w:rFonts w:ascii="Arial" w:hAnsi="Arial" w:cs="Arial"/>
                <w:noProof/>
                <w:webHidden/>
              </w:rPr>
              <w:fldChar w:fldCharType="begin"/>
            </w:r>
            <w:r w:rsidR="00230E57" w:rsidRPr="00CD2BAE">
              <w:rPr>
                <w:rFonts w:ascii="Arial" w:hAnsi="Arial" w:cs="Arial"/>
                <w:noProof/>
                <w:webHidden/>
              </w:rPr>
              <w:instrText xml:space="preserve"> PAGEREF _Toc162341749 \h </w:instrText>
            </w:r>
            <w:r w:rsidR="00230E57" w:rsidRPr="00CD2BAE">
              <w:rPr>
                <w:rFonts w:ascii="Arial" w:hAnsi="Arial" w:cs="Arial"/>
                <w:noProof/>
                <w:webHidden/>
              </w:rPr>
            </w:r>
            <w:r w:rsidR="00230E57" w:rsidRPr="00CD2BAE">
              <w:rPr>
                <w:rFonts w:ascii="Arial" w:hAnsi="Arial" w:cs="Arial"/>
                <w:noProof/>
                <w:webHidden/>
              </w:rPr>
              <w:fldChar w:fldCharType="separate"/>
            </w:r>
            <w:r w:rsidR="00E4549D">
              <w:rPr>
                <w:rFonts w:ascii="Arial" w:hAnsi="Arial" w:cs="Arial"/>
                <w:noProof/>
                <w:webHidden/>
              </w:rPr>
              <w:t>4</w:t>
            </w:r>
            <w:r w:rsidR="00230E57" w:rsidRPr="00CD2BAE">
              <w:rPr>
                <w:rFonts w:ascii="Arial" w:hAnsi="Arial" w:cs="Arial"/>
                <w:noProof/>
                <w:webHidden/>
              </w:rPr>
              <w:fldChar w:fldCharType="end"/>
            </w:r>
          </w:hyperlink>
        </w:p>
        <w:p w14:paraId="3D58D538" w14:textId="1BBEA376" w:rsidR="00230E57" w:rsidRPr="00CD2BAE" w:rsidRDefault="00494450" w:rsidP="00230E57">
          <w:pPr>
            <w:pStyle w:val="TOC2"/>
            <w:tabs>
              <w:tab w:val="right" w:leader="dot" w:pos="9350"/>
            </w:tabs>
            <w:rPr>
              <w:rFonts w:ascii="Arial" w:hAnsi="Arial" w:cs="Arial"/>
              <w:noProof/>
            </w:rPr>
          </w:pPr>
          <w:hyperlink w:anchor="_Toc162341750" w:history="1">
            <w:r w:rsidR="00230E57" w:rsidRPr="00CD2BAE">
              <w:rPr>
                <w:rStyle w:val="Hyperlink"/>
                <w:rFonts w:ascii="Arial" w:eastAsiaTheme="majorEastAsia" w:hAnsi="Arial" w:cs="Arial"/>
                <w:noProof/>
              </w:rPr>
              <w:t>International Finance Management and Strategies Implemented by HSBC</w:t>
            </w:r>
            <w:r w:rsidR="00230E57" w:rsidRPr="00CD2BAE">
              <w:rPr>
                <w:rFonts w:ascii="Arial" w:hAnsi="Arial" w:cs="Arial"/>
                <w:noProof/>
                <w:webHidden/>
              </w:rPr>
              <w:tab/>
            </w:r>
            <w:r w:rsidR="00230E57" w:rsidRPr="00CD2BAE">
              <w:rPr>
                <w:rFonts w:ascii="Arial" w:hAnsi="Arial" w:cs="Arial"/>
                <w:noProof/>
                <w:webHidden/>
              </w:rPr>
              <w:fldChar w:fldCharType="begin"/>
            </w:r>
            <w:r w:rsidR="00230E57" w:rsidRPr="00CD2BAE">
              <w:rPr>
                <w:rFonts w:ascii="Arial" w:hAnsi="Arial" w:cs="Arial"/>
                <w:noProof/>
                <w:webHidden/>
              </w:rPr>
              <w:instrText xml:space="preserve"> PAGEREF _Toc162341750 \h </w:instrText>
            </w:r>
            <w:r w:rsidR="00230E57" w:rsidRPr="00CD2BAE">
              <w:rPr>
                <w:rFonts w:ascii="Arial" w:hAnsi="Arial" w:cs="Arial"/>
                <w:noProof/>
                <w:webHidden/>
              </w:rPr>
            </w:r>
            <w:r w:rsidR="00230E57" w:rsidRPr="00CD2BAE">
              <w:rPr>
                <w:rFonts w:ascii="Arial" w:hAnsi="Arial" w:cs="Arial"/>
                <w:noProof/>
                <w:webHidden/>
              </w:rPr>
              <w:fldChar w:fldCharType="separate"/>
            </w:r>
            <w:r w:rsidR="00E4549D">
              <w:rPr>
                <w:rFonts w:ascii="Arial" w:hAnsi="Arial" w:cs="Arial"/>
                <w:noProof/>
                <w:webHidden/>
              </w:rPr>
              <w:t>4</w:t>
            </w:r>
            <w:r w:rsidR="00230E57" w:rsidRPr="00CD2BAE">
              <w:rPr>
                <w:rFonts w:ascii="Arial" w:hAnsi="Arial" w:cs="Arial"/>
                <w:noProof/>
                <w:webHidden/>
              </w:rPr>
              <w:fldChar w:fldCharType="end"/>
            </w:r>
          </w:hyperlink>
        </w:p>
        <w:p w14:paraId="13F88A22" w14:textId="259B4BE8" w:rsidR="00230E57" w:rsidRPr="00CD2BAE" w:rsidRDefault="00494450" w:rsidP="00230E57">
          <w:pPr>
            <w:pStyle w:val="TOC2"/>
            <w:tabs>
              <w:tab w:val="right" w:leader="dot" w:pos="9350"/>
            </w:tabs>
            <w:rPr>
              <w:rFonts w:ascii="Arial" w:hAnsi="Arial" w:cs="Arial"/>
              <w:noProof/>
            </w:rPr>
          </w:pPr>
          <w:hyperlink w:anchor="_Toc162341751" w:history="1">
            <w:r w:rsidR="00230E57" w:rsidRPr="00CD2BAE">
              <w:rPr>
                <w:rStyle w:val="Hyperlink"/>
                <w:rFonts w:ascii="Arial" w:eastAsiaTheme="majorEastAsia" w:hAnsi="Arial" w:cs="Arial"/>
                <w:noProof/>
              </w:rPr>
              <w:t>Dividend distribution policy: A strategy for financial management</w:t>
            </w:r>
            <w:r w:rsidR="00230E57" w:rsidRPr="00CD2BAE">
              <w:rPr>
                <w:rFonts w:ascii="Arial" w:hAnsi="Arial" w:cs="Arial"/>
                <w:noProof/>
                <w:webHidden/>
              </w:rPr>
              <w:tab/>
            </w:r>
            <w:r w:rsidR="00230E57" w:rsidRPr="00CD2BAE">
              <w:rPr>
                <w:rFonts w:ascii="Arial" w:hAnsi="Arial" w:cs="Arial"/>
                <w:noProof/>
                <w:webHidden/>
              </w:rPr>
              <w:fldChar w:fldCharType="begin"/>
            </w:r>
            <w:r w:rsidR="00230E57" w:rsidRPr="00CD2BAE">
              <w:rPr>
                <w:rFonts w:ascii="Arial" w:hAnsi="Arial" w:cs="Arial"/>
                <w:noProof/>
                <w:webHidden/>
              </w:rPr>
              <w:instrText xml:space="preserve"> PAGEREF _Toc162341751 \h </w:instrText>
            </w:r>
            <w:r w:rsidR="00230E57" w:rsidRPr="00CD2BAE">
              <w:rPr>
                <w:rFonts w:ascii="Arial" w:hAnsi="Arial" w:cs="Arial"/>
                <w:noProof/>
                <w:webHidden/>
              </w:rPr>
            </w:r>
            <w:r w:rsidR="00230E57" w:rsidRPr="00CD2BAE">
              <w:rPr>
                <w:rFonts w:ascii="Arial" w:hAnsi="Arial" w:cs="Arial"/>
                <w:noProof/>
                <w:webHidden/>
              </w:rPr>
              <w:fldChar w:fldCharType="separate"/>
            </w:r>
            <w:r w:rsidR="00E4549D">
              <w:rPr>
                <w:rFonts w:ascii="Arial" w:hAnsi="Arial" w:cs="Arial"/>
                <w:noProof/>
                <w:webHidden/>
              </w:rPr>
              <w:t>6</w:t>
            </w:r>
            <w:r w:rsidR="00230E57" w:rsidRPr="00CD2BAE">
              <w:rPr>
                <w:rFonts w:ascii="Arial" w:hAnsi="Arial" w:cs="Arial"/>
                <w:noProof/>
                <w:webHidden/>
              </w:rPr>
              <w:fldChar w:fldCharType="end"/>
            </w:r>
          </w:hyperlink>
        </w:p>
        <w:p w14:paraId="40D7E416" w14:textId="0D63E0AD" w:rsidR="00230E57" w:rsidRPr="00CD2BAE" w:rsidRDefault="00494450" w:rsidP="00230E57">
          <w:pPr>
            <w:pStyle w:val="TOC2"/>
            <w:tabs>
              <w:tab w:val="right" w:leader="dot" w:pos="9350"/>
            </w:tabs>
            <w:rPr>
              <w:rFonts w:ascii="Arial" w:hAnsi="Arial" w:cs="Arial"/>
              <w:noProof/>
            </w:rPr>
          </w:pPr>
          <w:hyperlink w:anchor="_Toc162341752" w:history="1">
            <w:r w:rsidR="00230E57" w:rsidRPr="00CD2BAE">
              <w:rPr>
                <w:rStyle w:val="Hyperlink"/>
                <w:rFonts w:ascii="Arial" w:eastAsiaTheme="majorEastAsia" w:hAnsi="Arial" w:cs="Arial"/>
                <w:noProof/>
              </w:rPr>
              <w:t>Purchasing power Parity: A strategy for financial management</w:t>
            </w:r>
            <w:r w:rsidR="00230E57" w:rsidRPr="00CD2BAE">
              <w:rPr>
                <w:rFonts w:ascii="Arial" w:hAnsi="Arial" w:cs="Arial"/>
                <w:noProof/>
                <w:webHidden/>
              </w:rPr>
              <w:tab/>
            </w:r>
            <w:r w:rsidR="00230E57" w:rsidRPr="00CD2BAE">
              <w:rPr>
                <w:rFonts w:ascii="Arial" w:hAnsi="Arial" w:cs="Arial"/>
                <w:noProof/>
                <w:webHidden/>
              </w:rPr>
              <w:fldChar w:fldCharType="begin"/>
            </w:r>
            <w:r w:rsidR="00230E57" w:rsidRPr="00CD2BAE">
              <w:rPr>
                <w:rFonts w:ascii="Arial" w:hAnsi="Arial" w:cs="Arial"/>
                <w:noProof/>
                <w:webHidden/>
              </w:rPr>
              <w:instrText xml:space="preserve"> PAGEREF _Toc162341752 \h </w:instrText>
            </w:r>
            <w:r w:rsidR="00230E57" w:rsidRPr="00CD2BAE">
              <w:rPr>
                <w:rFonts w:ascii="Arial" w:hAnsi="Arial" w:cs="Arial"/>
                <w:noProof/>
                <w:webHidden/>
              </w:rPr>
            </w:r>
            <w:r w:rsidR="00230E57" w:rsidRPr="00CD2BAE">
              <w:rPr>
                <w:rFonts w:ascii="Arial" w:hAnsi="Arial" w:cs="Arial"/>
                <w:noProof/>
                <w:webHidden/>
              </w:rPr>
              <w:fldChar w:fldCharType="separate"/>
            </w:r>
            <w:r w:rsidR="00E4549D">
              <w:rPr>
                <w:rFonts w:ascii="Arial" w:hAnsi="Arial" w:cs="Arial"/>
                <w:noProof/>
                <w:webHidden/>
              </w:rPr>
              <w:t>7</w:t>
            </w:r>
            <w:r w:rsidR="00230E57" w:rsidRPr="00CD2BAE">
              <w:rPr>
                <w:rFonts w:ascii="Arial" w:hAnsi="Arial" w:cs="Arial"/>
                <w:noProof/>
                <w:webHidden/>
              </w:rPr>
              <w:fldChar w:fldCharType="end"/>
            </w:r>
          </w:hyperlink>
        </w:p>
        <w:p w14:paraId="35560080" w14:textId="736391F0" w:rsidR="00230E57" w:rsidRPr="00CD2BAE" w:rsidRDefault="00494450" w:rsidP="00230E57">
          <w:pPr>
            <w:pStyle w:val="TOC1"/>
            <w:tabs>
              <w:tab w:val="right" w:leader="dot" w:pos="9350"/>
            </w:tabs>
            <w:rPr>
              <w:rFonts w:ascii="Arial" w:eastAsiaTheme="minorEastAsia" w:hAnsi="Arial" w:cs="Arial"/>
              <w:noProof/>
              <w:kern w:val="2"/>
              <w:lang w:val="en-IN"/>
              <w14:ligatures w14:val="standardContextual"/>
            </w:rPr>
          </w:pPr>
          <w:hyperlink w:anchor="_Toc162341753" w:history="1">
            <w:r w:rsidR="00230E57" w:rsidRPr="00CD2BAE">
              <w:rPr>
                <w:rStyle w:val="Hyperlink"/>
                <w:rFonts w:ascii="Arial" w:eastAsiaTheme="majorEastAsia" w:hAnsi="Arial" w:cs="Arial"/>
                <w:noProof/>
              </w:rPr>
              <w:t>Conclusion</w:t>
            </w:r>
            <w:r w:rsidR="00230E57" w:rsidRPr="00CD2BAE">
              <w:rPr>
                <w:rFonts w:ascii="Arial" w:hAnsi="Arial" w:cs="Arial"/>
                <w:noProof/>
                <w:webHidden/>
              </w:rPr>
              <w:tab/>
            </w:r>
            <w:r w:rsidR="00230E57" w:rsidRPr="00CD2BAE">
              <w:rPr>
                <w:rFonts w:ascii="Arial" w:hAnsi="Arial" w:cs="Arial"/>
                <w:noProof/>
                <w:webHidden/>
              </w:rPr>
              <w:fldChar w:fldCharType="begin"/>
            </w:r>
            <w:r w:rsidR="00230E57" w:rsidRPr="00CD2BAE">
              <w:rPr>
                <w:rFonts w:ascii="Arial" w:hAnsi="Arial" w:cs="Arial"/>
                <w:noProof/>
                <w:webHidden/>
              </w:rPr>
              <w:instrText xml:space="preserve"> PAGEREF _Toc162341753 \h </w:instrText>
            </w:r>
            <w:r w:rsidR="00230E57" w:rsidRPr="00CD2BAE">
              <w:rPr>
                <w:rFonts w:ascii="Arial" w:hAnsi="Arial" w:cs="Arial"/>
                <w:noProof/>
                <w:webHidden/>
              </w:rPr>
            </w:r>
            <w:r w:rsidR="00230E57" w:rsidRPr="00CD2BAE">
              <w:rPr>
                <w:rFonts w:ascii="Arial" w:hAnsi="Arial" w:cs="Arial"/>
                <w:noProof/>
                <w:webHidden/>
              </w:rPr>
              <w:fldChar w:fldCharType="separate"/>
            </w:r>
            <w:r w:rsidR="00E4549D">
              <w:rPr>
                <w:rFonts w:ascii="Arial" w:hAnsi="Arial" w:cs="Arial"/>
                <w:noProof/>
                <w:webHidden/>
              </w:rPr>
              <w:t>8</w:t>
            </w:r>
            <w:r w:rsidR="00230E57" w:rsidRPr="00CD2BAE">
              <w:rPr>
                <w:rFonts w:ascii="Arial" w:hAnsi="Arial" w:cs="Arial"/>
                <w:noProof/>
                <w:webHidden/>
              </w:rPr>
              <w:fldChar w:fldCharType="end"/>
            </w:r>
          </w:hyperlink>
        </w:p>
        <w:p w14:paraId="3F5E068B" w14:textId="6E83B27C" w:rsidR="00230E57" w:rsidRPr="00CD2BAE" w:rsidRDefault="00494450" w:rsidP="00230E57">
          <w:pPr>
            <w:pStyle w:val="TOC1"/>
            <w:tabs>
              <w:tab w:val="right" w:leader="dot" w:pos="9350"/>
            </w:tabs>
            <w:rPr>
              <w:rFonts w:ascii="Arial" w:eastAsiaTheme="minorEastAsia" w:hAnsi="Arial" w:cs="Arial"/>
              <w:noProof/>
              <w:kern w:val="2"/>
              <w:lang w:val="en-IN"/>
              <w14:ligatures w14:val="standardContextual"/>
            </w:rPr>
          </w:pPr>
          <w:hyperlink w:anchor="_Toc162341754" w:history="1">
            <w:r w:rsidR="00230E57" w:rsidRPr="00CD2BAE">
              <w:rPr>
                <w:rStyle w:val="Hyperlink"/>
                <w:rFonts w:ascii="Arial" w:eastAsiaTheme="majorEastAsia" w:hAnsi="Arial" w:cs="Arial"/>
                <w:noProof/>
              </w:rPr>
              <w:t>References</w:t>
            </w:r>
            <w:r w:rsidR="00230E57" w:rsidRPr="00CD2BAE">
              <w:rPr>
                <w:rFonts w:ascii="Arial" w:hAnsi="Arial" w:cs="Arial"/>
                <w:noProof/>
                <w:webHidden/>
              </w:rPr>
              <w:tab/>
            </w:r>
            <w:r w:rsidR="00230E57" w:rsidRPr="00CD2BAE">
              <w:rPr>
                <w:rFonts w:ascii="Arial" w:hAnsi="Arial" w:cs="Arial"/>
                <w:noProof/>
                <w:webHidden/>
              </w:rPr>
              <w:fldChar w:fldCharType="begin"/>
            </w:r>
            <w:r w:rsidR="00230E57" w:rsidRPr="00CD2BAE">
              <w:rPr>
                <w:rFonts w:ascii="Arial" w:hAnsi="Arial" w:cs="Arial"/>
                <w:noProof/>
                <w:webHidden/>
              </w:rPr>
              <w:instrText xml:space="preserve"> PAGEREF _Toc162341754 \h </w:instrText>
            </w:r>
            <w:r w:rsidR="00230E57" w:rsidRPr="00CD2BAE">
              <w:rPr>
                <w:rFonts w:ascii="Arial" w:hAnsi="Arial" w:cs="Arial"/>
                <w:noProof/>
                <w:webHidden/>
              </w:rPr>
            </w:r>
            <w:r w:rsidR="00230E57" w:rsidRPr="00CD2BAE">
              <w:rPr>
                <w:rFonts w:ascii="Arial" w:hAnsi="Arial" w:cs="Arial"/>
                <w:noProof/>
                <w:webHidden/>
              </w:rPr>
              <w:fldChar w:fldCharType="separate"/>
            </w:r>
            <w:r w:rsidR="00E4549D">
              <w:rPr>
                <w:rFonts w:ascii="Arial" w:hAnsi="Arial" w:cs="Arial"/>
                <w:noProof/>
                <w:webHidden/>
              </w:rPr>
              <w:t>9</w:t>
            </w:r>
            <w:r w:rsidR="00230E57" w:rsidRPr="00CD2BAE">
              <w:rPr>
                <w:rFonts w:ascii="Arial" w:hAnsi="Arial" w:cs="Arial"/>
                <w:noProof/>
                <w:webHidden/>
              </w:rPr>
              <w:fldChar w:fldCharType="end"/>
            </w:r>
          </w:hyperlink>
        </w:p>
        <w:p w14:paraId="152DC662" w14:textId="77777777" w:rsidR="00230E57" w:rsidRPr="00CD2BAE" w:rsidRDefault="00230E57" w:rsidP="00230E57">
          <w:pPr>
            <w:rPr>
              <w:rFonts w:ascii="Arial" w:hAnsi="Arial" w:cs="Arial"/>
            </w:rPr>
          </w:pPr>
          <w:r w:rsidRPr="00CD2BAE">
            <w:rPr>
              <w:rFonts w:ascii="Arial" w:hAnsi="Arial" w:cs="Arial"/>
            </w:rPr>
            <w:fldChar w:fldCharType="end"/>
          </w:r>
        </w:p>
      </w:sdtContent>
    </w:sdt>
    <w:p w14:paraId="182066CF" w14:textId="77777777" w:rsidR="00230E57" w:rsidRPr="00CD2BAE" w:rsidRDefault="00230E57" w:rsidP="00230E57">
      <w:pPr>
        <w:rPr>
          <w:rFonts w:ascii="Arial" w:hAnsi="Arial" w:cs="Arial"/>
        </w:rPr>
      </w:pPr>
    </w:p>
    <w:p w14:paraId="2E14D86F" w14:textId="77777777" w:rsidR="00230E57" w:rsidRPr="00CD2BAE" w:rsidRDefault="00230E57" w:rsidP="00230E57">
      <w:pPr>
        <w:rPr>
          <w:rFonts w:ascii="Arial" w:hAnsi="Arial" w:cs="Arial"/>
        </w:rPr>
      </w:pPr>
    </w:p>
    <w:p w14:paraId="70BFEDDE" w14:textId="77777777" w:rsidR="00230E57" w:rsidRPr="00CD2BAE" w:rsidRDefault="00230E57" w:rsidP="00230E57">
      <w:pPr>
        <w:jc w:val="center"/>
        <w:rPr>
          <w:rFonts w:ascii="Arial" w:hAnsi="Arial" w:cs="Arial"/>
        </w:rPr>
      </w:pPr>
      <w:r w:rsidRPr="00CD2BAE">
        <w:rPr>
          <w:rFonts w:ascii="Arial" w:hAnsi="Arial" w:cs="Arial"/>
        </w:rPr>
        <w:br w:type="page"/>
      </w:r>
    </w:p>
    <w:p w14:paraId="0E154BCC" w14:textId="77777777" w:rsidR="00230E57" w:rsidRPr="00CD2BAE" w:rsidRDefault="00230E57" w:rsidP="00230E57">
      <w:pPr>
        <w:pStyle w:val="Heading1"/>
        <w:rPr>
          <w:rFonts w:ascii="Arial" w:hAnsi="Arial" w:cs="Arial"/>
          <w:b/>
          <w:bCs/>
          <w:sz w:val="28"/>
          <w:szCs w:val="28"/>
        </w:rPr>
      </w:pPr>
      <w:bookmarkStart w:id="0" w:name="_Toc162341748"/>
      <w:r w:rsidRPr="00CD2BAE">
        <w:rPr>
          <w:rFonts w:ascii="Arial" w:hAnsi="Arial" w:cs="Arial"/>
          <w:b/>
          <w:bCs/>
          <w:color w:val="auto"/>
          <w:sz w:val="28"/>
          <w:szCs w:val="28"/>
        </w:rPr>
        <w:lastRenderedPageBreak/>
        <w:t>Introduction</w:t>
      </w:r>
      <w:bookmarkEnd w:id="0"/>
      <w:r w:rsidRPr="00CD2BAE">
        <w:rPr>
          <w:rFonts w:ascii="Arial" w:hAnsi="Arial" w:cs="Arial"/>
          <w:b/>
          <w:bCs/>
          <w:sz w:val="28"/>
          <w:szCs w:val="28"/>
        </w:rPr>
        <w:t xml:space="preserve"> </w:t>
      </w:r>
    </w:p>
    <w:p w14:paraId="6209852F" w14:textId="77777777" w:rsidR="00230E57" w:rsidRPr="00CD2BAE" w:rsidRDefault="00230E57" w:rsidP="00230E57">
      <w:pPr>
        <w:rPr>
          <w:rFonts w:ascii="Arial" w:hAnsi="Arial" w:cs="Arial"/>
        </w:rPr>
      </w:pPr>
      <w:r w:rsidRPr="00CD2BAE">
        <w:rPr>
          <w:rFonts w:ascii="Arial" w:hAnsi="Arial" w:cs="Arial"/>
        </w:rPr>
        <w:t xml:space="preserve">“International finance Management” constitutes the strategic management of financial activities across countries and borders. It necessitates supervision of global financial operations, including financing, investing, and risk management. The primary players in “international finance management” are governments, multinational corporations, and financial conservatories. These companies </w:t>
      </w:r>
      <w:proofErr w:type="gramStart"/>
      <w:r w:rsidRPr="00CD2BAE">
        <w:rPr>
          <w:rFonts w:ascii="Arial" w:hAnsi="Arial" w:cs="Arial"/>
        </w:rPr>
        <w:t>have to</w:t>
      </w:r>
      <w:proofErr w:type="gramEnd"/>
      <w:r w:rsidRPr="00CD2BAE">
        <w:rPr>
          <w:rFonts w:ascii="Arial" w:hAnsi="Arial" w:cs="Arial"/>
        </w:rPr>
        <w:t xml:space="preserve"> manage intricate financial systems that vary from nation to nation, including tax rules, exchange rates, and regulations. </w:t>
      </w:r>
      <w:proofErr w:type="gramStart"/>
      <w:r w:rsidRPr="00CD2BAE">
        <w:rPr>
          <w:rFonts w:ascii="Arial" w:hAnsi="Arial" w:cs="Arial"/>
        </w:rPr>
        <w:t>In order to</w:t>
      </w:r>
      <w:proofErr w:type="gramEnd"/>
      <w:r w:rsidRPr="00CD2BAE">
        <w:rPr>
          <w:rFonts w:ascii="Arial" w:hAnsi="Arial" w:cs="Arial"/>
        </w:rPr>
        <w:t xml:space="preserve"> enhance performance in diverse markets, “international finance management” comprises the analysis and interpretation of this system as well as the creation and use of financial strategies. HSBC, being one of the world’s largest banks, has a strategy to be a preferred international financial partner for its clients. It contains goals for quickening the flow of capital regions— primarily Asia and wealth— that have proven to yield the highest returns and where our side gives us a sustained advantage. </w:t>
      </w:r>
    </w:p>
    <w:p w14:paraId="22473F22" w14:textId="728AD963" w:rsidR="00230E57" w:rsidRDefault="00230E57" w:rsidP="00230E57">
      <w:pPr>
        <w:pStyle w:val="Heading1"/>
        <w:rPr>
          <w:rFonts w:ascii="Arial" w:hAnsi="Arial" w:cs="Arial"/>
          <w:b/>
          <w:bCs/>
          <w:color w:val="auto"/>
          <w:sz w:val="28"/>
          <w:szCs w:val="28"/>
        </w:rPr>
      </w:pPr>
      <w:bookmarkStart w:id="1" w:name="_Toc162341749"/>
      <w:r w:rsidRPr="00CD2BAE">
        <w:rPr>
          <w:rFonts w:ascii="Arial" w:hAnsi="Arial" w:cs="Arial"/>
          <w:b/>
          <w:bCs/>
          <w:color w:val="auto"/>
          <w:sz w:val="28"/>
          <w:szCs w:val="28"/>
        </w:rPr>
        <w:t xml:space="preserve">“Different strategies that multinational corporations often adopt in managing their exposure to foreign exchange </w:t>
      </w:r>
      <w:bookmarkEnd w:id="1"/>
      <w:r w:rsidR="00CD2BAE" w:rsidRPr="00CD2BAE">
        <w:rPr>
          <w:rFonts w:ascii="Arial" w:hAnsi="Arial" w:cs="Arial"/>
          <w:b/>
          <w:bCs/>
          <w:color w:val="auto"/>
          <w:sz w:val="28"/>
          <w:szCs w:val="28"/>
        </w:rPr>
        <w:t>risks”.</w:t>
      </w:r>
    </w:p>
    <w:p w14:paraId="13DF7794" w14:textId="77777777" w:rsidR="00E4549D" w:rsidRPr="00E4549D" w:rsidRDefault="00E4549D" w:rsidP="00E4549D">
      <w:pPr>
        <w:rPr>
          <w:lang w:eastAsia="en-US"/>
        </w:rPr>
      </w:pPr>
    </w:p>
    <w:p w14:paraId="74392BB8" w14:textId="23FA3964" w:rsidR="00E4549D" w:rsidRPr="00E4549D" w:rsidRDefault="00230E57" w:rsidP="00E4549D">
      <w:pPr>
        <w:pStyle w:val="Heading2"/>
        <w:rPr>
          <w:rFonts w:ascii="Arial" w:hAnsi="Arial" w:cs="Arial"/>
          <w:b/>
          <w:bCs/>
          <w:color w:val="auto"/>
          <w:sz w:val="28"/>
          <w:szCs w:val="28"/>
        </w:rPr>
      </w:pPr>
      <w:bookmarkStart w:id="2" w:name="_heading=h.b1ka0qcyfjmz" w:colFirst="0" w:colLast="0"/>
      <w:bookmarkStart w:id="3" w:name="_Toc162341750"/>
      <w:bookmarkEnd w:id="2"/>
      <w:r w:rsidRPr="00E4549D">
        <w:rPr>
          <w:rFonts w:ascii="Arial" w:hAnsi="Arial" w:cs="Arial"/>
          <w:b/>
          <w:bCs/>
          <w:color w:val="auto"/>
          <w:sz w:val="28"/>
          <w:szCs w:val="28"/>
        </w:rPr>
        <w:t>International Finance Management and Strategies Implemented by HSBC</w:t>
      </w:r>
      <w:bookmarkEnd w:id="3"/>
    </w:p>
    <w:p w14:paraId="19F68428" w14:textId="6B47C3BB" w:rsidR="00230E57" w:rsidRPr="00CD2BAE" w:rsidRDefault="00230E57" w:rsidP="00230E57">
      <w:pPr>
        <w:rPr>
          <w:rFonts w:ascii="Arial" w:hAnsi="Arial" w:cs="Arial"/>
        </w:rPr>
      </w:pPr>
      <w:r w:rsidRPr="00CD2BAE">
        <w:rPr>
          <w:rFonts w:ascii="Arial" w:hAnsi="Arial" w:cs="Arial"/>
        </w:rPr>
        <w:t xml:space="preserve">International Finance Management </w:t>
      </w:r>
      <w:proofErr w:type="gramStart"/>
      <w:r w:rsidRPr="00CD2BAE">
        <w:rPr>
          <w:rFonts w:ascii="Arial" w:hAnsi="Arial" w:cs="Arial"/>
        </w:rPr>
        <w:t>makes a contribution</w:t>
      </w:r>
      <w:proofErr w:type="gramEnd"/>
      <w:r w:rsidRPr="00CD2BAE">
        <w:rPr>
          <w:rFonts w:ascii="Arial" w:hAnsi="Arial" w:cs="Arial"/>
        </w:rPr>
        <w:t xml:space="preserve"> to streamlining international banking. According to Dong </w:t>
      </w:r>
      <w:r w:rsidRPr="00CD2BAE">
        <w:rPr>
          <w:rFonts w:ascii="Arial" w:hAnsi="Arial" w:cs="Arial"/>
          <w:i/>
        </w:rPr>
        <w:t>et al.</w:t>
      </w:r>
      <w:r w:rsidRPr="00CD2BAE">
        <w:rPr>
          <w:rFonts w:ascii="Arial" w:hAnsi="Arial" w:cs="Arial"/>
        </w:rPr>
        <w:t xml:space="preserve"> (2020), the rapid development of multinational finance has evidently affected the operation of commercial banks. Knowing how various procedures, policies, laws, and organisations impact the direction, management, and control of a company is essential for success in the business world. International finance relies heavily on international markets since they make international trading in services, products, and financial instruments viable (Asian Development Bank, 2022). On the contrary, the financial operation is not only governed by the stated objectives for which it was founded, but it also consists of the complex relationships between the numerous stakeholders (Aziz </w:t>
      </w:r>
      <w:r w:rsidRPr="00CD2BAE">
        <w:rPr>
          <w:rFonts w:ascii="Arial" w:hAnsi="Arial" w:cs="Arial"/>
          <w:i/>
        </w:rPr>
        <w:t>et al.</w:t>
      </w:r>
      <w:r w:rsidRPr="00CD2BAE">
        <w:rPr>
          <w:rFonts w:ascii="Arial" w:hAnsi="Arial" w:cs="Arial"/>
        </w:rPr>
        <w:t xml:space="preserve"> 2021). Similarly, HSBC includes strategies in making itself the first choice in international finance; and </w:t>
      </w:r>
      <w:proofErr w:type="gramStart"/>
      <w:r w:rsidRPr="00CD2BAE">
        <w:rPr>
          <w:rFonts w:ascii="Arial" w:hAnsi="Arial" w:cs="Arial"/>
        </w:rPr>
        <w:t>in order to</w:t>
      </w:r>
      <w:proofErr w:type="gramEnd"/>
      <w:r w:rsidRPr="00CD2BAE">
        <w:rPr>
          <w:rFonts w:ascii="Arial" w:hAnsi="Arial" w:cs="Arial"/>
        </w:rPr>
        <w:t xml:space="preserve"> do so, its international network remains a key competitive advantage (HSBC, 2024). It will further continue to operate in cross-</w:t>
      </w:r>
      <w:r w:rsidRPr="00CD2BAE">
        <w:rPr>
          <w:rFonts w:ascii="Arial" w:hAnsi="Arial" w:cs="Arial"/>
        </w:rPr>
        <w:lastRenderedPageBreak/>
        <w:t>border banking flows among major trade corridors. Introducing this, it has aimed to reach “</w:t>
      </w:r>
      <w:r w:rsidR="00CD2BAE" w:rsidRPr="00CD2BAE">
        <w:rPr>
          <w:rFonts w:ascii="Arial" w:hAnsi="Arial" w:cs="Arial"/>
        </w:rPr>
        <w:t>single digit</w:t>
      </w:r>
      <w:r w:rsidRPr="00CD2BAE">
        <w:rPr>
          <w:rFonts w:ascii="Arial" w:hAnsi="Arial" w:cs="Arial"/>
        </w:rPr>
        <w:t>” revenue growth in the long term, while having a higher proportion of its revenue from fees to insurance income. The</w:t>
      </w:r>
      <w:r w:rsidRPr="00CD2BAE">
        <w:rPr>
          <w:rFonts w:ascii="Arial" w:hAnsi="Arial" w:cs="Arial"/>
          <w:b/>
          <w:i/>
        </w:rPr>
        <w:t xml:space="preserve"> “Efficient Market Hypothesis Theory”</w:t>
      </w:r>
      <w:r w:rsidRPr="00CD2BAE">
        <w:rPr>
          <w:rFonts w:ascii="Arial" w:hAnsi="Arial" w:cs="Arial"/>
        </w:rPr>
        <w:t xml:space="preserve"> constitutes financial economics, in which asset prices fully reflect all variable information (Forbes, 2022). Prices adjust in the “Efficient Market Hypothesis Theory (EMH)” to </w:t>
      </w:r>
      <w:proofErr w:type="gramStart"/>
      <w:r w:rsidRPr="00CD2BAE">
        <w:rPr>
          <w:rFonts w:ascii="Arial" w:hAnsi="Arial" w:cs="Arial"/>
        </w:rPr>
        <w:t>take into account</w:t>
      </w:r>
      <w:proofErr w:type="gramEnd"/>
      <w:r w:rsidRPr="00CD2BAE">
        <w:rPr>
          <w:rFonts w:ascii="Arial" w:hAnsi="Arial" w:cs="Arial"/>
        </w:rPr>
        <w:t xml:space="preserve"> new information that becomes available nearly instantly, and it is impossible to continuously “beat the market” while taking risks.  This is further to make investment returns that exceed the overall market average as reflected by major stock indexes, including the S&amp;P 500 Index.  According to Nurunnabi (2021), the “International Financial Reporting Standards (IFRS)” include the implementation of multiple theories, such as “Institutional Theory, Accounting Theory, Agency Theory, Positive Accounting Theory, and Process Theory”. </w:t>
      </w:r>
    </w:p>
    <w:p w14:paraId="2138A21D" w14:textId="6D638222" w:rsidR="00230E57" w:rsidRPr="00CD2BAE" w:rsidRDefault="00230E57" w:rsidP="00230E57">
      <w:pPr>
        <w:rPr>
          <w:rFonts w:ascii="Arial" w:hAnsi="Arial" w:cs="Arial"/>
          <w:color w:val="FF0000"/>
        </w:rPr>
      </w:pPr>
      <w:r w:rsidRPr="00CD2BAE">
        <w:rPr>
          <w:rFonts w:ascii="Arial" w:hAnsi="Arial" w:cs="Arial"/>
        </w:rPr>
        <w:t xml:space="preserve">This EMH Theory has three variations, such as "the weak form of the efficient market hypothesis, the semi-strong form of the efficient market hypothesis, and the storing form of the efficient market hypothesis" (Forbes, 2022). The EMH states that stock prices appropriately represent all pertinent market data. Considering the weakened version of the "Efficient Market Hypothesis", fundamental analysts who have an intuitive understanding of how impending information influences stock prices can outperform the financial market in the short run. On the contrary, it can be argued that investors who adhered to the "Efficient Market Hypothesis" typically stick with passive investing options like "index funds and exchange-traded funds (ETFs)" that track benchmark indexes. It is evident from the range of investing techniques used that not everyone adheres to the "Efficient Market Hypothesis" as a reliable guide for wise financial decisions. Nevertheless, there are a plethora of mutual funds and other funds on the investing market that use active financial management </w:t>
      </w:r>
      <w:r w:rsidR="00E4549D" w:rsidRPr="00CD2BAE">
        <w:rPr>
          <w:rFonts w:ascii="Arial" w:hAnsi="Arial" w:cs="Arial"/>
        </w:rPr>
        <w:t>to</w:t>
      </w:r>
      <w:r w:rsidRPr="00CD2BAE">
        <w:rPr>
          <w:rFonts w:ascii="Arial" w:hAnsi="Arial" w:cs="Arial"/>
        </w:rPr>
        <w:t xml:space="preserve"> beat a benchmark index. In international financial management, HSBC has a business model categorised into four segments, such as "Retail Banking &amp; Wealth Management, Commercial Banking, Global Banking &amp; Markets, and Global Private Banking &amp; Corporate </w:t>
      </w:r>
      <w:proofErr w:type="spellStart"/>
      <w:r w:rsidRPr="00CD2BAE">
        <w:rPr>
          <w:rFonts w:ascii="Arial" w:hAnsi="Arial" w:cs="Arial"/>
        </w:rPr>
        <w:t>Center</w:t>
      </w:r>
      <w:proofErr w:type="spellEnd"/>
      <w:r w:rsidRPr="00CD2BAE">
        <w:rPr>
          <w:rFonts w:ascii="Arial" w:hAnsi="Arial" w:cs="Arial"/>
        </w:rPr>
        <w:t>" (</w:t>
      </w:r>
      <w:proofErr w:type="spellStart"/>
      <w:r w:rsidRPr="00CD2BAE">
        <w:rPr>
          <w:rFonts w:ascii="Arial" w:hAnsi="Arial" w:cs="Arial"/>
        </w:rPr>
        <w:t>Trefis</w:t>
      </w:r>
      <w:proofErr w:type="spellEnd"/>
      <w:r w:rsidRPr="00CD2BAE">
        <w:rPr>
          <w:rFonts w:ascii="Arial" w:hAnsi="Arial" w:cs="Arial"/>
        </w:rPr>
        <w:t xml:space="preserve">, 2020). The Implementation of </w:t>
      </w:r>
      <w:r w:rsidRPr="00CD2BAE">
        <w:rPr>
          <w:rFonts w:ascii="Arial" w:hAnsi="Arial" w:cs="Arial"/>
          <w:b/>
          <w:i/>
        </w:rPr>
        <w:t>Accounting Theory</w:t>
      </w:r>
      <w:r w:rsidRPr="00CD2BAE">
        <w:rPr>
          <w:rFonts w:ascii="Arial" w:hAnsi="Arial" w:cs="Arial"/>
        </w:rPr>
        <w:t xml:space="preserve"> includes certain steps, such as “transaction, recording transactions in a journal, posting the transactions, preparing the unadjusted trial balance, analysing the worksheet, adjusting journal entry discrepancies, and preparing a </w:t>
      </w:r>
      <w:r w:rsidRPr="00CD2BAE">
        <w:rPr>
          <w:rFonts w:ascii="Arial" w:hAnsi="Arial" w:cs="Arial"/>
        </w:rPr>
        <w:lastRenderedPageBreak/>
        <w:t xml:space="preserve">financial statement”. </w:t>
      </w:r>
      <w:r w:rsidR="00E4549D" w:rsidRPr="00CD2BAE">
        <w:rPr>
          <w:rFonts w:ascii="Arial" w:hAnsi="Arial" w:cs="Arial"/>
        </w:rPr>
        <w:t>HSBC</w:t>
      </w:r>
      <w:r w:rsidRPr="00CD2BAE">
        <w:rPr>
          <w:rFonts w:ascii="Arial" w:hAnsi="Arial" w:cs="Arial"/>
        </w:rPr>
        <w:t xml:space="preserve"> follows the accounting policy and generates annual reports (HSBC, 2022). Revenues for the segment of "Global banking and markets" are derived by providing services to corporate and wealth management that generate the idea that it provides private banking management solutions to investors. Investment professionals who are known as "active portfolio managers" state that their team of analysis and expertise can enable them to exceed the market benchmark by utilising market inefficiencies. Both fundamental and technical analyses are deemed useless in the semi-strong version of the EMH. The semi-strong form of the "Efficient Market Hypothesis (EMH)" builds upon the assumptions of the weak form by posting that prices react promptly to new information that becomes accessible to the public. Consequently, it is deemed impossible for fundamental analysis to anticipate future price movements.  The "Efficient Market Hypothesis (EMH)" has been widely accepted by the public as well as financial establishments, which has contributed to the notable increase in the popularity of index funds that track key market indexes. This includes both mutual funds and exchange-traded funds (ETFs). </w:t>
      </w:r>
    </w:p>
    <w:p w14:paraId="14AFF320" w14:textId="77777777" w:rsidR="00230E57" w:rsidRPr="00CD2BAE" w:rsidRDefault="00230E57" w:rsidP="00230E57">
      <w:pPr>
        <w:pStyle w:val="Heading2"/>
        <w:rPr>
          <w:rFonts w:ascii="Arial" w:hAnsi="Arial" w:cs="Arial"/>
          <w:b/>
          <w:bCs/>
          <w:color w:val="auto"/>
          <w:sz w:val="24"/>
          <w:szCs w:val="24"/>
        </w:rPr>
      </w:pPr>
      <w:bookmarkStart w:id="4" w:name="_heading=h.skzuqpgnrt40" w:colFirst="0" w:colLast="0"/>
      <w:bookmarkStart w:id="5" w:name="_Toc162341751"/>
      <w:bookmarkEnd w:id="4"/>
      <w:r w:rsidRPr="00CD2BAE">
        <w:rPr>
          <w:rFonts w:ascii="Arial" w:hAnsi="Arial" w:cs="Arial"/>
          <w:b/>
          <w:bCs/>
          <w:color w:val="auto"/>
          <w:sz w:val="24"/>
          <w:szCs w:val="24"/>
        </w:rPr>
        <w:t>Dividend distribution policy: A strategy for financial management</w:t>
      </w:r>
      <w:bookmarkEnd w:id="5"/>
      <w:r w:rsidRPr="00CD2BAE">
        <w:rPr>
          <w:rFonts w:ascii="Arial" w:hAnsi="Arial" w:cs="Arial"/>
          <w:b/>
          <w:bCs/>
          <w:color w:val="auto"/>
          <w:sz w:val="24"/>
          <w:szCs w:val="24"/>
        </w:rPr>
        <w:t xml:space="preserve">  </w:t>
      </w:r>
    </w:p>
    <w:p w14:paraId="3D0EDC21" w14:textId="3723A07F" w:rsidR="00230E57" w:rsidRPr="00CD2BAE" w:rsidRDefault="00230E57" w:rsidP="00230E57">
      <w:pPr>
        <w:rPr>
          <w:rFonts w:ascii="Arial" w:hAnsi="Arial" w:cs="Arial"/>
          <w:b/>
          <w:i/>
        </w:rPr>
      </w:pPr>
      <w:r w:rsidRPr="00CD2BAE">
        <w:rPr>
          <w:rFonts w:ascii="Arial" w:hAnsi="Arial" w:cs="Arial"/>
        </w:rPr>
        <w:t xml:space="preserve">"Dividend distribution policy" endeavours to strike an optimum balance between rewarding shareholders by means of dividends and ensuring that sufficient profits are retained from the growth as well as for meeting the needs of the Company (Sec, 2024). In this regard, Ben Salah and </w:t>
      </w:r>
      <w:proofErr w:type="spellStart"/>
      <w:r w:rsidRPr="00CD2BAE">
        <w:rPr>
          <w:rFonts w:ascii="Arial" w:hAnsi="Arial" w:cs="Arial"/>
        </w:rPr>
        <w:t>Jarboui</w:t>
      </w:r>
      <w:proofErr w:type="spellEnd"/>
      <w:r w:rsidRPr="00CD2BAE">
        <w:rPr>
          <w:rFonts w:ascii="Arial" w:hAnsi="Arial" w:cs="Arial"/>
        </w:rPr>
        <w:t xml:space="preserve">, (2024) stated that </w:t>
      </w:r>
      <w:r w:rsidR="00E4549D" w:rsidRPr="00CD2BAE">
        <w:rPr>
          <w:rFonts w:ascii="Arial" w:hAnsi="Arial" w:cs="Arial"/>
        </w:rPr>
        <w:t>most of</w:t>
      </w:r>
      <w:r w:rsidRPr="00CD2BAE">
        <w:rPr>
          <w:rFonts w:ascii="Arial" w:hAnsi="Arial" w:cs="Arial"/>
        </w:rPr>
        <w:t xml:space="preserve"> the shareholders often choose a high dividend distribution policy that helps to reduce the agency costs and elevate the reputation of the firm in the established market. It can be witnessed that the UK-based banks have forecasted to pay a dividend share of 31% as per the record of 2022 (</w:t>
      </w:r>
      <w:proofErr w:type="spellStart"/>
      <w:r w:rsidRPr="00CD2BAE">
        <w:rPr>
          <w:rFonts w:ascii="Arial" w:hAnsi="Arial" w:cs="Arial"/>
        </w:rPr>
        <w:t>Spglobal</w:t>
      </w:r>
      <w:proofErr w:type="spellEnd"/>
      <w:r w:rsidRPr="00CD2BAE">
        <w:rPr>
          <w:rFonts w:ascii="Arial" w:hAnsi="Arial" w:cs="Arial"/>
        </w:rPr>
        <w:t>, 2022). For example, in this case it can be witnessed that HSBC has reported a tripled profit margin and posted a pretax profit of $12.9 billion versus $4.2 billion in comparison to an earlier year record and the average cost has been estimated to have reached $8.64 billion (Reuters, 2023). Thus, it can be reflected that HSBC smooths the shareholders using restoring dividends as the profit margins are tripled. These perspectives can be aligned with the perspectives of the "</w:t>
      </w:r>
      <w:r w:rsidRPr="00CD2BAE">
        <w:rPr>
          <w:rFonts w:ascii="Arial" w:hAnsi="Arial" w:cs="Arial"/>
          <w:b/>
          <w:i/>
        </w:rPr>
        <w:t xml:space="preserve">Gordon theory of dividend policy”, </w:t>
      </w:r>
      <w:r w:rsidRPr="00CD2BAE">
        <w:rPr>
          <w:rFonts w:ascii="Arial" w:hAnsi="Arial" w:cs="Arial"/>
        </w:rPr>
        <w:t xml:space="preserve">which helps in determining the relationship between the valuation of stocks and the expected returns that are generated from the stock. It at the same time is </w:t>
      </w:r>
      <w:r w:rsidRPr="00CD2BAE">
        <w:rPr>
          <w:rFonts w:ascii="Arial" w:hAnsi="Arial" w:cs="Arial"/>
        </w:rPr>
        <w:lastRenderedPageBreak/>
        <w:t xml:space="preserve">exhibiting how the different variables such as valuation, dividend discount and the growth rate are closely related. Furthermore, it is the sensitivity of the valuation to the changes taking place at the discounted rates thus deciphering a definite relationship between the two variables. Thus, it can be stated that the perspectives of this model are applied within the banking sectors </w:t>
      </w:r>
      <w:r w:rsidR="00E4549D" w:rsidRPr="00CD2BAE">
        <w:rPr>
          <w:rFonts w:ascii="Arial" w:hAnsi="Arial" w:cs="Arial"/>
        </w:rPr>
        <w:t>to</w:t>
      </w:r>
      <w:r w:rsidRPr="00CD2BAE">
        <w:rPr>
          <w:rFonts w:ascii="Arial" w:hAnsi="Arial" w:cs="Arial"/>
        </w:rPr>
        <w:t xml:space="preserve"> help them to initiate informed and rational decisions regarding their investments and provide a fair idea of whether the stocks are overvalued or undervalued.  </w:t>
      </w:r>
      <w:r w:rsidRPr="00CD2BAE">
        <w:rPr>
          <w:rFonts w:ascii="Arial" w:hAnsi="Arial" w:cs="Arial"/>
          <w:b/>
          <w:i/>
        </w:rPr>
        <w:t xml:space="preserve"> </w:t>
      </w:r>
    </w:p>
    <w:p w14:paraId="7E1FBF18" w14:textId="77777777" w:rsidR="00230E57" w:rsidRPr="00CD2BAE" w:rsidRDefault="00230E57" w:rsidP="00230E57">
      <w:pPr>
        <w:pStyle w:val="Heading2"/>
        <w:rPr>
          <w:rFonts w:ascii="Arial" w:hAnsi="Arial" w:cs="Arial"/>
          <w:b/>
          <w:bCs/>
          <w:color w:val="auto"/>
          <w:sz w:val="24"/>
          <w:szCs w:val="24"/>
        </w:rPr>
      </w:pPr>
      <w:bookmarkStart w:id="6" w:name="_heading=h.1bh5vkx4zqvd" w:colFirst="0" w:colLast="0"/>
      <w:bookmarkStart w:id="7" w:name="_Toc162341752"/>
      <w:bookmarkEnd w:id="6"/>
      <w:r w:rsidRPr="00CD2BAE">
        <w:rPr>
          <w:rFonts w:ascii="Arial" w:hAnsi="Arial" w:cs="Arial"/>
          <w:b/>
          <w:bCs/>
          <w:color w:val="auto"/>
          <w:sz w:val="24"/>
          <w:szCs w:val="24"/>
        </w:rPr>
        <w:t>Purchasing power Parity: A strategy for financial management</w:t>
      </w:r>
      <w:bookmarkEnd w:id="7"/>
      <w:r w:rsidRPr="00CD2BAE">
        <w:rPr>
          <w:rFonts w:ascii="Arial" w:hAnsi="Arial" w:cs="Arial"/>
          <w:b/>
          <w:bCs/>
          <w:color w:val="auto"/>
          <w:sz w:val="24"/>
          <w:szCs w:val="24"/>
        </w:rPr>
        <w:t xml:space="preserve">  </w:t>
      </w:r>
    </w:p>
    <w:p w14:paraId="22F2E525" w14:textId="2134E34E" w:rsidR="00230E57" w:rsidRPr="00CD2BAE" w:rsidRDefault="00230E57" w:rsidP="00230E57">
      <w:pPr>
        <w:rPr>
          <w:rFonts w:ascii="Arial" w:hAnsi="Arial" w:cs="Arial"/>
        </w:rPr>
      </w:pPr>
      <w:r w:rsidRPr="00CD2BAE">
        <w:rPr>
          <w:rFonts w:ascii="Arial" w:hAnsi="Arial" w:cs="Arial"/>
        </w:rPr>
        <w:t xml:space="preserve">It can be stated that international finance management is associated with the activities of trading and making money through foreign exchange rates. In this context, the purchasing power parity (PPP) </w:t>
      </w:r>
      <w:r w:rsidR="00E4549D" w:rsidRPr="00CD2BAE">
        <w:rPr>
          <w:rFonts w:ascii="Arial" w:hAnsi="Arial" w:cs="Arial"/>
        </w:rPr>
        <w:t>is</w:t>
      </w:r>
      <w:r w:rsidRPr="00CD2BAE">
        <w:rPr>
          <w:rFonts w:ascii="Arial" w:hAnsi="Arial" w:cs="Arial"/>
        </w:rPr>
        <w:t xml:space="preserve"> the rate of currency conversion that tries to equalise the purchasing power of the different currencies by means of elimination of the differences within the price levels in the different countries (</w:t>
      </w:r>
      <w:proofErr w:type="spellStart"/>
      <w:r w:rsidRPr="00CD2BAE">
        <w:rPr>
          <w:rFonts w:ascii="Arial" w:hAnsi="Arial" w:cs="Arial"/>
          <w:color w:val="222222"/>
          <w:highlight w:val="white"/>
        </w:rPr>
        <w:t>Nagayasu</w:t>
      </w:r>
      <w:proofErr w:type="spellEnd"/>
      <w:r w:rsidRPr="00CD2BAE">
        <w:rPr>
          <w:rFonts w:ascii="Arial" w:hAnsi="Arial" w:cs="Arial"/>
          <w:color w:val="222222"/>
          <w:highlight w:val="white"/>
        </w:rPr>
        <w:t>, 2021</w:t>
      </w:r>
      <w:r w:rsidRPr="00CD2BAE">
        <w:rPr>
          <w:rFonts w:ascii="Arial" w:hAnsi="Arial" w:cs="Arial"/>
        </w:rPr>
        <w:t>). In contrast to this, it can be stated that PPP is harder to measure than market-based rates (</w:t>
      </w:r>
      <w:r w:rsidRPr="00CD2BAE">
        <w:rPr>
          <w:rFonts w:ascii="Arial" w:hAnsi="Arial" w:cs="Arial"/>
          <w:color w:val="222222"/>
          <w:highlight w:val="white"/>
        </w:rPr>
        <w:t>Anderl and Caporale, 2022</w:t>
      </w:r>
      <w:r w:rsidRPr="00CD2BAE">
        <w:rPr>
          <w:rFonts w:ascii="Arial" w:hAnsi="Arial" w:cs="Arial"/>
        </w:rPr>
        <w:t>). It can be witnessed that the GDP per capita PPP in the UK is accounted to be 40104.21 USD, reaching a higher level of 47587.17 USD in 2022 and the latest is witnessed to be 30226.03 USD (</w:t>
      </w:r>
      <w:proofErr w:type="spellStart"/>
      <w:r w:rsidRPr="00CD2BAE">
        <w:rPr>
          <w:rFonts w:ascii="Arial" w:hAnsi="Arial" w:cs="Arial"/>
        </w:rPr>
        <w:t>Tradingeconomics</w:t>
      </w:r>
      <w:proofErr w:type="spellEnd"/>
      <w:r w:rsidRPr="00CD2BAE">
        <w:rPr>
          <w:rFonts w:ascii="Arial" w:hAnsi="Arial" w:cs="Arial"/>
        </w:rPr>
        <w:t xml:space="preserve">, 2024). For example, it can be witnessed that HSBC is associated with the "HSBC </w:t>
      </w:r>
      <w:proofErr w:type="spellStart"/>
      <w:r w:rsidRPr="00CD2BAE">
        <w:rPr>
          <w:rFonts w:ascii="Arial" w:hAnsi="Arial" w:cs="Arial"/>
        </w:rPr>
        <w:t>InvestProtect</w:t>
      </w:r>
      <w:proofErr w:type="spellEnd"/>
      <w:r w:rsidRPr="00CD2BAE">
        <w:rPr>
          <w:rFonts w:ascii="Arial" w:hAnsi="Arial" w:cs="Arial"/>
        </w:rPr>
        <w:t xml:space="preserve"> PPP Fund" (Bloomberg, 2024). In consideration, it can be witnessed that trade management </w:t>
      </w:r>
      <w:r w:rsidR="00E4549D" w:rsidRPr="00CD2BAE">
        <w:rPr>
          <w:rFonts w:ascii="Arial" w:hAnsi="Arial" w:cs="Arial"/>
        </w:rPr>
        <w:t>is</w:t>
      </w:r>
      <w:r w:rsidRPr="00CD2BAE">
        <w:rPr>
          <w:rFonts w:ascii="Arial" w:hAnsi="Arial" w:cs="Arial"/>
        </w:rPr>
        <w:t xml:space="preserve"> the largest asset management for HSBC, but in contradiction, HSBC has been advised to close the PPP for the HSBC VIP clients (LinkedIn, 2023). In consideration of this, it can be reflected that the </w:t>
      </w:r>
      <w:r w:rsidRPr="00CD2BAE">
        <w:rPr>
          <w:rFonts w:ascii="Arial" w:hAnsi="Arial" w:cs="Arial"/>
          <w:b/>
          <w:i/>
        </w:rPr>
        <w:t>neoclassical theory</w:t>
      </w:r>
      <w:r w:rsidRPr="00CD2BAE">
        <w:rPr>
          <w:rFonts w:ascii="Arial" w:hAnsi="Arial" w:cs="Arial"/>
        </w:rPr>
        <w:t xml:space="preserve"> is closely associated with the PPP and assumes that the exchange rate between the two currencies is observed in the international market. Based on this premise, </w:t>
      </w:r>
      <w:proofErr w:type="spellStart"/>
      <w:r w:rsidRPr="00CD2BAE">
        <w:rPr>
          <w:rFonts w:ascii="Arial" w:hAnsi="Arial" w:cs="Arial"/>
          <w:color w:val="222222"/>
          <w:highlight w:val="white"/>
        </w:rPr>
        <w:t>Dolderer</w:t>
      </w:r>
      <w:proofErr w:type="spellEnd"/>
      <w:r w:rsidRPr="00CD2BAE">
        <w:rPr>
          <w:rFonts w:ascii="Arial" w:hAnsi="Arial" w:cs="Arial"/>
          <w:color w:val="222222"/>
          <w:highlight w:val="white"/>
        </w:rPr>
        <w:t xml:space="preserve"> </w:t>
      </w:r>
      <w:r w:rsidRPr="00CD2BAE">
        <w:rPr>
          <w:rFonts w:ascii="Arial" w:hAnsi="Arial" w:cs="Arial"/>
          <w:i/>
          <w:color w:val="222222"/>
          <w:highlight w:val="white"/>
        </w:rPr>
        <w:t xml:space="preserve">et al. </w:t>
      </w:r>
      <w:r w:rsidRPr="00CD2BAE">
        <w:rPr>
          <w:rFonts w:ascii="Arial" w:hAnsi="Arial" w:cs="Arial"/>
        </w:rPr>
        <w:t xml:space="preserve">(2021) posit that neoclassical economics is a broader aspect that focuses on supply and demand as the driving force behind the production, </w:t>
      </w:r>
      <w:proofErr w:type="gramStart"/>
      <w:r w:rsidRPr="00CD2BAE">
        <w:rPr>
          <w:rFonts w:ascii="Arial" w:hAnsi="Arial" w:cs="Arial"/>
        </w:rPr>
        <w:t>pricing</w:t>
      </w:r>
      <w:proofErr w:type="gramEnd"/>
      <w:r w:rsidRPr="00CD2BAE">
        <w:rPr>
          <w:rFonts w:ascii="Arial" w:hAnsi="Arial" w:cs="Arial"/>
        </w:rPr>
        <w:t xml:space="preserve"> and consumption of goods as well as services. Thus, it can be inferred that PPP is the economic aspect of exchange rate determination that states that the level of prices between the two countries should be </w:t>
      </w:r>
      <w:r w:rsidR="00E4549D" w:rsidRPr="00CD2BAE">
        <w:rPr>
          <w:rFonts w:ascii="Arial" w:hAnsi="Arial" w:cs="Arial"/>
        </w:rPr>
        <w:t>equal,</w:t>
      </w:r>
      <w:r w:rsidRPr="00CD2BAE">
        <w:rPr>
          <w:rFonts w:ascii="Arial" w:hAnsi="Arial" w:cs="Arial"/>
        </w:rPr>
        <w:t xml:space="preserve"> and this means that the goods in each country will cost the same once the currencies rates are getting exchanged.    </w:t>
      </w:r>
    </w:p>
    <w:p w14:paraId="5B4D85CB" w14:textId="77777777" w:rsidR="00230E57" w:rsidRPr="00CD2BAE" w:rsidRDefault="00230E57" w:rsidP="00230E57">
      <w:pPr>
        <w:pStyle w:val="Heading1"/>
        <w:rPr>
          <w:rFonts w:ascii="Arial" w:hAnsi="Arial" w:cs="Arial"/>
          <w:b/>
          <w:bCs/>
          <w:color w:val="auto"/>
          <w:sz w:val="24"/>
          <w:szCs w:val="24"/>
        </w:rPr>
      </w:pPr>
      <w:bookmarkStart w:id="8" w:name="_Toc162341753"/>
      <w:r w:rsidRPr="00CD2BAE">
        <w:rPr>
          <w:rFonts w:ascii="Arial" w:hAnsi="Arial" w:cs="Arial"/>
          <w:b/>
          <w:bCs/>
          <w:color w:val="auto"/>
          <w:sz w:val="24"/>
          <w:szCs w:val="24"/>
        </w:rPr>
        <w:lastRenderedPageBreak/>
        <w:t>Conclusion</w:t>
      </w:r>
      <w:bookmarkEnd w:id="8"/>
      <w:r w:rsidRPr="00CD2BAE">
        <w:rPr>
          <w:rFonts w:ascii="Arial" w:hAnsi="Arial" w:cs="Arial"/>
          <w:b/>
          <w:bCs/>
          <w:color w:val="auto"/>
          <w:sz w:val="24"/>
          <w:szCs w:val="24"/>
        </w:rPr>
        <w:t xml:space="preserve"> </w:t>
      </w:r>
    </w:p>
    <w:p w14:paraId="4812B648" w14:textId="30136952" w:rsidR="00230E57" w:rsidRPr="00CD2BAE" w:rsidRDefault="00230E57" w:rsidP="00230E57">
      <w:pPr>
        <w:rPr>
          <w:rFonts w:ascii="Arial" w:hAnsi="Arial" w:cs="Arial"/>
        </w:rPr>
      </w:pPr>
      <w:proofErr w:type="gramStart"/>
      <w:r w:rsidRPr="00CD2BAE">
        <w:rPr>
          <w:rFonts w:ascii="Arial" w:hAnsi="Arial" w:cs="Arial"/>
        </w:rPr>
        <w:t>Considering the above facts, it</w:t>
      </w:r>
      <w:proofErr w:type="gramEnd"/>
      <w:r w:rsidRPr="00CD2BAE">
        <w:rPr>
          <w:rFonts w:ascii="Arial" w:hAnsi="Arial" w:cs="Arial"/>
        </w:rPr>
        <w:t xml:space="preserve"> can be inferred that international financial activities are associated with strategic management financial activities across countries as well as borders. In this regard, international financial operations heavily rely upon international markets since they make international trading in services, products, and financial instruments viable. Furthermore, </w:t>
      </w:r>
      <w:proofErr w:type="gramStart"/>
      <w:r w:rsidRPr="00CD2BAE">
        <w:rPr>
          <w:rFonts w:ascii="Arial" w:hAnsi="Arial" w:cs="Arial"/>
        </w:rPr>
        <w:t>in order to</w:t>
      </w:r>
      <w:proofErr w:type="gramEnd"/>
      <w:r w:rsidRPr="00CD2BAE">
        <w:rPr>
          <w:rFonts w:ascii="Arial" w:hAnsi="Arial" w:cs="Arial"/>
        </w:rPr>
        <w:t xml:space="preserve"> maintain the financial position within the global markets they have introduced the concept of “</w:t>
      </w:r>
      <w:r w:rsidR="00CD2BAE" w:rsidRPr="00CD2BAE">
        <w:rPr>
          <w:rFonts w:ascii="Arial" w:hAnsi="Arial" w:cs="Arial"/>
        </w:rPr>
        <w:t>single digit</w:t>
      </w:r>
      <w:r w:rsidRPr="00CD2BAE">
        <w:rPr>
          <w:rFonts w:ascii="Arial" w:hAnsi="Arial" w:cs="Arial"/>
        </w:rPr>
        <w:t xml:space="preserve">” revenue growth in the long term. Additionally, it has reflected the concept of the “Efficient Market Hypothesis Theory (EMH)”, which states that stock prices represent all penitent data. Moreover, other financial concepts such as the deviant policy and PPP are </w:t>
      </w:r>
      <w:r w:rsidR="00CD2BAE" w:rsidRPr="00CD2BAE">
        <w:rPr>
          <w:rFonts w:ascii="Arial" w:hAnsi="Arial" w:cs="Arial"/>
        </w:rPr>
        <w:t>reflected and</w:t>
      </w:r>
      <w:r w:rsidRPr="00CD2BAE">
        <w:rPr>
          <w:rFonts w:ascii="Arial" w:hAnsi="Arial" w:cs="Arial"/>
        </w:rPr>
        <w:t xml:space="preserve"> considered to be essential components within international financial operations. </w:t>
      </w:r>
    </w:p>
    <w:p w14:paraId="10E7B376" w14:textId="77777777" w:rsidR="00230E57" w:rsidRPr="00CD2BAE" w:rsidRDefault="00230E57" w:rsidP="00230E57">
      <w:pPr>
        <w:pStyle w:val="Heading1"/>
        <w:rPr>
          <w:rFonts w:ascii="Arial" w:hAnsi="Arial" w:cs="Arial"/>
          <w:sz w:val="24"/>
          <w:szCs w:val="24"/>
        </w:rPr>
      </w:pPr>
      <w:bookmarkStart w:id="9" w:name="_heading=h.3znysh7" w:colFirst="0" w:colLast="0"/>
      <w:bookmarkEnd w:id="9"/>
      <w:r w:rsidRPr="00CD2BAE">
        <w:rPr>
          <w:rFonts w:ascii="Arial" w:hAnsi="Arial" w:cs="Arial"/>
          <w:sz w:val="24"/>
          <w:szCs w:val="24"/>
        </w:rPr>
        <w:br w:type="page"/>
      </w:r>
    </w:p>
    <w:p w14:paraId="23DC7E66" w14:textId="77777777" w:rsidR="00230E57" w:rsidRPr="00CD2BAE" w:rsidRDefault="00230E57" w:rsidP="00230E57">
      <w:pPr>
        <w:pStyle w:val="Heading1"/>
        <w:rPr>
          <w:rFonts w:ascii="Arial" w:hAnsi="Arial" w:cs="Arial"/>
          <w:b/>
          <w:bCs/>
          <w:color w:val="auto"/>
          <w:sz w:val="24"/>
          <w:szCs w:val="24"/>
        </w:rPr>
      </w:pPr>
      <w:bookmarkStart w:id="10" w:name="_Toc162341754"/>
      <w:r w:rsidRPr="00CD2BAE">
        <w:rPr>
          <w:rFonts w:ascii="Arial" w:hAnsi="Arial" w:cs="Arial"/>
          <w:b/>
          <w:bCs/>
          <w:color w:val="auto"/>
          <w:sz w:val="24"/>
          <w:szCs w:val="24"/>
        </w:rPr>
        <w:lastRenderedPageBreak/>
        <w:t>References</w:t>
      </w:r>
      <w:bookmarkEnd w:id="10"/>
    </w:p>
    <w:p w14:paraId="5CE9E24C" w14:textId="77777777" w:rsidR="00230E57" w:rsidRPr="00CD2BAE" w:rsidRDefault="00230E57" w:rsidP="00230E57">
      <w:pPr>
        <w:spacing w:before="240"/>
        <w:rPr>
          <w:rFonts w:ascii="Arial" w:hAnsi="Arial" w:cs="Arial"/>
          <w:highlight w:val="white"/>
        </w:rPr>
      </w:pPr>
      <w:r w:rsidRPr="00CD2BAE">
        <w:rPr>
          <w:rFonts w:ascii="Arial" w:hAnsi="Arial" w:cs="Arial"/>
          <w:highlight w:val="white"/>
        </w:rPr>
        <w:t xml:space="preserve">Anderl, C. and Caporale, G.M., 2022. Nonlinearities and asymmetric adjustment to PPP in an exchange rate model with inflation expectations. </w:t>
      </w:r>
      <w:r w:rsidRPr="00CD2BAE">
        <w:rPr>
          <w:rFonts w:ascii="Arial" w:hAnsi="Arial" w:cs="Arial"/>
          <w:i/>
          <w:highlight w:val="white"/>
        </w:rPr>
        <w:t>Journal of Economic Studies</w:t>
      </w:r>
      <w:r w:rsidRPr="00CD2BAE">
        <w:rPr>
          <w:rFonts w:ascii="Arial" w:hAnsi="Arial" w:cs="Arial"/>
          <w:highlight w:val="white"/>
        </w:rPr>
        <w:t xml:space="preserve">, </w:t>
      </w:r>
      <w:r w:rsidRPr="00CD2BAE">
        <w:rPr>
          <w:rFonts w:ascii="Arial" w:hAnsi="Arial" w:cs="Arial"/>
          <w:i/>
          <w:highlight w:val="white"/>
        </w:rPr>
        <w:t>49</w:t>
      </w:r>
      <w:r w:rsidRPr="00CD2BAE">
        <w:rPr>
          <w:rFonts w:ascii="Arial" w:hAnsi="Arial" w:cs="Arial"/>
          <w:highlight w:val="white"/>
        </w:rPr>
        <w:t>(6), pp.937-959.</w:t>
      </w:r>
    </w:p>
    <w:p w14:paraId="139B763F" w14:textId="77777777" w:rsidR="00230E57" w:rsidRPr="00CD2BAE" w:rsidRDefault="00230E57" w:rsidP="00230E57">
      <w:pPr>
        <w:spacing w:before="240"/>
        <w:rPr>
          <w:rFonts w:ascii="Arial" w:hAnsi="Arial" w:cs="Arial"/>
        </w:rPr>
      </w:pPr>
      <w:r w:rsidRPr="00CD2BAE">
        <w:rPr>
          <w:rFonts w:ascii="Arial" w:hAnsi="Arial" w:cs="Arial"/>
        </w:rPr>
        <w:t xml:space="preserve">Asian Development Bank. 2022. </w:t>
      </w:r>
      <w:r w:rsidRPr="00CD2BAE">
        <w:rPr>
          <w:rFonts w:ascii="Arial" w:hAnsi="Arial" w:cs="Arial"/>
          <w:i/>
        </w:rPr>
        <w:t>Toward Inclusive Access to Trade Finance.</w:t>
      </w:r>
      <w:r w:rsidRPr="00CD2BAE">
        <w:rPr>
          <w:rFonts w:ascii="Arial" w:hAnsi="Arial" w:cs="Arial"/>
        </w:rPr>
        <w:t xml:space="preserve"> Available at: https://www.adb.org/sites/default/files/publication/819856/inclusive-access-trade-finance.pdf (Accessed on: 21 March 2024)</w:t>
      </w:r>
    </w:p>
    <w:p w14:paraId="4E14134C" w14:textId="77777777" w:rsidR="00230E57" w:rsidRPr="00CD2BAE" w:rsidRDefault="00230E57" w:rsidP="00230E57">
      <w:pPr>
        <w:spacing w:before="240"/>
        <w:rPr>
          <w:rFonts w:ascii="Arial" w:hAnsi="Arial" w:cs="Arial"/>
        </w:rPr>
      </w:pPr>
      <w:r w:rsidRPr="00CD2BAE">
        <w:rPr>
          <w:rFonts w:ascii="Arial" w:hAnsi="Arial" w:cs="Arial"/>
        </w:rPr>
        <w:t xml:space="preserve">Aziz, H.M., </w:t>
      </w:r>
      <w:proofErr w:type="spellStart"/>
      <w:r w:rsidRPr="00CD2BAE">
        <w:rPr>
          <w:rFonts w:ascii="Arial" w:hAnsi="Arial" w:cs="Arial"/>
        </w:rPr>
        <w:t>Sorguli</w:t>
      </w:r>
      <w:proofErr w:type="spellEnd"/>
      <w:r w:rsidRPr="00CD2BAE">
        <w:rPr>
          <w:rFonts w:ascii="Arial" w:hAnsi="Arial" w:cs="Arial"/>
        </w:rPr>
        <w:t>, S., Hamza, P.A., Sabir, B.Y., Qader, K.S., Ismeal, B.A. and Gardi, B., 2021. Factors affecting international finance corporation. International Journal of Humanities and Education Development (IJHED), 3(3), pp.148-157.</w:t>
      </w:r>
    </w:p>
    <w:p w14:paraId="73351E3A" w14:textId="77777777" w:rsidR="00230E57" w:rsidRPr="00CD2BAE" w:rsidRDefault="00230E57" w:rsidP="00230E57">
      <w:pPr>
        <w:spacing w:before="240"/>
        <w:rPr>
          <w:rFonts w:ascii="Arial" w:hAnsi="Arial" w:cs="Arial"/>
        </w:rPr>
      </w:pPr>
      <w:r w:rsidRPr="00CD2BAE">
        <w:rPr>
          <w:rFonts w:ascii="Arial" w:hAnsi="Arial" w:cs="Arial"/>
        </w:rPr>
        <w:t xml:space="preserve">Ben Salah, O. and </w:t>
      </w:r>
      <w:proofErr w:type="spellStart"/>
      <w:r w:rsidRPr="00CD2BAE">
        <w:rPr>
          <w:rFonts w:ascii="Arial" w:hAnsi="Arial" w:cs="Arial"/>
        </w:rPr>
        <w:t>Jarboui</w:t>
      </w:r>
      <w:proofErr w:type="spellEnd"/>
      <w:r w:rsidRPr="00CD2BAE">
        <w:rPr>
          <w:rFonts w:ascii="Arial" w:hAnsi="Arial" w:cs="Arial"/>
        </w:rPr>
        <w:t>, A., 2024. The relationship between dividend policy and earnings management: a causality analysis. </w:t>
      </w:r>
      <w:r w:rsidRPr="00CD2BAE">
        <w:rPr>
          <w:rFonts w:ascii="Arial" w:hAnsi="Arial" w:cs="Arial"/>
          <w:i/>
        </w:rPr>
        <w:t>Journal of Economics, Finance and Administrative Science</w:t>
      </w:r>
      <w:r w:rsidRPr="00CD2BAE">
        <w:rPr>
          <w:rFonts w:ascii="Arial" w:hAnsi="Arial" w:cs="Arial"/>
        </w:rPr>
        <w:t>.</w:t>
      </w:r>
    </w:p>
    <w:p w14:paraId="57D58C2F" w14:textId="77777777" w:rsidR="00230E57" w:rsidRPr="00CD2BAE" w:rsidRDefault="00230E57" w:rsidP="00230E57">
      <w:pPr>
        <w:spacing w:before="240"/>
        <w:rPr>
          <w:rFonts w:ascii="Arial" w:hAnsi="Arial" w:cs="Arial"/>
        </w:rPr>
      </w:pPr>
      <w:r w:rsidRPr="00CD2BAE">
        <w:rPr>
          <w:rFonts w:ascii="Arial" w:hAnsi="Arial" w:cs="Arial"/>
        </w:rPr>
        <w:t xml:space="preserve">Bloomberg, 2024. </w:t>
      </w:r>
      <w:r w:rsidRPr="00CD2BAE">
        <w:rPr>
          <w:rFonts w:ascii="Arial" w:hAnsi="Arial" w:cs="Arial"/>
          <w:i/>
        </w:rPr>
        <w:t xml:space="preserve">HSBC </w:t>
      </w:r>
      <w:proofErr w:type="spellStart"/>
      <w:r w:rsidRPr="00CD2BAE">
        <w:rPr>
          <w:rFonts w:ascii="Arial" w:hAnsi="Arial" w:cs="Arial"/>
          <w:i/>
        </w:rPr>
        <w:t>InvestProtect</w:t>
      </w:r>
      <w:proofErr w:type="spellEnd"/>
      <w:r w:rsidRPr="00CD2BAE">
        <w:rPr>
          <w:rFonts w:ascii="Arial" w:hAnsi="Arial" w:cs="Arial"/>
          <w:i/>
        </w:rPr>
        <w:t xml:space="preserve"> PPP Fund. </w:t>
      </w:r>
      <w:r w:rsidRPr="00CD2BAE">
        <w:rPr>
          <w:rFonts w:ascii="Arial" w:hAnsi="Arial" w:cs="Arial"/>
        </w:rPr>
        <w:t xml:space="preserve">Available at: </w:t>
      </w:r>
      <w:hyperlink r:id="rId7">
        <w:r w:rsidRPr="00CD2BAE">
          <w:rPr>
            <w:rFonts w:ascii="Arial" w:hAnsi="Arial" w:cs="Arial"/>
          </w:rPr>
          <w:t>https://www.bloomberg.com/quote/HSBCIPP:MK</w:t>
        </w:r>
      </w:hyperlink>
      <w:r w:rsidRPr="00CD2BAE">
        <w:rPr>
          <w:rFonts w:ascii="Arial" w:hAnsi="Arial" w:cs="Arial"/>
        </w:rPr>
        <w:t xml:space="preserve"> (Accessed on: 23 March 2024)</w:t>
      </w:r>
    </w:p>
    <w:p w14:paraId="366FBD51" w14:textId="77777777" w:rsidR="00230E57" w:rsidRPr="00CD2BAE" w:rsidRDefault="00230E57" w:rsidP="00230E57">
      <w:pPr>
        <w:spacing w:before="240"/>
        <w:rPr>
          <w:rFonts w:ascii="Arial" w:hAnsi="Arial" w:cs="Arial"/>
        </w:rPr>
      </w:pPr>
      <w:proofErr w:type="spellStart"/>
      <w:r w:rsidRPr="00CD2BAE">
        <w:rPr>
          <w:rFonts w:ascii="Arial" w:hAnsi="Arial" w:cs="Arial"/>
          <w:highlight w:val="white"/>
        </w:rPr>
        <w:t>Dolderer</w:t>
      </w:r>
      <w:proofErr w:type="spellEnd"/>
      <w:r w:rsidRPr="00CD2BAE">
        <w:rPr>
          <w:rFonts w:ascii="Arial" w:hAnsi="Arial" w:cs="Arial"/>
          <w:highlight w:val="white"/>
        </w:rPr>
        <w:t xml:space="preserve">, J., Felber, C. and </w:t>
      </w:r>
      <w:proofErr w:type="spellStart"/>
      <w:r w:rsidRPr="00CD2BAE">
        <w:rPr>
          <w:rFonts w:ascii="Arial" w:hAnsi="Arial" w:cs="Arial"/>
          <w:highlight w:val="white"/>
        </w:rPr>
        <w:t>Teitscheid</w:t>
      </w:r>
      <w:proofErr w:type="spellEnd"/>
      <w:r w:rsidRPr="00CD2BAE">
        <w:rPr>
          <w:rFonts w:ascii="Arial" w:hAnsi="Arial" w:cs="Arial"/>
          <w:highlight w:val="white"/>
        </w:rPr>
        <w:t xml:space="preserve">, P., 2021. From neoclassical economics to common good economics. </w:t>
      </w:r>
      <w:r w:rsidRPr="00CD2BAE">
        <w:rPr>
          <w:rFonts w:ascii="Arial" w:hAnsi="Arial" w:cs="Arial"/>
          <w:i/>
          <w:highlight w:val="white"/>
        </w:rPr>
        <w:t>sustainability</w:t>
      </w:r>
      <w:r w:rsidRPr="00CD2BAE">
        <w:rPr>
          <w:rFonts w:ascii="Arial" w:hAnsi="Arial" w:cs="Arial"/>
          <w:highlight w:val="white"/>
        </w:rPr>
        <w:t xml:space="preserve">, </w:t>
      </w:r>
      <w:r w:rsidRPr="00CD2BAE">
        <w:rPr>
          <w:rFonts w:ascii="Arial" w:hAnsi="Arial" w:cs="Arial"/>
          <w:i/>
          <w:highlight w:val="white"/>
        </w:rPr>
        <w:t>13</w:t>
      </w:r>
      <w:r w:rsidRPr="00CD2BAE">
        <w:rPr>
          <w:rFonts w:ascii="Arial" w:hAnsi="Arial" w:cs="Arial"/>
          <w:highlight w:val="white"/>
        </w:rPr>
        <w:t>(4), p.2093.</w:t>
      </w:r>
    </w:p>
    <w:p w14:paraId="77BEA8E2" w14:textId="77777777" w:rsidR="00230E57" w:rsidRPr="00CD2BAE" w:rsidRDefault="00230E57" w:rsidP="00230E57">
      <w:pPr>
        <w:spacing w:before="240"/>
        <w:rPr>
          <w:rFonts w:ascii="Arial" w:hAnsi="Arial" w:cs="Arial"/>
        </w:rPr>
      </w:pPr>
      <w:r w:rsidRPr="00CD2BAE">
        <w:rPr>
          <w:rFonts w:ascii="Arial" w:hAnsi="Arial" w:cs="Arial"/>
        </w:rPr>
        <w:t>Dong, J., Yin, L., Liu, X., Hu, M., Li, X. and Liu, L., 2020. Impact of internet finance on the performance of commercial banks in China. International Review of Financial Analysis, 72, p.101579.</w:t>
      </w:r>
    </w:p>
    <w:p w14:paraId="6861EBD9" w14:textId="77777777" w:rsidR="00230E57" w:rsidRPr="00CD2BAE" w:rsidRDefault="00230E57" w:rsidP="00230E57">
      <w:pPr>
        <w:spacing w:before="240"/>
        <w:rPr>
          <w:rFonts w:ascii="Arial" w:hAnsi="Arial" w:cs="Arial"/>
        </w:rPr>
      </w:pPr>
      <w:r w:rsidRPr="00CD2BAE">
        <w:rPr>
          <w:rFonts w:ascii="Arial" w:hAnsi="Arial" w:cs="Arial"/>
        </w:rPr>
        <w:t xml:space="preserve">Forbes. 2022. </w:t>
      </w:r>
      <w:r w:rsidRPr="00CD2BAE">
        <w:rPr>
          <w:rFonts w:ascii="Arial" w:hAnsi="Arial" w:cs="Arial"/>
          <w:i/>
        </w:rPr>
        <w:t>What Is the Efficient Market Hypothesis</w:t>
      </w:r>
      <w:r w:rsidRPr="00CD2BAE">
        <w:rPr>
          <w:rFonts w:ascii="Arial" w:hAnsi="Arial" w:cs="Arial"/>
        </w:rPr>
        <w:t>? Available at: https://www.forbes.com/advisor/investing/efficient-market-hypothesis/ (Accessed on: 21 March 2024)</w:t>
      </w:r>
    </w:p>
    <w:p w14:paraId="0FA1C684" w14:textId="77777777" w:rsidR="00230E57" w:rsidRPr="00CD2BAE" w:rsidRDefault="00230E57" w:rsidP="00230E57">
      <w:pPr>
        <w:spacing w:before="240" w:after="240"/>
        <w:rPr>
          <w:rFonts w:ascii="Arial" w:hAnsi="Arial" w:cs="Arial"/>
        </w:rPr>
      </w:pPr>
      <w:r w:rsidRPr="00CD2BAE">
        <w:rPr>
          <w:rFonts w:ascii="Arial" w:hAnsi="Arial" w:cs="Arial"/>
        </w:rPr>
        <w:t xml:space="preserve">HSBC. 2022. </w:t>
      </w:r>
      <w:r w:rsidRPr="00CD2BAE">
        <w:rPr>
          <w:rFonts w:ascii="Arial" w:hAnsi="Arial" w:cs="Arial"/>
          <w:i/>
        </w:rPr>
        <w:t>INDEPENDENT AUDITOR’S REPORT</w:t>
      </w:r>
      <w:r w:rsidRPr="00CD2BAE">
        <w:rPr>
          <w:rFonts w:ascii="Arial" w:hAnsi="Arial" w:cs="Arial"/>
        </w:rPr>
        <w:t>. https://www.about.hsbc.co.in/-/media/india/en/financial-information/annual-reports/220722-annual-report-2022.pdf (Accessed on: 24 March 2024)</w:t>
      </w:r>
    </w:p>
    <w:p w14:paraId="4C4971E5" w14:textId="77777777" w:rsidR="00230E57" w:rsidRPr="00CD2BAE" w:rsidRDefault="00230E57" w:rsidP="00230E57">
      <w:pPr>
        <w:spacing w:before="240"/>
        <w:rPr>
          <w:rFonts w:ascii="Arial" w:hAnsi="Arial" w:cs="Arial"/>
        </w:rPr>
      </w:pPr>
      <w:r w:rsidRPr="00CD2BAE">
        <w:rPr>
          <w:rFonts w:ascii="Arial" w:hAnsi="Arial" w:cs="Arial"/>
        </w:rPr>
        <w:lastRenderedPageBreak/>
        <w:t xml:space="preserve">HSBC. 2024. </w:t>
      </w:r>
      <w:r w:rsidRPr="00CD2BAE">
        <w:rPr>
          <w:rFonts w:ascii="Arial" w:hAnsi="Arial" w:cs="Arial"/>
          <w:i/>
        </w:rPr>
        <w:t>Our Strategy</w:t>
      </w:r>
      <w:r w:rsidRPr="00CD2BAE">
        <w:rPr>
          <w:rFonts w:ascii="Arial" w:hAnsi="Arial" w:cs="Arial"/>
        </w:rPr>
        <w:t>. Available at: https://www.hsbc.com/who-we-are/purpose-values-and-strategy/our-strategy (Accessed on: 21 March 2024)</w:t>
      </w:r>
    </w:p>
    <w:p w14:paraId="38A34405" w14:textId="77777777" w:rsidR="00230E57" w:rsidRPr="00CD2BAE" w:rsidRDefault="00230E57" w:rsidP="00230E57">
      <w:pPr>
        <w:spacing w:before="240"/>
        <w:rPr>
          <w:rFonts w:ascii="Arial" w:hAnsi="Arial" w:cs="Arial"/>
        </w:rPr>
      </w:pPr>
      <w:r w:rsidRPr="00CD2BAE">
        <w:rPr>
          <w:rFonts w:ascii="Arial" w:hAnsi="Arial" w:cs="Arial"/>
        </w:rPr>
        <w:t xml:space="preserve">LinkedIn, 2023. </w:t>
      </w:r>
      <w:r w:rsidRPr="00CD2BAE">
        <w:rPr>
          <w:rFonts w:ascii="Arial" w:hAnsi="Arial" w:cs="Arial"/>
          <w:i/>
        </w:rPr>
        <w:t xml:space="preserve">Closing advice for PPP for HSBC VIP clients/ issuance of a selected facility primarily for HSBC clients. </w:t>
      </w:r>
      <w:r w:rsidRPr="00CD2BAE">
        <w:rPr>
          <w:rFonts w:ascii="Arial" w:hAnsi="Arial" w:cs="Arial"/>
        </w:rPr>
        <w:t xml:space="preserve">Available at: </w:t>
      </w:r>
      <w:hyperlink r:id="rId8">
        <w:r w:rsidRPr="00CD2BAE">
          <w:rPr>
            <w:rFonts w:ascii="Arial" w:hAnsi="Arial" w:cs="Arial"/>
          </w:rPr>
          <w:t>https://www.linkedin.com/pulse/closing-advice-ppp-hsbc-vip-clients-issuance-selected-groupe-/</w:t>
        </w:r>
      </w:hyperlink>
      <w:r w:rsidRPr="00CD2BAE">
        <w:rPr>
          <w:rFonts w:ascii="Arial" w:hAnsi="Arial" w:cs="Arial"/>
        </w:rPr>
        <w:t xml:space="preserve"> (Accessed on: 22 March 2024)</w:t>
      </w:r>
    </w:p>
    <w:p w14:paraId="6A7547E2" w14:textId="77777777" w:rsidR="00230E57" w:rsidRPr="00CD2BAE" w:rsidRDefault="00230E57" w:rsidP="00230E57">
      <w:pPr>
        <w:spacing w:before="240"/>
        <w:rPr>
          <w:rFonts w:ascii="Arial" w:hAnsi="Arial" w:cs="Arial"/>
          <w:highlight w:val="white"/>
        </w:rPr>
      </w:pPr>
      <w:proofErr w:type="spellStart"/>
      <w:r w:rsidRPr="00CD2BAE">
        <w:rPr>
          <w:rFonts w:ascii="Arial" w:hAnsi="Arial" w:cs="Arial"/>
          <w:highlight w:val="white"/>
        </w:rPr>
        <w:t>Nagayasu</w:t>
      </w:r>
      <w:proofErr w:type="spellEnd"/>
      <w:r w:rsidRPr="00CD2BAE">
        <w:rPr>
          <w:rFonts w:ascii="Arial" w:hAnsi="Arial" w:cs="Arial"/>
          <w:highlight w:val="white"/>
        </w:rPr>
        <w:t xml:space="preserve">, J., 2021. Causal and frequency analyses of purchasing power parity. </w:t>
      </w:r>
      <w:r w:rsidRPr="00CD2BAE">
        <w:rPr>
          <w:rFonts w:ascii="Arial" w:hAnsi="Arial" w:cs="Arial"/>
          <w:i/>
          <w:highlight w:val="white"/>
        </w:rPr>
        <w:t>Journal of International Financial Markets, Institutions and Money</w:t>
      </w:r>
      <w:r w:rsidRPr="00CD2BAE">
        <w:rPr>
          <w:rFonts w:ascii="Arial" w:hAnsi="Arial" w:cs="Arial"/>
          <w:highlight w:val="white"/>
        </w:rPr>
        <w:t xml:space="preserve">, </w:t>
      </w:r>
      <w:r w:rsidRPr="00CD2BAE">
        <w:rPr>
          <w:rFonts w:ascii="Arial" w:hAnsi="Arial" w:cs="Arial"/>
          <w:i/>
          <w:highlight w:val="white"/>
        </w:rPr>
        <w:t>71</w:t>
      </w:r>
      <w:r w:rsidRPr="00CD2BAE">
        <w:rPr>
          <w:rFonts w:ascii="Arial" w:hAnsi="Arial" w:cs="Arial"/>
          <w:highlight w:val="white"/>
        </w:rPr>
        <w:t>, p.101287.</w:t>
      </w:r>
    </w:p>
    <w:p w14:paraId="3053A1AA" w14:textId="77777777" w:rsidR="00230E57" w:rsidRPr="00CD2BAE" w:rsidRDefault="00230E57" w:rsidP="00230E57">
      <w:pPr>
        <w:spacing w:before="240" w:after="240"/>
        <w:rPr>
          <w:rFonts w:ascii="Arial" w:hAnsi="Arial" w:cs="Arial"/>
        </w:rPr>
      </w:pPr>
      <w:r w:rsidRPr="00CD2BAE">
        <w:rPr>
          <w:rFonts w:ascii="Arial" w:hAnsi="Arial" w:cs="Arial"/>
        </w:rPr>
        <w:t xml:space="preserve">Nurunnabi, M., 2021. Theory of International Financial Reporting Standards (IFRS) implementation. In </w:t>
      </w:r>
      <w:r w:rsidRPr="00CD2BAE">
        <w:rPr>
          <w:rFonts w:ascii="Arial" w:hAnsi="Arial" w:cs="Arial"/>
          <w:i/>
        </w:rPr>
        <w:t>International Financial Reporting Standards Implementation: A Global Experience</w:t>
      </w:r>
      <w:r w:rsidRPr="00CD2BAE">
        <w:rPr>
          <w:rFonts w:ascii="Arial" w:hAnsi="Arial" w:cs="Arial"/>
        </w:rPr>
        <w:t xml:space="preserve"> (pp. 313-389). Emerald Publishing Limited.</w:t>
      </w:r>
    </w:p>
    <w:p w14:paraId="136DB434" w14:textId="77777777" w:rsidR="00230E57" w:rsidRPr="00CD2BAE" w:rsidRDefault="00230E57" w:rsidP="00230E57">
      <w:pPr>
        <w:spacing w:before="240"/>
        <w:rPr>
          <w:rFonts w:ascii="Arial" w:hAnsi="Arial" w:cs="Arial"/>
        </w:rPr>
      </w:pPr>
      <w:r w:rsidRPr="00CD2BAE">
        <w:rPr>
          <w:rFonts w:ascii="Arial" w:hAnsi="Arial" w:cs="Arial"/>
        </w:rPr>
        <w:t xml:space="preserve">Reuters, 2023. </w:t>
      </w:r>
      <w:r w:rsidRPr="00CD2BAE">
        <w:rPr>
          <w:rFonts w:ascii="Arial" w:hAnsi="Arial" w:cs="Arial"/>
          <w:i/>
        </w:rPr>
        <w:t>HSBC soothes shareholders by restoring dividend as profit triples</w:t>
      </w:r>
      <w:r w:rsidRPr="00CD2BAE">
        <w:rPr>
          <w:rFonts w:ascii="Arial" w:hAnsi="Arial" w:cs="Arial"/>
        </w:rPr>
        <w:t xml:space="preserve">. Available at: </w:t>
      </w:r>
      <w:hyperlink r:id="rId9">
        <w:r w:rsidRPr="00CD2BAE">
          <w:rPr>
            <w:rFonts w:ascii="Arial" w:hAnsi="Arial" w:cs="Arial"/>
          </w:rPr>
          <w:t>https://www.reuters.com/business/finance/hsbc-profit-more-than-triples-higher-rates-2023-05-02/</w:t>
        </w:r>
      </w:hyperlink>
      <w:r w:rsidRPr="00CD2BAE">
        <w:rPr>
          <w:rFonts w:ascii="Arial" w:hAnsi="Arial" w:cs="Arial"/>
        </w:rPr>
        <w:t xml:space="preserve"> (Accessed on: 21 March 2024)</w:t>
      </w:r>
    </w:p>
    <w:p w14:paraId="72A6E044" w14:textId="77777777" w:rsidR="00230E57" w:rsidRPr="00CD2BAE" w:rsidRDefault="00230E57" w:rsidP="00230E57">
      <w:pPr>
        <w:spacing w:before="240"/>
        <w:rPr>
          <w:rFonts w:ascii="Arial" w:hAnsi="Arial" w:cs="Arial"/>
        </w:rPr>
      </w:pPr>
      <w:r w:rsidRPr="00CD2BAE">
        <w:rPr>
          <w:rFonts w:ascii="Arial" w:hAnsi="Arial" w:cs="Arial"/>
        </w:rPr>
        <w:t xml:space="preserve">Sec, 2024. </w:t>
      </w:r>
      <w:r w:rsidRPr="00CD2BAE">
        <w:rPr>
          <w:rFonts w:ascii="Arial" w:hAnsi="Arial" w:cs="Arial"/>
          <w:i/>
        </w:rPr>
        <w:t xml:space="preserve">Dividend Distribution Policy. </w:t>
      </w:r>
      <w:r w:rsidRPr="00CD2BAE">
        <w:rPr>
          <w:rFonts w:ascii="Arial" w:hAnsi="Arial" w:cs="Arial"/>
        </w:rPr>
        <w:t xml:space="preserve">Available at: https://www.sec.gov/Archives/edgar/data/1067491/000106749117000021/exv15w10.htm  </w:t>
      </w:r>
    </w:p>
    <w:p w14:paraId="06F68572" w14:textId="77777777" w:rsidR="00230E57" w:rsidRPr="00CD2BAE" w:rsidRDefault="00230E57" w:rsidP="00230E57">
      <w:pPr>
        <w:spacing w:before="240"/>
        <w:rPr>
          <w:rFonts w:ascii="Arial" w:hAnsi="Arial" w:cs="Arial"/>
        </w:rPr>
      </w:pPr>
      <w:proofErr w:type="spellStart"/>
      <w:r w:rsidRPr="00CD2BAE">
        <w:rPr>
          <w:rFonts w:ascii="Arial" w:hAnsi="Arial" w:cs="Arial"/>
        </w:rPr>
        <w:t>Spglobal</w:t>
      </w:r>
      <w:proofErr w:type="spellEnd"/>
      <w:r w:rsidRPr="00CD2BAE">
        <w:rPr>
          <w:rFonts w:ascii="Arial" w:hAnsi="Arial" w:cs="Arial"/>
        </w:rPr>
        <w:t xml:space="preserve">, 2022. </w:t>
      </w:r>
      <w:r w:rsidRPr="00CD2BAE">
        <w:rPr>
          <w:rFonts w:ascii="Arial" w:hAnsi="Arial" w:cs="Arial"/>
          <w:i/>
        </w:rPr>
        <w:t xml:space="preserve">HSBC expected to boost dividends amid Chinese investor spat. </w:t>
      </w:r>
      <w:r w:rsidRPr="00CD2BAE">
        <w:rPr>
          <w:rFonts w:ascii="Arial" w:hAnsi="Arial" w:cs="Arial"/>
        </w:rPr>
        <w:t xml:space="preserve">Available at: </w:t>
      </w:r>
      <w:hyperlink r:id="rId10">
        <w:r w:rsidRPr="00CD2BAE">
          <w:rPr>
            <w:rFonts w:ascii="Arial" w:hAnsi="Arial" w:cs="Arial"/>
          </w:rPr>
          <w:t>https://www.spglobal.com/marketintelligence/en/news-insights/latest-news-headlines/hsbc-expected-to-boost-dividends-amid-chinese-investor-spat-71540388</w:t>
        </w:r>
      </w:hyperlink>
      <w:r w:rsidRPr="00CD2BAE">
        <w:rPr>
          <w:rFonts w:ascii="Arial" w:hAnsi="Arial" w:cs="Arial"/>
        </w:rPr>
        <w:t xml:space="preserve"> (Accessed on: 20 March 2024)</w:t>
      </w:r>
    </w:p>
    <w:p w14:paraId="3A6A19E4" w14:textId="77777777" w:rsidR="00230E57" w:rsidRPr="00CD2BAE" w:rsidRDefault="00230E57" w:rsidP="00230E57">
      <w:pPr>
        <w:spacing w:before="240"/>
        <w:rPr>
          <w:rFonts w:ascii="Arial" w:hAnsi="Arial" w:cs="Arial"/>
        </w:rPr>
      </w:pPr>
      <w:proofErr w:type="spellStart"/>
      <w:r w:rsidRPr="00CD2BAE">
        <w:rPr>
          <w:rFonts w:ascii="Arial" w:hAnsi="Arial" w:cs="Arial"/>
        </w:rPr>
        <w:t>Tradingeconomics</w:t>
      </w:r>
      <w:proofErr w:type="spellEnd"/>
      <w:r w:rsidRPr="00CD2BAE">
        <w:rPr>
          <w:rFonts w:ascii="Arial" w:hAnsi="Arial" w:cs="Arial"/>
        </w:rPr>
        <w:t xml:space="preserve">, 2024. </w:t>
      </w:r>
      <w:r w:rsidRPr="00CD2BAE">
        <w:rPr>
          <w:rFonts w:ascii="Arial" w:hAnsi="Arial" w:cs="Arial"/>
          <w:i/>
        </w:rPr>
        <w:t xml:space="preserve">United Kingdom GDP per capita PPP. </w:t>
      </w:r>
      <w:r w:rsidRPr="00CD2BAE">
        <w:rPr>
          <w:rFonts w:ascii="Arial" w:hAnsi="Arial" w:cs="Arial"/>
        </w:rPr>
        <w:t xml:space="preserve">Available at: </w:t>
      </w:r>
      <w:hyperlink r:id="rId11">
        <w:r w:rsidRPr="00CD2BAE">
          <w:rPr>
            <w:rFonts w:ascii="Arial" w:hAnsi="Arial" w:cs="Arial"/>
          </w:rPr>
          <w:t>https://tradingeconomics.com/united-kingdom/gdp-per-capita-ppp</w:t>
        </w:r>
      </w:hyperlink>
      <w:r w:rsidRPr="00CD2BAE">
        <w:rPr>
          <w:rFonts w:ascii="Arial" w:hAnsi="Arial" w:cs="Arial"/>
        </w:rPr>
        <w:t xml:space="preserve"> (Accessed on: 20 March 2024)</w:t>
      </w:r>
    </w:p>
    <w:p w14:paraId="13701181" w14:textId="77777777" w:rsidR="00230E57" w:rsidRPr="00CD2BAE" w:rsidRDefault="00230E57" w:rsidP="00230E57">
      <w:pPr>
        <w:spacing w:before="240"/>
        <w:rPr>
          <w:rFonts w:ascii="Arial" w:hAnsi="Arial" w:cs="Arial"/>
        </w:rPr>
      </w:pPr>
      <w:proofErr w:type="spellStart"/>
      <w:r w:rsidRPr="00CD2BAE">
        <w:rPr>
          <w:rFonts w:ascii="Arial" w:hAnsi="Arial" w:cs="Arial"/>
        </w:rPr>
        <w:t>Trefis</w:t>
      </w:r>
      <w:proofErr w:type="spellEnd"/>
      <w:r w:rsidRPr="00CD2BAE">
        <w:rPr>
          <w:rFonts w:ascii="Arial" w:hAnsi="Arial" w:cs="Arial"/>
        </w:rPr>
        <w:t>. 2020.</w:t>
      </w:r>
      <w:r w:rsidRPr="00CD2BAE">
        <w:rPr>
          <w:rFonts w:ascii="Arial" w:hAnsi="Arial" w:cs="Arial"/>
          <w:i/>
        </w:rPr>
        <w:t xml:space="preserve"> HSBC Revenue: How Does HSBC Make Money</w:t>
      </w:r>
      <w:r w:rsidRPr="00CD2BAE">
        <w:rPr>
          <w:rFonts w:ascii="Arial" w:hAnsi="Arial" w:cs="Arial"/>
        </w:rPr>
        <w:t>? Available at: https://www.trefis.com/data/companies/HSBC/no-login-required/pWbt9Ef6/HSBC-Revenue-How-Does-HSBC-Makes-Money- (Accessed on: 21 March 2024)</w:t>
      </w:r>
    </w:p>
    <w:p w14:paraId="4D5C34E4" w14:textId="77777777" w:rsidR="00230E57" w:rsidRPr="00CD2BAE" w:rsidRDefault="00230E57" w:rsidP="00230E57">
      <w:pPr>
        <w:rPr>
          <w:rFonts w:ascii="Arial" w:hAnsi="Arial" w:cs="Arial"/>
        </w:rPr>
      </w:pPr>
    </w:p>
    <w:p w14:paraId="43E18834" w14:textId="77777777" w:rsidR="00962B42" w:rsidRPr="00CD2BAE" w:rsidRDefault="00962B42">
      <w:pPr>
        <w:rPr>
          <w:rFonts w:ascii="Arial" w:hAnsi="Arial" w:cs="Arial"/>
        </w:rPr>
      </w:pPr>
    </w:p>
    <w:sectPr w:rsidR="00962B42" w:rsidRPr="00CD2BAE" w:rsidSect="00230E57">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496319" w14:textId="77777777" w:rsidR="00494450" w:rsidRDefault="00494450">
      <w:pPr>
        <w:spacing w:line="240" w:lineRule="auto"/>
      </w:pPr>
      <w:r>
        <w:separator/>
      </w:r>
    </w:p>
  </w:endnote>
  <w:endnote w:type="continuationSeparator" w:id="0">
    <w:p w14:paraId="5FD1A868" w14:textId="77777777" w:rsidR="00494450" w:rsidRDefault="004944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65DD0D" w14:textId="77777777" w:rsidR="00230E57" w:rsidRDefault="00230E57">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2</w:t>
    </w:r>
    <w:r>
      <w:rPr>
        <w:color w:val="000000"/>
        <w:sz w:val="20"/>
        <w:szCs w:val="20"/>
      </w:rPr>
      <w:fldChar w:fldCharType="end"/>
    </w:r>
  </w:p>
  <w:p w14:paraId="0FDE2DD7" w14:textId="77777777" w:rsidR="00230E57" w:rsidRDefault="00230E5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7AF014" w14:textId="77777777" w:rsidR="00494450" w:rsidRDefault="00494450">
      <w:pPr>
        <w:spacing w:line="240" w:lineRule="auto"/>
      </w:pPr>
      <w:r>
        <w:separator/>
      </w:r>
    </w:p>
  </w:footnote>
  <w:footnote w:type="continuationSeparator" w:id="0">
    <w:p w14:paraId="6F59F668" w14:textId="77777777" w:rsidR="00494450" w:rsidRDefault="0049445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57"/>
    <w:rsid w:val="000D2C63"/>
    <w:rsid w:val="00230E57"/>
    <w:rsid w:val="00494450"/>
    <w:rsid w:val="00841D6D"/>
    <w:rsid w:val="00962B42"/>
    <w:rsid w:val="00CD2BAE"/>
    <w:rsid w:val="00E45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7D049"/>
  <w15:chartTrackingRefBased/>
  <w15:docId w15:val="{31A8BDEC-E479-4927-89A9-B3BA42BBD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E57"/>
    <w:pPr>
      <w:spacing w:after="0" w:line="360" w:lineRule="auto"/>
      <w:jc w:val="both"/>
    </w:pPr>
    <w:rPr>
      <w:rFonts w:ascii="Times New Roman" w:eastAsia="Times New Roman" w:hAnsi="Times New Roman" w:cs="Times New Roman"/>
      <w:kern w:val="0"/>
      <w:sz w:val="24"/>
      <w:szCs w:val="24"/>
      <w:lang w:eastAsia="en-IN"/>
      <w14:ligatures w14:val="none"/>
    </w:rPr>
  </w:style>
  <w:style w:type="paragraph" w:styleId="Heading1">
    <w:name w:val="heading 1"/>
    <w:basedOn w:val="Normal"/>
    <w:next w:val="Normal"/>
    <w:link w:val="Heading1Char"/>
    <w:uiPriority w:val="9"/>
    <w:qFormat/>
    <w:rsid w:val="00230E57"/>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230E57"/>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230E57"/>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30E57"/>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230E57"/>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230E57"/>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230E57"/>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230E57"/>
    <w:pPr>
      <w:keepNext/>
      <w:keepLines/>
      <w:spacing w:line="259" w:lineRule="auto"/>
      <w:jc w:val="left"/>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230E57"/>
    <w:pPr>
      <w:keepNext/>
      <w:keepLines/>
      <w:spacing w:line="259" w:lineRule="auto"/>
      <w:jc w:val="left"/>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E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E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E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E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E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E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E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E57"/>
    <w:rPr>
      <w:rFonts w:eastAsiaTheme="majorEastAsia" w:cstheme="majorBidi"/>
      <w:color w:val="272727" w:themeColor="text1" w:themeTint="D8"/>
    </w:rPr>
  </w:style>
  <w:style w:type="paragraph" w:styleId="Title">
    <w:name w:val="Title"/>
    <w:basedOn w:val="Normal"/>
    <w:next w:val="Normal"/>
    <w:link w:val="TitleChar"/>
    <w:uiPriority w:val="10"/>
    <w:qFormat/>
    <w:rsid w:val="00230E57"/>
    <w:pPr>
      <w:spacing w:after="80" w:line="240" w:lineRule="auto"/>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30E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E57"/>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30E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E57"/>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230E57"/>
    <w:rPr>
      <w:i/>
      <w:iCs/>
      <w:color w:val="404040" w:themeColor="text1" w:themeTint="BF"/>
    </w:rPr>
  </w:style>
  <w:style w:type="paragraph" w:styleId="ListParagraph">
    <w:name w:val="List Paragraph"/>
    <w:basedOn w:val="Normal"/>
    <w:uiPriority w:val="34"/>
    <w:qFormat/>
    <w:rsid w:val="00230E57"/>
    <w:pPr>
      <w:spacing w:after="160" w:line="259" w:lineRule="auto"/>
      <w:ind w:left="720"/>
      <w:contextualSpacing/>
      <w:jc w:val="left"/>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230E57"/>
    <w:rPr>
      <w:i/>
      <w:iCs/>
      <w:color w:val="0F4761" w:themeColor="accent1" w:themeShade="BF"/>
    </w:rPr>
  </w:style>
  <w:style w:type="paragraph" w:styleId="IntenseQuote">
    <w:name w:val="Intense Quote"/>
    <w:basedOn w:val="Normal"/>
    <w:next w:val="Normal"/>
    <w:link w:val="IntenseQuoteChar"/>
    <w:uiPriority w:val="30"/>
    <w:qFormat/>
    <w:rsid w:val="00230E57"/>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230E57"/>
    <w:rPr>
      <w:i/>
      <w:iCs/>
      <w:color w:val="0F4761" w:themeColor="accent1" w:themeShade="BF"/>
    </w:rPr>
  </w:style>
  <w:style w:type="character" w:styleId="IntenseReference">
    <w:name w:val="Intense Reference"/>
    <w:basedOn w:val="DefaultParagraphFont"/>
    <w:uiPriority w:val="32"/>
    <w:qFormat/>
    <w:rsid w:val="00230E57"/>
    <w:rPr>
      <w:b/>
      <w:bCs/>
      <w:smallCaps/>
      <w:color w:val="0F4761" w:themeColor="accent1" w:themeShade="BF"/>
      <w:spacing w:val="5"/>
    </w:rPr>
  </w:style>
  <w:style w:type="paragraph" w:styleId="TOC1">
    <w:name w:val="toc 1"/>
    <w:basedOn w:val="Normal"/>
    <w:next w:val="Normal"/>
    <w:autoRedefine/>
    <w:uiPriority w:val="39"/>
    <w:unhideWhenUsed/>
    <w:rsid w:val="00230E57"/>
    <w:pPr>
      <w:spacing w:after="100"/>
    </w:pPr>
  </w:style>
  <w:style w:type="character" w:styleId="Hyperlink">
    <w:name w:val="Hyperlink"/>
    <w:basedOn w:val="DefaultParagraphFont"/>
    <w:uiPriority w:val="99"/>
    <w:unhideWhenUsed/>
    <w:rsid w:val="00230E57"/>
    <w:rPr>
      <w:color w:val="467886" w:themeColor="hyperlink"/>
      <w:u w:val="single"/>
    </w:rPr>
  </w:style>
  <w:style w:type="paragraph" w:styleId="TOC2">
    <w:name w:val="toc 2"/>
    <w:basedOn w:val="Normal"/>
    <w:next w:val="Normal"/>
    <w:autoRedefine/>
    <w:uiPriority w:val="39"/>
    <w:unhideWhenUsed/>
    <w:rsid w:val="00230E5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closing-advice-ppp-hsbc-vip-clients-issuance-selected-group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loomberg.com/quote/HSBCIPP:MK"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tradingeconomics.com/united-kingdom/gdp-per-capita-ppp" TargetMode="External"/><Relationship Id="rId5" Type="http://schemas.openxmlformats.org/officeDocument/2006/relationships/endnotes" Target="endnotes.xml"/><Relationship Id="rId10" Type="http://schemas.openxmlformats.org/officeDocument/2006/relationships/hyperlink" Target="https://www.spglobal.com/marketintelligence/en/news-insights/latest-news-headlines/hsbc-expected-to-boost-dividends-amid-chinese-investor-spat-71540388" TargetMode="External"/><Relationship Id="rId4" Type="http://schemas.openxmlformats.org/officeDocument/2006/relationships/footnotes" Target="footnotes.xml"/><Relationship Id="rId9" Type="http://schemas.openxmlformats.org/officeDocument/2006/relationships/hyperlink" Target="https://www.reuters.com/business/finance/hsbc-profit-more-than-triples-higher-rates-2023-05-0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11</Pages>
  <Words>2461</Words>
  <Characters>14033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 (2124449)</cp:lastModifiedBy>
  <cp:revision>2</cp:revision>
  <dcterms:created xsi:type="dcterms:W3CDTF">2024-03-29T19:12:00Z</dcterms:created>
  <dcterms:modified xsi:type="dcterms:W3CDTF">2024-03-29T19:41:00Z</dcterms:modified>
</cp:coreProperties>
</file>