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544F25" w14:textId="77777777" w:rsidR="004D65A9" w:rsidRDefault="004D65A9" w:rsidP="004D65A9">
      <w:r>
        <w:rPr>
          <w:noProof/>
        </w:rPr>
        <w:drawing>
          <wp:anchor distT="0" distB="0" distL="114300" distR="114300" simplePos="0" relativeHeight="251659264" behindDoc="0" locked="0" layoutInCell="1" allowOverlap="1" wp14:anchorId="3B8D7751" wp14:editId="3D27405C">
            <wp:simplePos x="914400" y="914400"/>
            <wp:positionH relativeFrom="column">
              <wp:align>left</wp:align>
            </wp:positionH>
            <wp:positionV relativeFrom="paragraph">
              <wp:align>top</wp:align>
            </wp:positionV>
            <wp:extent cx="1657350" cy="743585"/>
            <wp:effectExtent l="0" t="0" r="0" b="0"/>
            <wp:wrapSquare wrapText="bothSides"/>
            <wp:docPr id="261301171" name="Picture 261301171"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 up of black text&#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657350" cy="743585"/>
                    </a:xfrm>
                    <a:prstGeom prst="rect">
                      <a:avLst/>
                    </a:prstGeom>
                    <a:noFill/>
                  </pic:spPr>
                </pic:pic>
              </a:graphicData>
            </a:graphic>
          </wp:anchor>
        </w:drawing>
      </w:r>
    </w:p>
    <w:p w14:paraId="3E6D2B76" w14:textId="77777777" w:rsidR="004D65A9" w:rsidRDefault="004D65A9" w:rsidP="004D65A9">
      <w:pPr>
        <w:jc w:val="right"/>
      </w:pPr>
    </w:p>
    <w:p w14:paraId="7D2932CB" w14:textId="77777777" w:rsidR="004D65A9" w:rsidRPr="00093C62" w:rsidRDefault="004D65A9" w:rsidP="004D65A9">
      <w:r>
        <w:br w:type="textWrapping" w:clear="all"/>
      </w:r>
    </w:p>
    <w:p w14:paraId="308E8949" w14:textId="77777777" w:rsidR="004D65A9" w:rsidRDefault="004D65A9" w:rsidP="004D65A9">
      <w:pPr>
        <w:spacing w:after="165" w:line="360" w:lineRule="auto"/>
        <w:jc w:val="center"/>
        <w:rPr>
          <w:rFonts w:cs="Times New Roman"/>
        </w:rPr>
      </w:pPr>
      <w:r>
        <w:rPr>
          <w:rFonts w:cs="Times New Roman"/>
        </w:rPr>
        <w:tab/>
      </w:r>
    </w:p>
    <w:p w14:paraId="673592F4" w14:textId="77777777" w:rsidR="004D65A9" w:rsidRPr="00F27031" w:rsidRDefault="004D65A9" w:rsidP="004D65A9">
      <w:pPr>
        <w:spacing w:after="165" w:line="360" w:lineRule="auto"/>
        <w:jc w:val="center"/>
        <w:rPr>
          <w:rFonts w:ascii="Tahoma" w:eastAsia="Tahoma" w:hAnsi="Tahoma" w:cs="Tahoma"/>
          <w:color w:val="000000"/>
          <w:sz w:val="40"/>
          <w:szCs w:val="40"/>
          <w:lang w:eastAsia="zh-CN"/>
        </w:rPr>
      </w:pPr>
      <w:r w:rsidRPr="00CA75A4">
        <w:rPr>
          <w:rFonts w:ascii="Tahoma" w:eastAsia="Tahoma" w:hAnsi="Tahoma" w:cs="Tahoma"/>
          <w:b/>
          <w:bCs/>
          <w:color w:val="000000"/>
          <w:sz w:val="40"/>
          <w:szCs w:val="40"/>
          <w:lang w:eastAsia="zh-CN"/>
        </w:rPr>
        <w:t>MSC Engineering Project Management</w:t>
      </w:r>
      <w:r>
        <w:rPr>
          <w:rFonts w:ascii="Tahoma" w:eastAsia="Tahoma" w:hAnsi="Tahoma" w:cs="Tahoma"/>
          <w:b/>
          <w:bCs/>
          <w:color w:val="000000"/>
          <w:sz w:val="40"/>
          <w:szCs w:val="40"/>
          <w:lang w:eastAsia="zh-CN"/>
        </w:rPr>
        <w:t xml:space="preserve"> </w:t>
      </w:r>
      <w:r w:rsidRPr="00F27031">
        <w:rPr>
          <w:rFonts w:ascii="Tahoma" w:eastAsia="Tahoma" w:hAnsi="Tahoma" w:cs="Tahoma"/>
          <w:color w:val="000000"/>
          <w:sz w:val="40"/>
          <w:szCs w:val="40"/>
          <w:lang w:eastAsia="zh-CN"/>
        </w:rPr>
        <w:t xml:space="preserve">Module Assignment Submission </w:t>
      </w:r>
      <w:r w:rsidRPr="00F27031">
        <w:rPr>
          <w:rFonts w:ascii="Tahoma" w:eastAsia="Tahoma" w:hAnsi="Tahoma" w:cs="Tahoma"/>
          <w:color w:val="000000"/>
          <w:sz w:val="40"/>
          <w:szCs w:val="40"/>
          <w:lang w:eastAsia="zh-CN"/>
        </w:rPr>
        <w:br/>
      </w:r>
    </w:p>
    <w:tbl>
      <w:tblPr>
        <w:tblW w:w="947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0"/>
        <w:gridCol w:w="6042"/>
      </w:tblGrid>
      <w:tr w:rsidR="004D65A9" w:rsidRPr="00F27031" w14:paraId="495BF221" w14:textId="77777777" w:rsidTr="00406116">
        <w:trPr>
          <w:trHeight w:val="717"/>
        </w:trPr>
        <w:tc>
          <w:tcPr>
            <w:tcW w:w="3430" w:type="dxa"/>
            <w:shd w:val="clear" w:color="auto" w:fill="D9D9D9"/>
          </w:tcPr>
          <w:p w14:paraId="0D5387E4" w14:textId="77777777" w:rsidR="004D65A9" w:rsidRPr="00F27031" w:rsidRDefault="004D65A9" w:rsidP="00406116">
            <w:pPr>
              <w:spacing w:before="120" w:after="120" w:line="360" w:lineRule="auto"/>
              <w:rPr>
                <w:rFonts w:ascii="Tahoma" w:eastAsia="Tahoma" w:hAnsi="Tahoma" w:cs="Tahoma"/>
                <w:sz w:val="32"/>
                <w:szCs w:val="32"/>
                <w:lang w:eastAsia="zh-CN"/>
              </w:rPr>
            </w:pPr>
            <w:r w:rsidRPr="00F27031">
              <w:rPr>
                <w:rFonts w:ascii="Tahoma" w:eastAsia="Tahoma" w:hAnsi="Tahoma" w:cs="Tahoma"/>
                <w:sz w:val="32"/>
                <w:szCs w:val="32"/>
                <w:lang w:eastAsia="zh-CN"/>
              </w:rPr>
              <w:t>Student Name:</w:t>
            </w:r>
          </w:p>
        </w:tc>
        <w:tc>
          <w:tcPr>
            <w:tcW w:w="6042" w:type="dxa"/>
          </w:tcPr>
          <w:p w14:paraId="5890E2DC" w14:textId="77777777" w:rsidR="004D65A9" w:rsidRPr="00F27031" w:rsidRDefault="004D65A9" w:rsidP="00406116">
            <w:pPr>
              <w:spacing w:before="120" w:after="120" w:line="360" w:lineRule="auto"/>
              <w:jc w:val="center"/>
              <w:rPr>
                <w:rFonts w:ascii="Tahoma" w:eastAsia="Tahoma" w:hAnsi="Tahoma" w:cs="Tahoma"/>
                <w:sz w:val="32"/>
                <w:szCs w:val="32"/>
                <w:lang w:eastAsia="zh-CN"/>
              </w:rPr>
            </w:pPr>
            <w:r>
              <w:rPr>
                <w:rFonts w:ascii="Tahoma" w:eastAsia="Tahoma" w:hAnsi="Tahoma" w:cs="Tahoma"/>
                <w:sz w:val="32"/>
                <w:szCs w:val="32"/>
                <w:lang w:eastAsia="zh-CN"/>
              </w:rPr>
              <w:t>Armin Tiberiu Polyak</w:t>
            </w:r>
          </w:p>
        </w:tc>
      </w:tr>
      <w:tr w:rsidR="004D65A9" w:rsidRPr="00F27031" w14:paraId="2338CFA5" w14:textId="77777777" w:rsidTr="00406116">
        <w:trPr>
          <w:trHeight w:val="717"/>
        </w:trPr>
        <w:tc>
          <w:tcPr>
            <w:tcW w:w="3430" w:type="dxa"/>
            <w:shd w:val="clear" w:color="auto" w:fill="D9D9D9"/>
          </w:tcPr>
          <w:p w14:paraId="6764BE84" w14:textId="77777777" w:rsidR="004D65A9" w:rsidRPr="00F27031" w:rsidRDefault="004D65A9" w:rsidP="00406116">
            <w:pPr>
              <w:spacing w:before="120" w:after="120" w:line="360" w:lineRule="auto"/>
              <w:rPr>
                <w:rFonts w:ascii="Tahoma" w:eastAsia="Tahoma" w:hAnsi="Tahoma" w:cs="Tahoma"/>
                <w:sz w:val="32"/>
                <w:szCs w:val="32"/>
                <w:lang w:eastAsia="zh-CN"/>
              </w:rPr>
            </w:pPr>
            <w:r w:rsidRPr="00F27031">
              <w:rPr>
                <w:rFonts w:ascii="Tahoma" w:eastAsia="Tahoma" w:hAnsi="Tahoma" w:cs="Tahoma"/>
                <w:sz w:val="32"/>
                <w:szCs w:val="32"/>
                <w:lang w:eastAsia="zh-CN"/>
              </w:rPr>
              <w:t>Student Number:</w:t>
            </w:r>
          </w:p>
        </w:tc>
        <w:tc>
          <w:tcPr>
            <w:tcW w:w="6042" w:type="dxa"/>
          </w:tcPr>
          <w:p w14:paraId="1EEDC8B0" w14:textId="77777777" w:rsidR="004D65A9" w:rsidRPr="00F27031" w:rsidRDefault="004D65A9" w:rsidP="00406116">
            <w:pPr>
              <w:spacing w:before="120" w:after="120" w:line="360" w:lineRule="auto"/>
              <w:jc w:val="center"/>
              <w:rPr>
                <w:rFonts w:ascii="Tahoma" w:eastAsia="Tahoma" w:hAnsi="Tahoma" w:cs="Tahoma"/>
                <w:sz w:val="32"/>
                <w:szCs w:val="32"/>
                <w:lang w:eastAsia="zh-CN"/>
              </w:rPr>
            </w:pPr>
            <w:r>
              <w:rPr>
                <w:rFonts w:ascii="Tahoma" w:eastAsia="Tahoma" w:hAnsi="Tahoma" w:cs="Tahoma"/>
                <w:sz w:val="32"/>
                <w:szCs w:val="32"/>
                <w:lang w:eastAsia="zh-CN"/>
              </w:rPr>
              <w:t>1904920</w:t>
            </w:r>
          </w:p>
        </w:tc>
      </w:tr>
      <w:tr w:rsidR="004D65A9" w:rsidRPr="00F27031" w14:paraId="438E4B6B" w14:textId="77777777" w:rsidTr="00406116">
        <w:trPr>
          <w:trHeight w:val="717"/>
        </w:trPr>
        <w:tc>
          <w:tcPr>
            <w:tcW w:w="3430" w:type="dxa"/>
            <w:shd w:val="clear" w:color="auto" w:fill="D9D9D9"/>
          </w:tcPr>
          <w:p w14:paraId="5582C043" w14:textId="77777777" w:rsidR="004D65A9" w:rsidRPr="00F27031" w:rsidRDefault="004D65A9" w:rsidP="00406116">
            <w:pPr>
              <w:spacing w:before="120" w:after="120" w:line="360" w:lineRule="auto"/>
              <w:rPr>
                <w:rFonts w:ascii="Tahoma" w:eastAsia="Tahoma" w:hAnsi="Tahoma" w:cs="Tahoma"/>
                <w:sz w:val="32"/>
                <w:szCs w:val="32"/>
                <w:lang w:eastAsia="zh-CN"/>
              </w:rPr>
            </w:pPr>
            <w:r w:rsidRPr="00F27031">
              <w:rPr>
                <w:rFonts w:ascii="Tahoma" w:eastAsia="Tahoma" w:hAnsi="Tahoma" w:cs="Tahoma"/>
                <w:sz w:val="32"/>
                <w:szCs w:val="32"/>
                <w:lang w:eastAsia="zh-CN"/>
              </w:rPr>
              <w:t>Module No:</w:t>
            </w:r>
          </w:p>
        </w:tc>
        <w:tc>
          <w:tcPr>
            <w:tcW w:w="6042" w:type="dxa"/>
          </w:tcPr>
          <w:p w14:paraId="1416A395" w14:textId="7708B9BA" w:rsidR="004D65A9" w:rsidRPr="005A2916" w:rsidRDefault="004D65A9" w:rsidP="00406116">
            <w:pPr>
              <w:spacing w:before="120" w:after="120" w:line="360" w:lineRule="auto"/>
              <w:jc w:val="center"/>
              <w:rPr>
                <w:rFonts w:ascii="Tahoma" w:eastAsia="Tahoma" w:hAnsi="Tahoma" w:cs="Tahoma"/>
                <w:color w:val="000000" w:themeColor="text1"/>
                <w:sz w:val="32"/>
                <w:szCs w:val="32"/>
                <w:lang w:eastAsia="zh-CN"/>
              </w:rPr>
            </w:pPr>
            <w:r>
              <w:rPr>
                <w:rFonts w:ascii="Tahoma" w:eastAsia="Tahoma" w:hAnsi="Tahoma" w:cs="Tahoma"/>
                <w:color w:val="000000" w:themeColor="text1"/>
                <w:sz w:val="32"/>
                <w:szCs w:val="32"/>
                <w:lang w:eastAsia="zh-CN"/>
              </w:rPr>
              <w:t>ACHA 702</w:t>
            </w:r>
            <w:r w:rsidR="00B84278">
              <w:rPr>
                <w:rFonts w:ascii="Tahoma" w:eastAsia="Tahoma" w:hAnsi="Tahoma" w:cs="Tahoma"/>
                <w:color w:val="000000" w:themeColor="text1"/>
                <w:sz w:val="32"/>
                <w:szCs w:val="32"/>
                <w:lang w:eastAsia="zh-CN"/>
              </w:rPr>
              <w:t>4</w:t>
            </w:r>
          </w:p>
        </w:tc>
      </w:tr>
      <w:tr w:rsidR="004D65A9" w:rsidRPr="00CA75A4" w14:paraId="18F86FCC" w14:textId="77777777" w:rsidTr="00406116">
        <w:trPr>
          <w:trHeight w:val="361"/>
        </w:trPr>
        <w:tc>
          <w:tcPr>
            <w:tcW w:w="3430" w:type="dxa"/>
            <w:shd w:val="clear" w:color="auto" w:fill="D9D9D9"/>
          </w:tcPr>
          <w:p w14:paraId="44F01BDE" w14:textId="77777777" w:rsidR="004D65A9" w:rsidRPr="00CA75A4" w:rsidRDefault="004D65A9" w:rsidP="00406116">
            <w:pPr>
              <w:spacing w:before="120" w:after="120" w:line="360" w:lineRule="auto"/>
              <w:rPr>
                <w:rFonts w:ascii="Times New Roman" w:eastAsia="Tahoma" w:hAnsi="Times New Roman" w:cs="Times New Roman"/>
                <w:sz w:val="32"/>
                <w:szCs w:val="32"/>
                <w:lang w:eastAsia="zh-CN"/>
              </w:rPr>
            </w:pPr>
            <w:r w:rsidRPr="00CA75A4">
              <w:rPr>
                <w:rFonts w:ascii="Times New Roman" w:eastAsia="Tahoma" w:hAnsi="Times New Roman" w:cs="Times New Roman"/>
                <w:sz w:val="32"/>
                <w:szCs w:val="32"/>
                <w:lang w:eastAsia="zh-CN"/>
              </w:rPr>
              <w:t>Module Title:</w:t>
            </w:r>
          </w:p>
        </w:tc>
        <w:tc>
          <w:tcPr>
            <w:tcW w:w="6042" w:type="dxa"/>
          </w:tcPr>
          <w:p w14:paraId="22AE6F81" w14:textId="45887288" w:rsidR="004D65A9" w:rsidRPr="00951DBC" w:rsidRDefault="00951DBC" w:rsidP="00951DBC">
            <w:pPr>
              <w:spacing w:before="200" w:line="360" w:lineRule="auto"/>
              <w:jc w:val="center"/>
              <w:rPr>
                <w:rFonts w:ascii="Arial" w:eastAsia="Tahoma" w:hAnsi="Arial" w:cs="Arial"/>
                <w:color w:val="000000" w:themeColor="text1"/>
                <w:sz w:val="36"/>
                <w:szCs w:val="36"/>
                <w:lang w:eastAsia="zh-CN"/>
              </w:rPr>
            </w:pPr>
            <w:r w:rsidRPr="00951DBC">
              <w:rPr>
                <w:rFonts w:ascii="Arial" w:hAnsi="Arial" w:cs="Arial"/>
                <w:b/>
                <w:sz w:val="36"/>
                <w:szCs w:val="36"/>
              </w:rPr>
              <w:t>Procurement and Supply Chain Management</w:t>
            </w:r>
          </w:p>
        </w:tc>
      </w:tr>
    </w:tbl>
    <w:p w14:paraId="0DE5A6FA" w14:textId="77777777" w:rsidR="004D65A9" w:rsidRPr="00CA75A4" w:rsidRDefault="004D65A9" w:rsidP="004D65A9">
      <w:pPr>
        <w:spacing w:before="120" w:after="120" w:line="360" w:lineRule="auto"/>
        <w:rPr>
          <w:rFonts w:ascii="Times New Roman" w:eastAsia="Calibri" w:hAnsi="Times New Roman" w:cs="Times New Roman"/>
          <w:color w:val="FF0000"/>
          <w:sz w:val="32"/>
          <w:szCs w:val="32"/>
          <w:lang w:eastAsia="zh-CN"/>
        </w:rPr>
      </w:pPr>
    </w:p>
    <w:p w14:paraId="3E436B55" w14:textId="77777777" w:rsidR="004D65A9" w:rsidRPr="00004908" w:rsidRDefault="004D65A9" w:rsidP="004D65A9">
      <w:pPr>
        <w:spacing w:after="0" w:line="240" w:lineRule="auto"/>
        <w:textAlignment w:val="baseline"/>
        <w:rPr>
          <w:rFonts w:ascii="Times New Roman" w:eastAsia="Times New Roman" w:hAnsi="Times New Roman" w:cs="Times New Roman"/>
        </w:rPr>
      </w:pPr>
      <w:r>
        <w:rPr>
          <w:rFonts w:ascii="Tahoma" w:eastAsia="Tahoma" w:hAnsi="Tahoma" w:cs="Tahoma"/>
          <w:bCs/>
          <w:color w:val="000000"/>
          <w:lang w:eastAsia="zh-CN"/>
        </w:rPr>
        <w:t xml:space="preserve">         </w:t>
      </w:r>
      <w:r>
        <w:rPr>
          <w:rFonts w:ascii="Times New Roman" w:eastAsia="Times New Roman" w:hAnsi="Times New Roman" w:cs="Times New Roman"/>
        </w:rPr>
        <w:t xml:space="preserve"> </w:t>
      </w:r>
      <w:r w:rsidRPr="00004908">
        <w:rPr>
          <w:rFonts w:ascii="Times New Roman" w:eastAsia="Times New Roman" w:hAnsi="Times New Roman" w:cs="Times New Roman"/>
        </w:rPr>
        <w:t>AI Acknowledgement</w:t>
      </w:r>
    </w:p>
    <w:p w14:paraId="3B7983A8" w14:textId="77777777" w:rsidR="004D65A9" w:rsidRPr="00004908" w:rsidRDefault="004D65A9" w:rsidP="004D65A9">
      <w:pPr>
        <w:spacing w:after="0" w:line="240" w:lineRule="auto"/>
        <w:ind w:left="720"/>
        <w:textAlignment w:val="baseline"/>
        <w:rPr>
          <w:rFonts w:ascii="Times New Roman" w:eastAsia="Times New Roman" w:hAnsi="Times New Roman" w:cs="Times New Roman"/>
        </w:rPr>
      </w:pPr>
    </w:p>
    <w:p w14:paraId="3FBC8D76" w14:textId="77777777" w:rsidR="004D65A9" w:rsidRPr="00004908" w:rsidRDefault="004D65A9" w:rsidP="004D65A9">
      <w:pPr>
        <w:spacing w:after="0" w:line="240" w:lineRule="auto"/>
        <w:ind w:left="720"/>
        <w:textAlignment w:val="baseline"/>
        <w:rPr>
          <w:rFonts w:ascii="Times New Roman" w:eastAsia="Times New Roman" w:hAnsi="Times New Roman" w:cs="Times New Roman"/>
        </w:rPr>
      </w:pPr>
      <w:r w:rsidRPr="00004908">
        <w:rPr>
          <w:rFonts w:ascii="Times New Roman" w:eastAsia="Times New Roman" w:hAnsi="Times New Roman" w:cs="Times New Roman"/>
        </w:rPr>
        <w:t>I confirm that I have not present any AI-generated materials as my own work in this portfolio.</w:t>
      </w:r>
    </w:p>
    <w:p w14:paraId="3F8BC202" w14:textId="77777777" w:rsidR="004D65A9" w:rsidRPr="00004908" w:rsidRDefault="004D65A9" w:rsidP="004D65A9">
      <w:pPr>
        <w:spacing w:after="0" w:line="240" w:lineRule="auto"/>
        <w:ind w:left="720"/>
        <w:textAlignment w:val="baseline"/>
        <w:rPr>
          <w:rFonts w:ascii="Times New Roman" w:eastAsia="Times New Roman" w:hAnsi="Times New Roman" w:cs="Times New Roman"/>
        </w:rPr>
      </w:pPr>
    </w:p>
    <w:p w14:paraId="6F9E8DE8" w14:textId="77777777" w:rsidR="004D65A9" w:rsidRPr="00004908" w:rsidRDefault="004D65A9" w:rsidP="004D65A9">
      <w:pPr>
        <w:spacing w:after="0" w:line="240" w:lineRule="auto"/>
        <w:ind w:left="720"/>
        <w:textAlignment w:val="baseline"/>
        <w:rPr>
          <w:rFonts w:ascii="Times New Roman" w:eastAsia="Times New Roman" w:hAnsi="Times New Roman" w:cs="Times New Roman"/>
        </w:rPr>
      </w:pPr>
      <w:r w:rsidRPr="00004908">
        <w:rPr>
          <w:rFonts w:ascii="Times New Roman" w:eastAsia="Times New Roman" w:hAnsi="Times New Roman" w:cs="Times New Roman"/>
        </w:rPr>
        <w:t>However, I acknowledge that I have used or may have used the AI in the research and proofreading of my portfolio.</w:t>
      </w:r>
    </w:p>
    <w:p w14:paraId="30B6EC8D" w14:textId="77777777" w:rsidR="004D65A9" w:rsidRPr="00004908" w:rsidRDefault="004D65A9" w:rsidP="004D65A9">
      <w:pPr>
        <w:spacing w:after="0" w:line="240" w:lineRule="auto"/>
        <w:ind w:left="720"/>
        <w:textAlignment w:val="baseline"/>
        <w:rPr>
          <w:rFonts w:ascii="Times New Roman" w:eastAsia="Times New Roman" w:hAnsi="Times New Roman" w:cs="Times New Roman"/>
        </w:rPr>
      </w:pPr>
    </w:p>
    <w:p w14:paraId="749DAD05" w14:textId="77777777" w:rsidR="004D65A9" w:rsidRPr="00004908" w:rsidRDefault="004D65A9" w:rsidP="004D65A9">
      <w:pPr>
        <w:spacing w:after="0" w:line="240" w:lineRule="auto"/>
        <w:ind w:left="720"/>
        <w:textAlignment w:val="baseline"/>
        <w:rPr>
          <w:rFonts w:ascii="Times New Roman" w:eastAsia="Times New Roman" w:hAnsi="Times New Roman" w:cs="Times New Roman"/>
        </w:rPr>
      </w:pPr>
      <w:r w:rsidRPr="00004908">
        <w:rPr>
          <w:rFonts w:ascii="Times New Roman" w:eastAsia="Times New Roman" w:hAnsi="Times New Roman" w:cs="Times New Roman"/>
        </w:rPr>
        <w:t>Name: Armin Polyak</w:t>
      </w:r>
    </w:p>
    <w:p w14:paraId="600383D0" w14:textId="4CE45898" w:rsidR="004D65A9" w:rsidRDefault="004D65A9" w:rsidP="004D65A9">
      <w:pPr>
        <w:spacing w:after="0" w:line="240" w:lineRule="auto"/>
        <w:ind w:left="720"/>
        <w:textAlignment w:val="baseline"/>
        <w:rPr>
          <w:rFonts w:ascii="Times New Roman" w:eastAsia="Times New Roman" w:hAnsi="Times New Roman" w:cs="Times New Roman"/>
        </w:rPr>
      </w:pPr>
      <w:r w:rsidRPr="00004908">
        <w:rPr>
          <w:rFonts w:ascii="Times New Roman" w:eastAsia="Times New Roman" w:hAnsi="Times New Roman" w:cs="Times New Roman"/>
        </w:rPr>
        <w:t xml:space="preserve">Student </w:t>
      </w:r>
      <w:r w:rsidR="006B4265" w:rsidRPr="00004908">
        <w:rPr>
          <w:rFonts w:ascii="Times New Roman" w:eastAsia="Times New Roman" w:hAnsi="Times New Roman" w:cs="Times New Roman"/>
        </w:rPr>
        <w:t>ID:</w:t>
      </w:r>
      <w:r w:rsidRPr="00004908">
        <w:rPr>
          <w:rFonts w:ascii="Times New Roman" w:eastAsia="Times New Roman" w:hAnsi="Times New Roman" w:cs="Times New Roman"/>
        </w:rPr>
        <w:t xml:space="preserve"> 1904920</w:t>
      </w:r>
    </w:p>
    <w:p w14:paraId="01E4AB17" w14:textId="77777777" w:rsidR="004D65A9" w:rsidRDefault="004D65A9" w:rsidP="004D65A9">
      <w:pPr>
        <w:spacing w:after="0" w:line="240" w:lineRule="auto"/>
        <w:ind w:left="720"/>
        <w:textAlignment w:val="baseline"/>
        <w:rPr>
          <w:rFonts w:ascii="Times New Roman" w:eastAsia="Times New Roman" w:hAnsi="Times New Roman" w:cs="Times New Roman"/>
        </w:rPr>
      </w:pPr>
    </w:p>
    <w:p w14:paraId="3C8453BE" w14:textId="77777777" w:rsidR="004D65A9" w:rsidRDefault="004D65A9" w:rsidP="004D65A9">
      <w:pPr>
        <w:spacing w:after="0" w:line="240" w:lineRule="auto"/>
        <w:ind w:left="720"/>
        <w:textAlignment w:val="baseline"/>
        <w:rPr>
          <w:rFonts w:ascii="Times New Roman" w:eastAsia="Times New Roman" w:hAnsi="Times New Roman" w:cs="Times New Roman"/>
        </w:rPr>
      </w:pPr>
    </w:p>
    <w:p w14:paraId="2E377720" w14:textId="77777777" w:rsidR="00563DF9" w:rsidRPr="00CA0641" w:rsidRDefault="00563DF9" w:rsidP="002A6E89">
      <w:pPr>
        <w:rPr>
          <w:rFonts w:ascii="Calibri" w:hAnsi="Calibri" w:cs="Calibri"/>
          <w:b/>
          <w:bCs/>
          <w:sz w:val="22"/>
          <w:szCs w:val="22"/>
        </w:rPr>
      </w:pPr>
    </w:p>
    <w:p w14:paraId="6441824B" w14:textId="77777777" w:rsidR="00D00FC2" w:rsidRDefault="00D00FC2" w:rsidP="002A6E89">
      <w:pPr>
        <w:rPr>
          <w:rFonts w:ascii="Calibri" w:hAnsi="Calibri" w:cs="Calibri"/>
          <w:b/>
          <w:bCs/>
          <w:sz w:val="22"/>
          <w:szCs w:val="22"/>
        </w:rPr>
      </w:pPr>
    </w:p>
    <w:sdt>
      <w:sdtPr>
        <w:rPr>
          <w:rFonts w:asciiTheme="minorHAnsi" w:eastAsiaTheme="minorHAnsi" w:hAnsiTheme="minorHAnsi" w:cstheme="minorBidi"/>
          <w:color w:val="auto"/>
          <w:kern w:val="2"/>
          <w:sz w:val="24"/>
          <w:szCs w:val="24"/>
          <w:lang w:eastAsia="en-US"/>
          <w14:ligatures w14:val="standardContextual"/>
        </w:rPr>
        <w:id w:val="3710624"/>
        <w:docPartObj>
          <w:docPartGallery w:val="Table of Contents"/>
          <w:docPartUnique/>
        </w:docPartObj>
      </w:sdtPr>
      <w:sdtEndPr>
        <w:rPr>
          <w:b/>
          <w:bCs/>
        </w:rPr>
      </w:sdtEndPr>
      <w:sdtContent>
        <w:p w14:paraId="67DFE566" w14:textId="2015D1BD" w:rsidR="00EE6B35" w:rsidRDefault="00EE6B35">
          <w:pPr>
            <w:pStyle w:val="TOCHeading"/>
            <w:rPr>
              <w:sz w:val="56"/>
              <w:szCs w:val="56"/>
            </w:rPr>
          </w:pPr>
          <w:r w:rsidRPr="00EE6B35">
            <w:rPr>
              <w:sz w:val="56"/>
              <w:szCs w:val="56"/>
            </w:rPr>
            <w:t>Contents</w:t>
          </w:r>
        </w:p>
        <w:p w14:paraId="24AAC6D4" w14:textId="77777777" w:rsidR="00EE6B35" w:rsidRDefault="00EE6B35" w:rsidP="00EE6B35">
          <w:pPr>
            <w:rPr>
              <w:lang w:eastAsia="en-GB"/>
            </w:rPr>
          </w:pPr>
        </w:p>
        <w:p w14:paraId="2E578A8E" w14:textId="77777777" w:rsidR="00EE6B35" w:rsidRPr="00EE6B35" w:rsidRDefault="00EE6B35" w:rsidP="00EE6B35">
          <w:pPr>
            <w:rPr>
              <w:lang w:eastAsia="en-GB"/>
            </w:rPr>
          </w:pPr>
        </w:p>
        <w:p w14:paraId="4E5D52A7" w14:textId="4927A486" w:rsidR="000C0168" w:rsidRDefault="00EE6B35">
          <w:pPr>
            <w:pStyle w:val="TOC1"/>
            <w:tabs>
              <w:tab w:val="right" w:leader="dot" w:pos="9016"/>
            </w:tabs>
            <w:rPr>
              <w:rFonts w:cstheme="minorBidi"/>
              <w:noProof/>
              <w:kern w:val="2"/>
              <w:sz w:val="24"/>
              <w:szCs w:val="24"/>
              <w14:ligatures w14:val="standardContextual"/>
            </w:rPr>
          </w:pPr>
          <w:r w:rsidRPr="00EE6B35">
            <w:rPr>
              <w:sz w:val="32"/>
              <w:szCs w:val="32"/>
            </w:rPr>
            <w:fldChar w:fldCharType="begin"/>
          </w:r>
          <w:r w:rsidRPr="00EE6B35">
            <w:rPr>
              <w:sz w:val="32"/>
              <w:szCs w:val="32"/>
            </w:rPr>
            <w:instrText xml:space="preserve"> TOC \o "1-3" \h \z \u </w:instrText>
          </w:r>
          <w:r w:rsidRPr="00EE6B35">
            <w:rPr>
              <w:sz w:val="32"/>
              <w:szCs w:val="32"/>
            </w:rPr>
            <w:fldChar w:fldCharType="separate"/>
          </w:r>
          <w:hyperlink w:anchor="_Toc235917961" w:history="1">
            <w:r w:rsidR="000C0168" w:rsidRPr="00D647CC">
              <w:rPr>
                <w:rStyle w:val="Hyperlink"/>
                <w:noProof/>
              </w:rPr>
              <w:t>1. Introduction</w:t>
            </w:r>
            <w:r w:rsidR="000C0168">
              <w:rPr>
                <w:noProof/>
                <w:webHidden/>
              </w:rPr>
              <w:tab/>
            </w:r>
            <w:r w:rsidR="000C0168">
              <w:rPr>
                <w:noProof/>
                <w:webHidden/>
              </w:rPr>
              <w:fldChar w:fldCharType="begin"/>
            </w:r>
            <w:r w:rsidR="000C0168">
              <w:rPr>
                <w:noProof/>
                <w:webHidden/>
              </w:rPr>
              <w:instrText xml:space="preserve"> PAGEREF _Toc235917961 \h </w:instrText>
            </w:r>
            <w:r w:rsidR="000C0168">
              <w:rPr>
                <w:noProof/>
                <w:webHidden/>
              </w:rPr>
            </w:r>
            <w:r w:rsidR="000C0168">
              <w:rPr>
                <w:noProof/>
                <w:webHidden/>
              </w:rPr>
              <w:fldChar w:fldCharType="separate"/>
            </w:r>
            <w:r w:rsidR="000C0168">
              <w:rPr>
                <w:noProof/>
                <w:webHidden/>
              </w:rPr>
              <w:t>3</w:t>
            </w:r>
            <w:r w:rsidR="000C0168">
              <w:rPr>
                <w:noProof/>
                <w:webHidden/>
              </w:rPr>
              <w:fldChar w:fldCharType="end"/>
            </w:r>
          </w:hyperlink>
        </w:p>
        <w:p w14:paraId="6D38BC0A" w14:textId="6A039576" w:rsidR="000C0168" w:rsidRDefault="000C0168">
          <w:pPr>
            <w:pStyle w:val="TOC1"/>
            <w:tabs>
              <w:tab w:val="right" w:leader="dot" w:pos="9016"/>
            </w:tabs>
            <w:rPr>
              <w:rFonts w:cstheme="minorBidi"/>
              <w:noProof/>
              <w:kern w:val="2"/>
              <w:sz w:val="24"/>
              <w:szCs w:val="24"/>
              <w14:ligatures w14:val="standardContextual"/>
            </w:rPr>
          </w:pPr>
          <w:hyperlink w:anchor="_Toc235917962" w:history="1">
            <w:r w:rsidRPr="00D647CC">
              <w:rPr>
                <w:rStyle w:val="Hyperlink"/>
                <w:noProof/>
              </w:rPr>
              <w:t>2. Toyota's International Supply Chain</w:t>
            </w:r>
            <w:r>
              <w:rPr>
                <w:noProof/>
                <w:webHidden/>
              </w:rPr>
              <w:tab/>
            </w:r>
            <w:r>
              <w:rPr>
                <w:noProof/>
                <w:webHidden/>
              </w:rPr>
              <w:fldChar w:fldCharType="begin"/>
            </w:r>
            <w:r>
              <w:rPr>
                <w:noProof/>
                <w:webHidden/>
              </w:rPr>
              <w:instrText xml:space="preserve"> PAGEREF _Toc235917962 \h </w:instrText>
            </w:r>
            <w:r>
              <w:rPr>
                <w:noProof/>
                <w:webHidden/>
              </w:rPr>
            </w:r>
            <w:r>
              <w:rPr>
                <w:noProof/>
                <w:webHidden/>
              </w:rPr>
              <w:fldChar w:fldCharType="separate"/>
            </w:r>
            <w:r>
              <w:rPr>
                <w:noProof/>
                <w:webHidden/>
              </w:rPr>
              <w:t>4</w:t>
            </w:r>
            <w:r>
              <w:rPr>
                <w:noProof/>
                <w:webHidden/>
              </w:rPr>
              <w:fldChar w:fldCharType="end"/>
            </w:r>
          </w:hyperlink>
        </w:p>
        <w:p w14:paraId="3492B0A3" w14:textId="0B90A74C" w:rsidR="000C0168" w:rsidRDefault="000C0168">
          <w:pPr>
            <w:pStyle w:val="TOC1"/>
            <w:tabs>
              <w:tab w:val="right" w:leader="dot" w:pos="9016"/>
            </w:tabs>
            <w:rPr>
              <w:rFonts w:cstheme="minorBidi"/>
              <w:noProof/>
              <w:kern w:val="2"/>
              <w:sz w:val="24"/>
              <w:szCs w:val="24"/>
              <w14:ligatures w14:val="standardContextual"/>
            </w:rPr>
          </w:pPr>
          <w:hyperlink w:anchor="_Toc235917963" w:history="1">
            <w:r w:rsidRPr="00D647CC">
              <w:rPr>
                <w:rStyle w:val="Hyperlink"/>
                <w:noProof/>
              </w:rPr>
              <w:t>3. Failure Mode and Effects Analysis (FMEA)</w:t>
            </w:r>
            <w:r>
              <w:rPr>
                <w:noProof/>
                <w:webHidden/>
              </w:rPr>
              <w:tab/>
            </w:r>
            <w:r>
              <w:rPr>
                <w:noProof/>
                <w:webHidden/>
              </w:rPr>
              <w:fldChar w:fldCharType="begin"/>
            </w:r>
            <w:r>
              <w:rPr>
                <w:noProof/>
                <w:webHidden/>
              </w:rPr>
              <w:instrText xml:space="preserve"> PAGEREF _Toc235917963 \h </w:instrText>
            </w:r>
            <w:r>
              <w:rPr>
                <w:noProof/>
                <w:webHidden/>
              </w:rPr>
            </w:r>
            <w:r>
              <w:rPr>
                <w:noProof/>
                <w:webHidden/>
              </w:rPr>
              <w:fldChar w:fldCharType="separate"/>
            </w:r>
            <w:r>
              <w:rPr>
                <w:noProof/>
                <w:webHidden/>
              </w:rPr>
              <w:t>5</w:t>
            </w:r>
            <w:r>
              <w:rPr>
                <w:noProof/>
                <w:webHidden/>
              </w:rPr>
              <w:fldChar w:fldCharType="end"/>
            </w:r>
          </w:hyperlink>
        </w:p>
        <w:p w14:paraId="7A8F315B" w14:textId="01829BDD" w:rsidR="000C0168" w:rsidRDefault="000C0168">
          <w:pPr>
            <w:pStyle w:val="TOC2"/>
            <w:tabs>
              <w:tab w:val="right" w:leader="dot" w:pos="9016"/>
            </w:tabs>
            <w:rPr>
              <w:rFonts w:cstheme="minorBidi"/>
              <w:noProof/>
              <w:kern w:val="2"/>
              <w:sz w:val="24"/>
              <w:szCs w:val="24"/>
              <w14:ligatures w14:val="standardContextual"/>
            </w:rPr>
          </w:pPr>
          <w:hyperlink w:anchor="_Toc235917964" w:history="1">
            <w:r w:rsidRPr="00D647CC">
              <w:rPr>
                <w:rStyle w:val="Hyperlink"/>
                <w:noProof/>
              </w:rPr>
              <w:t>3.1 Overview of Failure Mode and Effects Analysis</w:t>
            </w:r>
            <w:r>
              <w:rPr>
                <w:noProof/>
                <w:webHidden/>
              </w:rPr>
              <w:tab/>
            </w:r>
            <w:r>
              <w:rPr>
                <w:noProof/>
                <w:webHidden/>
              </w:rPr>
              <w:fldChar w:fldCharType="begin"/>
            </w:r>
            <w:r>
              <w:rPr>
                <w:noProof/>
                <w:webHidden/>
              </w:rPr>
              <w:instrText xml:space="preserve"> PAGEREF _Toc235917964 \h </w:instrText>
            </w:r>
            <w:r>
              <w:rPr>
                <w:noProof/>
                <w:webHidden/>
              </w:rPr>
            </w:r>
            <w:r>
              <w:rPr>
                <w:noProof/>
                <w:webHidden/>
              </w:rPr>
              <w:fldChar w:fldCharType="separate"/>
            </w:r>
            <w:r>
              <w:rPr>
                <w:noProof/>
                <w:webHidden/>
              </w:rPr>
              <w:t>5</w:t>
            </w:r>
            <w:r>
              <w:rPr>
                <w:noProof/>
                <w:webHidden/>
              </w:rPr>
              <w:fldChar w:fldCharType="end"/>
            </w:r>
          </w:hyperlink>
        </w:p>
        <w:p w14:paraId="62656F96" w14:textId="083191A1" w:rsidR="000C0168" w:rsidRDefault="000C0168">
          <w:pPr>
            <w:pStyle w:val="TOC3"/>
            <w:tabs>
              <w:tab w:val="right" w:leader="dot" w:pos="9016"/>
            </w:tabs>
            <w:rPr>
              <w:rFonts w:cstheme="minorBidi"/>
              <w:noProof/>
              <w:kern w:val="2"/>
              <w:sz w:val="24"/>
              <w:szCs w:val="24"/>
              <w14:ligatures w14:val="standardContextual"/>
            </w:rPr>
          </w:pPr>
          <w:hyperlink w:anchor="_Toc235917965" w:history="1">
            <w:r w:rsidRPr="00D647CC">
              <w:rPr>
                <w:rStyle w:val="Hyperlink"/>
                <w:noProof/>
              </w:rPr>
              <w:t>3.2 Failure Mode and Effects Analysis (FMEA) of Toyota's International Supply Chain</w:t>
            </w:r>
            <w:r>
              <w:rPr>
                <w:noProof/>
                <w:webHidden/>
              </w:rPr>
              <w:tab/>
            </w:r>
            <w:r>
              <w:rPr>
                <w:noProof/>
                <w:webHidden/>
              </w:rPr>
              <w:fldChar w:fldCharType="begin"/>
            </w:r>
            <w:r>
              <w:rPr>
                <w:noProof/>
                <w:webHidden/>
              </w:rPr>
              <w:instrText xml:space="preserve"> PAGEREF _Toc235917965 \h </w:instrText>
            </w:r>
            <w:r>
              <w:rPr>
                <w:noProof/>
                <w:webHidden/>
              </w:rPr>
            </w:r>
            <w:r>
              <w:rPr>
                <w:noProof/>
                <w:webHidden/>
              </w:rPr>
              <w:fldChar w:fldCharType="separate"/>
            </w:r>
            <w:r>
              <w:rPr>
                <w:noProof/>
                <w:webHidden/>
              </w:rPr>
              <w:t>7</w:t>
            </w:r>
            <w:r>
              <w:rPr>
                <w:noProof/>
                <w:webHidden/>
              </w:rPr>
              <w:fldChar w:fldCharType="end"/>
            </w:r>
          </w:hyperlink>
        </w:p>
        <w:p w14:paraId="6876AD53" w14:textId="25FD3868" w:rsidR="000C0168" w:rsidRDefault="000C0168">
          <w:pPr>
            <w:pStyle w:val="TOC1"/>
            <w:tabs>
              <w:tab w:val="right" w:leader="dot" w:pos="9016"/>
            </w:tabs>
            <w:rPr>
              <w:rFonts w:cstheme="minorBidi"/>
              <w:noProof/>
              <w:kern w:val="2"/>
              <w:sz w:val="24"/>
              <w:szCs w:val="24"/>
              <w14:ligatures w14:val="standardContextual"/>
            </w:rPr>
          </w:pPr>
          <w:hyperlink w:anchor="_Toc235917966" w:history="1">
            <w:r w:rsidRPr="00D647CC">
              <w:rPr>
                <w:rStyle w:val="Hyperlink"/>
                <w:noProof/>
              </w:rPr>
              <w:t>4. Improving Supply Chain Resilience</w:t>
            </w:r>
            <w:r>
              <w:rPr>
                <w:noProof/>
                <w:webHidden/>
              </w:rPr>
              <w:tab/>
            </w:r>
            <w:r>
              <w:rPr>
                <w:noProof/>
                <w:webHidden/>
              </w:rPr>
              <w:fldChar w:fldCharType="begin"/>
            </w:r>
            <w:r>
              <w:rPr>
                <w:noProof/>
                <w:webHidden/>
              </w:rPr>
              <w:instrText xml:space="preserve"> PAGEREF _Toc235917966 \h </w:instrText>
            </w:r>
            <w:r>
              <w:rPr>
                <w:noProof/>
                <w:webHidden/>
              </w:rPr>
            </w:r>
            <w:r>
              <w:rPr>
                <w:noProof/>
                <w:webHidden/>
              </w:rPr>
              <w:fldChar w:fldCharType="separate"/>
            </w:r>
            <w:r>
              <w:rPr>
                <w:noProof/>
                <w:webHidden/>
              </w:rPr>
              <w:t>9</w:t>
            </w:r>
            <w:r>
              <w:rPr>
                <w:noProof/>
                <w:webHidden/>
              </w:rPr>
              <w:fldChar w:fldCharType="end"/>
            </w:r>
          </w:hyperlink>
        </w:p>
        <w:p w14:paraId="2BE42F35" w14:textId="395B849C" w:rsidR="000C0168" w:rsidRDefault="000C0168">
          <w:pPr>
            <w:pStyle w:val="TOC2"/>
            <w:tabs>
              <w:tab w:val="right" w:leader="dot" w:pos="9016"/>
            </w:tabs>
            <w:rPr>
              <w:rFonts w:cstheme="minorBidi"/>
              <w:noProof/>
              <w:kern w:val="2"/>
              <w:sz w:val="24"/>
              <w:szCs w:val="24"/>
              <w14:ligatures w14:val="standardContextual"/>
            </w:rPr>
          </w:pPr>
          <w:hyperlink w:anchor="_Toc235917967" w:history="1">
            <w:r w:rsidRPr="00D647CC">
              <w:rPr>
                <w:rStyle w:val="Hyperlink"/>
                <w:noProof/>
              </w:rPr>
              <w:t>4.1 Supplier Diversification</w:t>
            </w:r>
            <w:r>
              <w:rPr>
                <w:noProof/>
                <w:webHidden/>
              </w:rPr>
              <w:tab/>
            </w:r>
            <w:r>
              <w:rPr>
                <w:noProof/>
                <w:webHidden/>
              </w:rPr>
              <w:fldChar w:fldCharType="begin"/>
            </w:r>
            <w:r>
              <w:rPr>
                <w:noProof/>
                <w:webHidden/>
              </w:rPr>
              <w:instrText xml:space="preserve"> PAGEREF _Toc235917967 \h </w:instrText>
            </w:r>
            <w:r>
              <w:rPr>
                <w:noProof/>
                <w:webHidden/>
              </w:rPr>
            </w:r>
            <w:r>
              <w:rPr>
                <w:noProof/>
                <w:webHidden/>
              </w:rPr>
              <w:fldChar w:fldCharType="separate"/>
            </w:r>
            <w:r>
              <w:rPr>
                <w:noProof/>
                <w:webHidden/>
              </w:rPr>
              <w:t>9</w:t>
            </w:r>
            <w:r>
              <w:rPr>
                <w:noProof/>
                <w:webHidden/>
              </w:rPr>
              <w:fldChar w:fldCharType="end"/>
            </w:r>
          </w:hyperlink>
        </w:p>
        <w:p w14:paraId="6BF3C6DD" w14:textId="6BC439D0" w:rsidR="000C0168" w:rsidRDefault="000C0168">
          <w:pPr>
            <w:pStyle w:val="TOC3"/>
            <w:tabs>
              <w:tab w:val="right" w:leader="dot" w:pos="9016"/>
            </w:tabs>
            <w:rPr>
              <w:rFonts w:cstheme="minorBidi"/>
              <w:noProof/>
              <w:kern w:val="2"/>
              <w:sz w:val="24"/>
              <w:szCs w:val="24"/>
              <w14:ligatures w14:val="standardContextual"/>
            </w:rPr>
          </w:pPr>
          <w:hyperlink w:anchor="_Toc235917968" w:history="1">
            <w:r w:rsidRPr="00D647CC">
              <w:rPr>
                <w:rStyle w:val="Hyperlink"/>
                <w:noProof/>
              </w:rPr>
              <w:t>4.2 Digital Supply Chain Visibility</w:t>
            </w:r>
            <w:r>
              <w:rPr>
                <w:noProof/>
                <w:webHidden/>
              </w:rPr>
              <w:tab/>
            </w:r>
            <w:r>
              <w:rPr>
                <w:noProof/>
                <w:webHidden/>
              </w:rPr>
              <w:fldChar w:fldCharType="begin"/>
            </w:r>
            <w:r>
              <w:rPr>
                <w:noProof/>
                <w:webHidden/>
              </w:rPr>
              <w:instrText xml:space="preserve"> PAGEREF _Toc235917968 \h </w:instrText>
            </w:r>
            <w:r>
              <w:rPr>
                <w:noProof/>
                <w:webHidden/>
              </w:rPr>
            </w:r>
            <w:r>
              <w:rPr>
                <w:noProof/>
                <w:webHidden/>
              </w:rPr>
              <w:fldChar w:fldCharType="separate"/>
            </w:r>
            <w:r>
              <w:rPr>
                <w:noProof/>
                <w:webHidden/>
              </w:rPr>
              <w:t>9</w:t>
            </w:r>
            <w:r>
              <w:rPr>
                <w:noProof/>
                <w:webHidden/>
              </w:rPr>
              <w:fldChar w:fldCharType="end"/>
            </w:r>
          </w:hyperlink>
        </w:p>
        <w:p w14:paraId="0220F87C" w14:textId="093C6249" w:rsidR="000C0168" w:rsidRDefault="000C0168">
          <w:pPr>
            <w:pStyle w:val="TOC1"/>
            <w:tabs>
              <w:tab w:val="right" w:leader="dot" w:pos="9016"/>
            </w:tabs>
            <w:rPr>
              <w:rFonts w:cstheme="minorBidi"/>
              <w:noProof/>
              <w:kern w:val="2"/>
              <w:sz w:val="24"/>
              <w:szCs w:val="24"/>
              <w14:ligatures w14:val="standardContextual"/>
            </w:rPr>
          </w:pPr>
          <w:hyperlink w:anchor="_Toc235917969" w:history="1">
            <w:r w:rsidRPr="00D647CC">
              <w:rPr>
                <w:rStyle w:val="Hyperlink"/>
                <w:noProof/>
              </w:rPr>
              <w:t>5. Conclusion and Further Research</w:t>
            </w:r>
            <w:r>
              <w:rPr>
                <w:noProof/>
                <w:webHidden/>
              </w:rPr>
              <w:tab/>
            </w:r>
            <w:r>
              <w:rPr>
                <w:noProof/>
                <w:webHidden/>
              </w:rPr>
              <w:fldChar w:fldCharType="begin"/>
            </w:r>
            <w:r>
              <w:rPr>
                <w:noProof/>
                <w:webHidden/>
              </w:rPr>
              <w:instrText xml:space="preserve"> PAGEREF _Toc235917969 \h </w:instrText>
            </w:r>
            <w:r>
              <w:rPr>
                <w:noProof/>
                <w:webHidden/>
              </w:rPr>
            </w:r>
            <w:r>
              <w:rPr>
                <w:noProof/>
                <w:webHidden/>
              </w:rPr>
              <w:fldChar w:fldCharType="separate"/>
            </w:r>
            <w:r>
              <w:rPr>
                <w:noProof/>
                <w:webHidden/>
              </w:rPr>
              <w:t>14</w:t>
            </w:r>
            <w:r>
              <w:rPr>
                <w:noProof/>
                <w:webHidden/>
              </w:rPr>
              <w:fldChar w:fldCharType="end"/>
            </w:r>
          </w:hyperlink>
        </w:p>
        <w:p w14:paraId="45E96B9D" w14:textId="653D2E25" w:rsidR="000C0168" w:rsidRDefault="000C0168">
          <w:pPr>
            <w:pStyle w:val="TOC1"/>
            <w:tabs>
              <w:tab w:val="right" w:leader="dot" w:pos="9016"/>
            </w:tabs>
            <w:rPr>
              <w:rFonts w:cstheme="minorBidi"/>
              <w:noProof/>
              <w:kern w:val="2"/>
              <w:sz w:val="24"/>
              <w:szCs w:val="24"/>
              <w14:ligatures w14:val="standardContextual"/>
            </w:rPr>
          </w:pPr>
          <w:hyperlink w:anchor="_Toc235917970" w:history="1">
            <w:r w:rsidRPr="00D647CC">
              <w:rPr>
                <w:rStyle w:val="Hyperlink"/>
                <w:noProof/>
              </w:rPr>
              <w:t>References</w:t>
            </w:r>
            <w:r>
              <w:rPr>
                <w:noProof/>
                <w:webHidden/>
              </w:rPr>
              <w:tab/>
            </w:r>
            <w:r>
              <w:rPr>
                <w:noProof/>
                <w:webHidden/>
              </w:rPr>
              <w:fldChar w:fldCharType="begin"/>
            </w:r>
            <w:r>
              <w:rPr>
                <w:noProof/>
                <w:webHidden/>
              </w:rPr>
              <w:instrText xml:space="preserve"> PAGEREF _Toc235917970 \h </w:instrText>
            </w:r>
            <w:r>
              <w:rPr>
                <w:noProof/>
                <w:webHidden/>
              </w:rPr>
            </w:r>
            <w:r>
              <w:rPr>
                <w:noProof/>
                <w:webHidden/>
              </w:rPr>
              <w:fldChar w:fldCharType="separate"/>
            </w:r>
            <w:r>
              <w:rPr>
                <w:noProof/>
                <w:webHidden/>
              </w:rPr>
              <w:t>16</w:t>
            </w:r>
            <w:r>
              <w:rPr>
                <w:noProof/>
                <w:webHidden/>
              </w:rPr>
              <w:fldChar w:fldCharType="end"/>
            </w:r>
          </w:hyperlink>
        </w:p>
        <w:p w14:paraId="137061FC" w14:textId="26D23337" w:rsidR="00EE6B35" w:rsidRPr="00EE6B35" w:rsidRDefault="00EE6B35">
          <w:pPr>
            <w:rPr>
              <w:sz w:val="32"/>
              <w:szCs w:val="32"/>
            </w:rPr>
          </w:pPr>
          <w:r w:rsidRPr="00EE6B35">
            <w:rPr>
              <w:b/>
              <w:bCs/>
              <w:sz w:val="32"/>
              <w:szCs w:val="32"/>
            </w:rPr>
            <w:fldChar w:fldCharType="end"/>
          </w:r>
        </w:p>
      </w:sdtContent>
    </w:sdt>
    <w:p w14:paraId="36396E31" w14:textId="77777777" w:rsidR="00EE6B35" w:rsidRDefault="00EE6B35" w:rsidP="00D00FC2">
      <w:pPr>
        <w:pStyle w:val="Heading1"/>
      </w:pPr>
    </w:p>
    <w:p w14:paraId="77FB1F31" w14:textId="77777777" w:rsidR="00EE6B35" w:rsidRDefault="00EE6B35" w:rsidP="00D00FC2">
      <w:pPr>
        <w:pStyle w:val="Heading1"/>
      </w:pPr>
    </w:p>
    <w:p w14:paraId="3175685A" w14:textId="77777777" w:rsidR="00EE6B35" w:rsidRDefault="00EE6B35" w:rsidP="00D00FC2">
      <w:pPr>
        <w:pStyle w:val="Heading1"/>
      </w:pPr>
    </w:p>
    <w:p w14:paraId="7384EC72" w14:textId="77777777" w:rsidR="00EE6B35" w:rsidRDefault="00EE6B35" w:rsidP="00D00FC2">
      <w:pPr>
        <w:pStyle w:val="Heading1"/>
      </w:pPr>
    </w:p>
    <w:p w14:paraId="2AF46483" w14:textId="77777777" w:rsidR="00EE6B35" w:rsidRDefault="00EE6B35" w:rsidP="00D00FC2">
      <w:pPr>
        <w:pStyle w:val="Heading1"/>
      </w:pPr>
    </w:p>
    <w:p w14:paraId="62F8EEA5" w14:textId="77777777" w:rsidR="00EE6B35" w:rsidRDefault="00EE6B35" w:rsidP="00EE6B35"/>
    <w:p w14:paraId="07881D8A" w14:textId="77777777" w:rsidR="00CC5EC5" w:rsidRDefault="00CC5EC5" w:rsidP="00EE6B35"/>
    <w:p w14:paraId="776A97E4" w14:textId="77777777" w:rsidR="00CC5EC5" w:rsidRDefault="00CC5EC5" w:rsidP="00EE6B35"/>
    <w:p w14:paraId="1961063C" w14:textId="77777777" w:rsidR="00CC5EC5" w:rsidRDefault="00CC5EC5" w:rsidP="00EE6B35"/>
    <w:p w14:paraId="2D40A20D" w14:textId="77777777" w:rsidR="00CC5EC5" w:rsidRPr="00EE6B35" w:rsidRDefault="00CC5EC5" w:rsidP="00EE6B35"/>
    <w:p w14:paraId="0C3BD73C" w14:textId="7CC0CD2D" w:rsidR="002A6E89" w:rsidRPr="00AD0940" w:rsidRDefault="002A6E89" w:rsidP="00D00FC2">
      <w:pPr>
        <w:pStyle w:val="Heading1"/>
      </w:pPr>
      <w:bookmarkStart w:id="0" w:name="_Toc235917961"/>
      <w:r w:rsidRPr="00AD0940">
        <w:lastRenderedPageBreak/>
        <w:t>1. Introduction</w:t>
      </w:r>
      <w:bookmarkEnd w:id="0"/>
    </w:p>
    <w:p w14:paraId="420262F8" w14:textId="77777777" w:rsidR="00EE6B35" w:rsidRDefault="00EE6B35" w:rsidP="002A6E89">
      <w:pPr>
        <w:rPr>
          <w:rFonts w:ascii="Calibri" w:hAnsi="Calibri" w:cs="Calibri"/>
          <w:sz w:val="22"/>
          <w:szCs w:val="22"/>
        </w:rPr>
      </w:pPr>
    </w:p>
    <w:p w14:paraId="1B0142C7" w14:textId="77777777" w:rsidR="00EE6B35" w:rsidRDefault="00EE6B35" w:rsidP="002A6E89">
      <w:pPr>
        <w:rPr>
          <w:rFonts w:ascii="Calibri" w:hAnsi="Calibri" w:cs="Calibri"/>
          <w:sz w:val="22"/>
          <w:szCs w:val="22"/>
        </w:rPr>
      </w:pPr>
    </w:p>
    <w:p w14:paraId="6EBCCC92" w14:textId="709B9071" w:rsidR="002A6E89" w:rsidRPr="00CA0641" w:rsidRDefault="002A6E89" w:rsidP="002A6E89">
      <w:pPr>
        <w:rPr>
          <w:rFonts w:ascii="Calibri" w:hAnsi="Calibri" w:cs="Calibri"/>
          <w:sz w:val="22"/>
          <w:szCs w:val="22"/>
        </w:rPr>
      </w:pPr>
      <w:r w:rsidRPr="00CA0641">
        <w:rPr>
          <w:rFonts w:ascii="Calibri" w:hAnsi="Calibri" w:cs="Calibri"/>
          <w:sz w:val="22"/>
          <w:szCs w:val="22"/>
        </w:rPr>
        <w:t>Global supply chains have become increasingly interconnected over the last two decades as organisations seek lower production costs, access to specialised suppliers and improved operational efficiency (Christopher, 2023). While globalisation has enabled manufacturers to improve competitiveness, it has also increased exposure to operational disruptions that extend far beyond individual organisations. Recent events, including the COVID-19 pandemic, the global semiconductor shortage, the blockage of the Suez Canal and increasing geopolitical instability, demonstrated that disruptions affecting a single supplier or transport route can rapidly spread throughout an international supply network (Ivanov and Dolgui, 2021; World Economic Forum, 2024). These events have shifted both academic and industrial attention from supply chain efficiency towards supply chain resilience, highlighting the need for organisations to balance cost reduction with operational flexibility.</w:t>
      </w:r>
    </w:p>
    <w:p w14:paraId="5C00EA95" w14:textId="77777777" w:rsidR="002A6E89" w:rsidRPr="00CA0641" w:rsidRDefault="002A6E89" w:rsidP="002A6E89">
      <w:pPr>
        <w:rPr>
          <w:rFonts w:ascii="Calibri" w:hAnsi="Calibri" w:cs="Calibri"/>
          <w:sz w:val="22"/>
          <w:szCs w:val="22"/>
        </w:rPr>
      </w:pPr>
      <w:r w:rsidRPr="00CA0641">
        <w:rPr>
          <w:rFonts w:ascii="Calibri" w:hAnsi="Calibri" w:cs="Calibri"/>
          <w:sz w:val="22"/>
          <w:szCs w:val="22"/>
        </w:rPr>
        <w:t>The automotive industry represents one of the most complex examples of international supply chain management because vehicle manufacturers depend on thousands of interconnected suppliers located across multiple continents. Toyota Motor Corporation provides an appropriate case study due to the scale of its global operations and its long-standing reputation for operational excellence. The company's Toyota Production System (TPS), supported by Lean manufacturing and Just-in-Time (JIT) production, has become an international benchmark for reducing waste and improving productivity (Toyota Motor Corporation, 2024). Nevertheless, the same practices that have delivered significant competitive advantages have also increased vulnerability to disruptions when critical components or logistics networks become unavailable. The semiconductor shortage, for example, demonstrated that highly synchronised production systems may struggle to absorb prolonged interruptions despite sophisticated supplier relationships (Ivanov, 2021).</w:t>
      </w:r>
    </w:p>
    <w:p w14:paraId="0DBAF4B5" w14:textId="65B88121" w:rsidR="004932E3" w:rsidRDefault="002A6E89" w:rsidP="002A6E89">
      <w:pPr>
        <w:rPr>
          <w:rFonts w:ascii="Calibri" w:hAnsi="Calibri" w:cs="Calibri"/>
          <w:sz w:val="22"/>
          <w:szCs w:val="22"/>
        </w:rPr>
      </w:pPr>
      <w:r w:rsidRPr="00CA0641">
        <w:rPr>
          <w:rFonts w:ascii="Calibri" w:hAnsi="Calibri" w:cs="Calibri"/>
          <w:sz w:val="22"/>
          <w:szCs w:val="22"/>
        </w:rPr>
        <w:t>This report critically analyses Toyota's international supply chain using Failure Mode and Effects Analysis (FMEA) to identify and prioritise the most significant operational risks. Building upon the findings of the FMEA, the report evaluates six strategies that could improve supply chain resilience while recognising the trade-offs between operational efficiency, financial performance and long-term sustainability. Rather than proposing a single solution, the discussion argues that resilience should be viewed as a dynamic organisational capability requiring continuous adaptation as global risks evolve.</w:t>
      </w:r>
    </w:p>
    <w:p w14:paraId="6E549FD5" w14:textId="77777777" w:rsidR="00CC5EC5" w:rsidRPr="00CA0641" w:rsidRDefault="00CC5EC5" w:rsidP="002A6E89">
      <w:pPr>
        <w:rPr>
          <w:rFonts w:ascii="Calibri" w:hAnsi="Calibri" w:cs="Calibri"/>
          <w:sz w:val="22"/>
          <w:szCs w:val="22"/>
        </w:rPr>
      </w:pPr>
    </w:p>
    <w:p w14:paraId="18395ABB" w14:textId="77777777" w:rsidR="00CD7C00" w:rsidRDefault="00CD7C00">
      <w:pPr>
        <w:rPr>
          <w:rFonts w:ascii="Calibri" w:hAnsi="Calibri" w:cs="Calibri"/>
          <w:sz w:val="22"/>
          <w:szCs w:val="22"/>
        </w:rPr>
      </w:pPr>
    </w:p>
    <w:p w14:paraId="43131EF4" w14:textId="77777777" w:rsidR="004932E3" w:rsidRDefault="004932E3" w:rsidP="001611AF">
      <w:pPr>
        <w:pStyle w:val="Heading1"/>
      </w:pPr>
    </w:p>
    <w:p w14:paraId="4D3415A3" w14:textId="7A9F0F19" w:rsidR="001268D7" w:rsidRPr="00AD0940" w:rsidRDefault="001268D7" w:rsidP="001611AF">
      <w:pPr>
        <w:pStyle w:val="Heading1"/>
      </w:pPr>
      <w:bookmarkStart w:id="1" w:name="_Toc235917962"/>
      <w:r w:rsidRPr="00AD0940">
        <w:t>2. Toyota's International Supply Chain</w:t>
      </w:r>
      <w:bookmarkEnd w:id="1"/>
    </w:p>
    <w:p w14:paraId="622EFF94" w14:textId="77777777" w:rsidR="001268D7" w:rsidRPr="00CA0641" w:rsidRDefault="001268D7" w:rsidP="001268D7">
      <w:pPr>
        <w:rPr>
          <w:rFonts w:ascii="Calibri" w:hAnsi="Calibri" w:cs="Calibri"/>
          <w:sz w:val="22"/>
          <w:szCs w:val="22"/>
        </w:rPr>
      </w:pPr>
      <w:r w:rsidRPr="00CA0641">
        <w:rPr>
          <w:rFonts w:ascii="Calibri" w:hAnsi="Calibri" w:cs="Calibri"/>
          <w:sz w:val="22"/>
          <w:szCs w:val="22"/>
        </w:rPr>
        <w:t>Toyota Motor Corporation operates one of the world's largest and most sophisticated automotive supply chains, manufacturing vehicles across Asia, Europe, North America and other international markets. The company's production network relies on thousands of suppliers, logistics providers, distribution centres and manufacturing plants working together to deliver components at the required quality, quantity and time. Unlike many organisations that compete primarily through price, Toyota has traditionally built its competitive advantage around operational excellence, long-term supplier relationships and continuous improvement through the Toyota Production System (TPS) (Toyota Motor Corporation, 2024; Christopher, 2023).</w:t>
      </w:r>
    </w:p>
    <w:p w14:paraId="400FCA26" w14:textId="77777777" w:rsidR="001268D7" w:rsidRPr="00CA0641" w:rsidRDefault="001268D7" w:rsidP="001268D7">
      <w:pPr>
        <w:rPr>
          <w:rFonts w:ascii="Calibri" w:hAnsi="Calibri" w:cs="Calibri"/>
          <w:sz w:val="22"/>
          <w:szCs w:val="22"/>
        </w:rPr>
      </w:pPr>
      <w:r w:rsidRPr="00CA0641">
        <w:rPr>
          <w:rFonts w:ascii="Calibri" w:hAnsi="Calibri" w:cs="Calibri"/>
          <w:sz w:val="22"/>
          <w:szCs w:val="22"/>
        </w:rPr>
        <w:t>A defining characteristic of Toyota's supply chain is its multi-tier supplier structure. Tier 1 suppliers provide complete assemblies, including braking systems, engines, electronic modules and vehicle interiors, while Tier 2 and Tier 3 suppliers manufacture specialist components and raw materials such as semiconductors, aluminium, steel and battery minerals. This layered structure allows Toyota to benefit from supplier specialisation, economies of scale and technological innovation. However, it also increases operational complexity because disruptions occurring several stages upstream may remain undetected until they affect final vehicle production (Ivanov and Dolgui, 2021). The growing dependence on lower-tier suppliers has therefore become one of the most significant challenges facing global automotive manufacturers.</w:t>
      </w:r>
    </w:p>
    <w:p w14:paraId="5D87138A" w14:textId="77777777" w:rsidR="001268D7" w:rsidRPr="00CA0641" w:rsidRDefault="001268D7" w:rsidP="001268D7">
      <w:pPr>
        <w:rPr>
          <w:rFonts w:ascii="Calibri" w:hAnsi="Calibri" w:cs="Calibri"/>
          <w:sz w:val="22"/>
          <w:szCs w:val="22"/>
        </w:rPr>
      </w:pPr>
      <w:r w:rsidRPr="00CA0641">
        <w:rPr>
          <w:rFonts w:ascii="Calibri" w:hAnsi="Calibri" w:cs="Calibri"/>
          <w:sz w:val="22"/>
          <w:szCs w:val="22"/>
        </w:rPr>
        <w:t>Despite these strengths, recent global disruptions have exposed important limitations within highly synchronised production systems. The COVID-19 pandemic, followed by the global semiconductor shortage, resulted in temporary production suspensions across the automotive sector as manufacturers struggled to obtain critical electronic components (Ivanov, 2021). Although Toyota initially managed these disruptions more effectively than several competitors due to lessons learned following the 2011 Tōhoku earthquake, prolonged shortages demonstrated that resilience cannot depend solely on efficient inventory management or strong supplier relationships (Toyota Motor Corporation, 2024). When essential components are sourced from a limited number of specialist manufacturers, even well-established procurement strategies become vulnerable to global supply constraints.</w:t>
      </w:r>
    </w:p>
    <w:p w14:paraId="22058DFF" w14:textId="77777777" w:rsidR="001268D7" w:rsidRPr="00CA0641" w:rsidRDefault="001268D7" w:rsidP="001268D7">
      <w:pPr>
        <w:rPr>
          <w:rFonts w:ascii="Calibri" w:hAnsi="Calibri" w:cs="Calibri"/>
          <w:sz w:val="22"/>
          <w:szCs w:val="22"/>
        </w:rPr>
      </w:pPr>
      <w:r w:rsidRPr="00CA0641">
        <w:rPr>
          <w:rFonts w:ascii="Calibri" w:hAnsi="Calibri" w:cs="Calibri"/>
          <w:sz w:val="22"/>
          <w:szCs w:val="22"/>
        </w:rPr>
        <w:t>The international nature of Toyota's operations creates additional challenges beyond manufacturing. Components frequently travel through multiple countries before reaching assembly plants, making production dependent upon shipping companies, ports, road freight operators, rail infrastructure and customs procedures. Disruptions such as the blockage of the Suez Canal, extreme weather events, geopolitical tensions and changing international trade policies have demonstrated that logistics networks can become major sources of operational risk (World Economic Forum, 2024). While global sourcing enables Toyota to reduce production costs and access specialist expertise, it also extends lead times and increases exposure to events that remain largely outside the company's direct control.</w:t>
      </w:r>
    </w:p>
    <w:p w14:paraId="4A252296" w14:textId="77777777" w:rsidR="001268D7" w:rsidRPr="00CA0641" w:rsidRDefault="001268D7" w:rsidP="001268D7">
      <w:pPr>
        <w:rPr>
          <w:rFonts w:ascii="Calibri" w:hAnsi="Calibri" w:cs="Calibri"/>
          <w:sz w:val="22"/>
          <w:szCs w:val="22"/>
        </w:rPr>
      </w:pPr>
      <w:r w:rsidRPr="00CA0641">
        <w:rPr>
          <w:rFonts w:ascii="Calibri" w:hAnsi="Calibri" w:cs="Calibri"/>
          <w:sz w:val="22"/>
          <w:szCs w:val="22"/>
        </w:rPr>
        <w:lastRenderedPageBreak/>
        <w:t>Another emerging challenge is digital dependency. Modern supply chains increasingly rely on Enterprise Resource Planning (ERP) systems, cloud computing, artificial intelligence and real-time data sharing to coordinate purchasing, manufacturing and logistics activities. These technologies improve visibility and support faster decision-making but simultaneously increase exposure to cyber threats affecting both Toyota and its suppliers (Ivanov and Dolgui, 2021). Consequently, supply chain resilience now depends not only on physical infrastructure and supplier performance but also on the security and reliability of digital information systems.</w:t>
      </w:r>
    </w:p>
    <w:p w14:paraId="0DACC21E" w14:textId="77777777" w:rsidR="001268D7" w:rsidRPr="00CA0641" w:rsidRDefault="001268D7" w:rsidP="001268D7">
      <w:pPr>
        <w:rPr>
          <w:rFonts w:ascii="Calibri" w:hAnsi="Calibri" w:cs="Calibri"/>
          <w:sz w:val="22"/>
          <w:szCs w:val="22"/>
        </w:rPr>
      </w:pPr>
      <w:r w:rsidRPr="00CA0641">
        <w:rPr>
          <w:rFonts w:ascii="Calibri" w:hAnsi="Calibri" w:cs="Calibri"/>
          <w:sz w:val="22"/>
          <w:szCs w:val="22"/>
        </w:rPr>
        <w:t>Overall, Toyota's international supply chain demonstrates that operational efficiency and supply chain resilience are not always complementary objectives. Lean manufacturing, global sourcing and long-term supplier partnerships have delivered considerable competitive advantages over several decades. Nevertheless, recent disruptions indicate that strategies designed primarily to maximise efficiency may reduce organisational flexibility when unexpected events occur. This does not suggest that Toyota should abandon the Toyota Production System. Instead, it highlights the need to adapt established operational practices to an increasingly uncertain global environment. The following Failure Mode and Effects Analysis (FMEA) identifies the most significant risks affecting Toyota's supply chain and provides the foundation for evaluating strategies that could improve its long-term resilience.</w:t>
      </w:r>
    </w:p>
    <w:p w14:paraId="5D9FA8B7" w14:textId="77777777" w:rsidR="005D478C" w:rsidRPr="00CA0641" w:rsidRDefault="005D478C" w:rsidP="001268D7">
      <w:pPr>
        <w:rPr>
          <w:rFonts w:ascii="Calibri" w:hAnsi="Calibri" w:cs="Calibri"/>
          <w:sz w:val="22"/>
          <w:szCs w:val="22"/>
        </w:rPr>
      </w:pPr>
    </w:p>
    <w:p w14:paraId="009AEF91" w14:textId="77777777" w:rsidR="005D478C" w:rsidRPr="00AD0940" w:rsidRDefault="005D478C" w:rsidP="001611AF">
      <w:pPr>
        <w:pStyle w:val="Heading1"/>
      </w:pPr>
      <w:bookmarkStart w:id="2" w:name="_Toc235917963"/>
      <w:r w:rsidRPr="00AD0940">
        <w:t>3. Failure Mode and Effects Analysis (FMEA)</w:t>
      </w:r>
      <w:bookmarkEnd w:id="2"/>
    </w:p>
    <w:p w14:paraId="52E53A42" w14:textId="77777777" w:rsidR="005D478C" w:rsidRPr="00AD0940" w:rsidRDefault="005D478C" w:rsidP="001611AF">
      <w:pPr>
        <w:pStyle w:val="Heading2"/>
      </w:pPr>
      <w:bookmarkStart w:id="3" w:name="_Toc235917964"/>
      <w:r w:rsidRPr="00AD0940">
        <w:t>3.1 Overview of Failure Mode and Effects Analysis</w:t>
      </w:r>
      <w:bookmarkEnd w:id="3"/>
    </w:p>
    <w:p w14:paraId="3EF8D2BD" w14:textId="77777777" w:rsidR="005D478C" w:rsidRPr="00CA0641" w:rsidRDefault="005D478C" w:rsidP="005D478C">
      <w:pPr>
        <w:rPr>
          <w:rFonts w:ascii="Calibri" w:hAnsi="Calibri" w:cs="Calibri"/>
          <w:sz w:val="22"/>
          <w:szCs w:val="22"/>
        </w:rPr>
      </w:pPr>
      <w:r w:rsidRPr="00CA0641">
        <w:rPr>
          <w:rFonts w:ascii="Calibri" w:hAnsi="Calibri" w:cs="Calibri"/>
          <w:sz w:val="22"/>
          <w:szCs w:val="22"/>
        </w:rPr>
        <w:t>Failure Mode and Effects Analysis (FMEA) is a proactive risk assessment methodology used to identify potential failures before they disrupt organisational performance. Originally developed within the aerospace industry and later adopted extensively by the automotive sector, FMEA enables organisations to evaluate where failures may occur, assess their potential consequences and prioritise corrective actions according to risk severity (Stamatis, 2019). Unlike reactive risk management approaches, which focus on responding after failures occur, FMEA encourages organisations to anticipate vulnerabilities and implement preventative measures before operational performance is affected (Heizer, Render and Munson, 2023).</w:t>
      </w:r>
    </w:p>
    <w:p w14:paraId="6AB97D04" w14:textId="5F35AE74" w:rsidR="005D478C" w:rsidRPr="00CA0641" w:rsidRDefault="005D478C" w:rsidP="005D478C">
      <w:pPr>
        <w:rPr>
          <w:rFonts w:ascii="Calibri" w:hAnsi="Calibri" w:cs="Calibri"/>
          <w:sz w:val="22"/>
          <w:szCs w:val="22"/>
        </w:rPr>
      </w:pPr>
      <w:r w:rsidRPr="00CA0641">
        <w:rPr>
          <w:rFonts w:ascii="Calibri" w:hAnsi="Calibri" w:cs="Calibri"/>
          <w:sz w:val="22"/>
          <w:szCs w:val="22"/>
        </w:rPr>
        <w:t xml:space="preserve">The methodology evaluates each potential failure mode using three criteria: </w:t>
      </w:r>
      <w:r w:rsidRPr="00CA0641">
        <w:rPr>
          <w:rFonts w:ascii="Calibri" w:hAnsi="Calibri" w:cs="Calibri"/>
          <w:b/>
          <w:bCs/>
          <w:sz w:val="22"/>
          <w:szCs w:val="22"/>
        </w:rPr>
        <w:t>Severity (S), Occurrence (O) and Detection (D)</w:t>
      </w:r>
      <w:r w:rsidRPr="00CA0641">
        <w:rPr>
          <w:rFonts w:ascii="Calibri" w:hAnsi="Calibri" w:cs="Calibri"/>
          <w:sz w:val="22"/>
          <w:szCs w:val="22"/>
        </w:rPr>
        <w:t xml:space="preserve">. Severity measures the impact of a failure on organisational </w:t>
      </w:r>
      <w:r w:rsidR="006B4265" w:rsidRPr="00CA0641">
        <w:rPr>
          <w:rFonts w:ascii="Calibri" w:hAnsi="Calibri" w:cs="Calibri"/>
          <w:sz w:val="22"/>
          <w:szCs w:val="22"/>
        </w:rPr>
        <w:t>performance;</w:t>
      </w:r>
      <w:r w:rsidRPr="00CA0641">
        <w:rPr>
          <w:rFonts w:ascii="Calibri" w:hAnsi="Calibri" w:cs="Calibri"/>
          <w:sz w:val="22"/>
          <w:szCs w:val="22"/>
        </w:rPr>
        <w:t xml:space="preserve"> Occurrence estimates the probability of the failure taking place and Detection evaluates the likelihood that existing controls will identify the problem before it affects operations. These three values are multiplied to produce the </w:t>
      </w:r>
      <w:r w:rsidRPr="00CA0641">
        <w:rPr>
          <w:rFonts w:ascii="Calibri" w:hAnsi="Calibri" w:cs="Calibri"/>
          <w:b/>
          <w:bCs/>
          <w:sz w:val="22"/>
          <w:szCs w:val="22"/>
        </w:rPr>
        <w:t>Risk Priority Number (RPN)</w:t>
      </w:r>
      <w:r w:rsidRPr="00CA0641">
        <w:rPr>
          <w:rFonts w:ascii="Calibri" w:hAnsi="Calibri" w:cs="Calibri"/>
          <w:sz w:val="22"/>
          <w:szCs w:val="22"/>
        </w:rPr>
        <w:t>, allowing organisations to rank risks and allocate resources towards those presenting the greatest operational threat (Stamatis, 2019).</w:t>
      </w:r>
    </w:p>
    <w:p w14:paraId="68FDF2EB" w14:textId="77777777" w:rsidR="005D478C" w:rsidRPr="00CA0641" w:rsidRDefault="005D478C" w:rsidP="005D478C">
      <w:pPr>
        <w:rPr>
          <w:rFonts w:ascii="Calibri" w:hAnsi="Calibri" w:cs="Calibri"/>
          <w:sz w:val="22"/>
          <w:szCs w:val="22"/>
        </w:rPr>
      </w:pPr>
      <w:r w:rsidRPr="00CA0641">
        <w:rPr>
          <w:rFonts w:ascii="Calibri" w:hAnsi="Calibri" w:cs="Calibri"/>
          <w:sz w:val="22"/>
          <w:szCs w:val="22"/>
        </w:rPr>
        <w:t xml:space="preserve">FMEA is particularly suitable for Toyota because its international supply chain consists of thousands of suppliers, multiple logistics providers and manufacturing facilities operating across different geographical regions. This complexity increases the number of potential disruption points while making it difficult for managers to identify which risks require immediate attention. A structured </w:t>
      </w:r>
      <w:r w:rsidRPr="00CA0641">
        <w:rPr>
          <w:rFonts w:ascii="Calibri" w:hAnsi="Calibri" w:cs="Calibri"/>
          <w:sz w:val="22"/>
          <w:szCs w:val="22"/>
        </w:rPr>
        <w:lastRenderedPageBreak/>
        <w:t>assessment allows Toyota to distinguish between lower-impact operational issues and failures capable of causing significant interruptions to vehicle production (Christopher, 2023).</w:t>
      </w:r>
    </w:p>
    <w:p w14:paraId="715D13DC" w14:textId="77777777" w:rsidR="005D478C" w:rsidRPr="00CA0641" w:rsidRDefault="005D478C" w:rsidP="005D478C">
      <w:pPr>
        <w:rPr>
          <w:rFonts w:ascii="Calibri" w:hAnsi="Calibri" w:cs="Calibri"/>
          <w:sz w:val="22"/>
          <w:szCs w:val="22"/>
        </w:rPr>
      </w:pPr>
      <w:r w:rsidRPr="00CA0641">
        <w:rPr>
          <w:rFonts w:ascii="Calibri" w:hAnsi="Calibri" w:cs="Calibri"/>
          <w:sz w:val="22"/>
          <w:szCs w:val="22"/>
        </w:rPr>
        <w:t>Despite its widespread use, FMEA has several recognised limitations. The methodology depends heavily on expert judgement when assigning Severity, Occurrence and Detection scores, meaning different assessors may produce different RPN values for the same risk. Furthermore, traditional FMEA evaluates risks individually and may not fully capture the interconnected nature of global supply chains where one disruption can trigger multiple cascading failures across suppliers, logistics networks and manufacturing facilities (Ivanov and Dolgui, 2021). Consequently, the findings should be viewed as a decision-support tool rather than an exact prediction of future disruptions.</w:t>
      </w:r>
    </w:p>
    <w:p w14:paraId="1ACFCDBE" w14:textId="77777777" w:rsidR="005D478C" w:rsidRPr="00CA0641" w:rsidRDefault="005D478C" w:rsidP="005D478C">
      <w:pPr>
        <w:rPr>
          <w:rFonts w:ascii="Calibri" w:hAnsi="Calibri" w:cs="Calibri"/>
          <w:sz w:val="22"/>
          <w:szCs w:val="22"/>
        </w:rPr>
      </w:pPr>
      <w:r w:rsidRPr="00CA0641">
        <w:rPr>
          <w:rFonts w:ascii="Calibri" w:hAnsi="Calibri" w:cs="Calibri"/>
          <w:sz w:val="22"/>
          <w:szCs w:val="22"/>
        </w:rPr>
        <w:t>Nevertheless, FMEA remains one of the most appropriate techniques for analysing Toyota's supply chain because it provides a systematic framework for identifying, prioritising and mitigating operational risks. The following assessment focuses on six failure modes that have significantly affected the automotive industry in recent years and provides the foundation for evaluating practical strategies capable of improving Toyota's long-term supply chain resilience.</w:t>
      </w:r>
    </w:p>
    <w:p w14:paraId="1BB9A2C2" w14:textId="77777777" w:rsidR="00EA6AB4" w:rsidRDefault="00EA6AB4" w:rsidP="005D478C">
      <w:pPr>
        <w:rPr>
          <w:rFonts w:ascii="Calibri" w:hAnsi="Calibri" w:cs="Calibri"/>
          <w:sz w:val="22"/>
          <w:szCs w:val="22"/>
        </w:rPr>
      </w:pPr>
    </w:p>
    <w:p w14:paraId="402EBED2" w14:textId="77777777" w:rsidR="007D16D2" w:rsidRDefault="007D16D2" w:rsidP="005D478C">
      <w:pPr>
        <w:rPr>
          <w:rFonts w:ascii="Calibri" w:hAnsi="Calibri" w:cs="Calibri"/>
          <w:sz w:val="22"/>
          <w:szCs w:val="22"/>
        </w:rPr>
      </w:pPr>
    </w:p>
    <w:p w14:paraId="3500964D" w14:textId="77777777" w:rsidR="007D16D2" w:rsidRDefault="007D16D2" w:rsidP="005D478C">
      <w:pPr>
        <w:rPr>
          <w:rFonts w:ascii="Calibri" w:hAnsi="Calibri" w:cs="Calibri"/>
          <w:sz w:val="22"/>
          <w:szCs w:val="22"/>
        </w:rPr>
      </w:pPr>
    </w:p>
    <w:p w14:paraId="3A1E34FB" w14:textId="77777777" w:rsidR="007D16D2" w:rsidRDefault="007D16D2" w:rsidP="005D478C">
      <w:pPr>
        <w:rPr>
          <w:rFonts w:ascii="Calibri" w:hAnsi="Calibri" w:cs="Calibri"/>
          <w:sz w:val="22"/>
          <w:szCs w:val="22"/>
        </w:rPr>
      </w:pPr>
    </w:p>
    <w:p w14:paraId="76EEBA9E" w14:textId="77777777" w:rsidR="007D16D2" w:rsidRDefault="007D16D2" w:rsidP="005D478C">
      <w:pPr>
        <w:rPr>
          <w:rFonts w:ascii="Calibri" w:hAnsi="Calibri" w:cs="Calibri"/>
          <w:sz w:val="22"/>
          <w:szCs w:val="22"/>
        </w:rPr>
      </w:pPr>
    </w:p>
    <w:p w14:paraId="2428F8E3" w14:textId="77777777" w:rsidR="007D16D2" w:rsidRDefault="007D16D2" w:rsidP="005D478C">
      <w:pPr>
        <w:rPr>
          <w:rFonts w:ascii="Calibri" w:hAnsi="Calibri" w:cs="Calibri"/>
          <w:sz w:val="22"/>
          <w:szCs w:val="22"/>
        </w:rPr>
      </w:pPr>
    </w:p>
    <w:p w14:paraId="0B4E9294" w14:textId="77777777" w:rsidR="007D16D2" w:rsidRDefault="007D16D2" w:rsidP="005D478C">
      <w:pPr>
        <w:rPr>
          <w:rFonts w:ascii="Calibri" w:hAnsi="Calibri" w:cs="Calibri"/>
          <w:sz w:val="22"/>
          <w:szCs w:val="22"/>
        </w:rPr>
      </w:pPr>
    </w:p>
    <w:p w14:paraId="54C0CF6A" w14:textId="77777777" w:rsidR="007D16D2" w:rsidRDefault="007D16D2" w:rsidP="005D478C">
      <w:pPr>
        <w:rPr>
          <w:rFonts w:ascii="Calibri" w:hAnsi="Calibri" w:cs="Calibri"/>
          <w:sz w:val="22"/>
          <w:szCs w:val="22"/>
        </w:rPr>
      </w:pPr>
    </w:p>
    <w:p w14:paraId="71852BFC" w14:textId="77777777" w:rsidR="007D16D2" w:rsidRDefault="007D16D2" w:rsidP="005D478C">
      <w:pPr>
        <w:rPr>
          <w:rFonts w:ascii="Calibri" w:hAnsi="Calibri" w:cs="Calibri"/>
          <w:sz w:val="22"/>
          <w:szCs w:val="22"/>
        </w:rPr>
      </w:pPr>
    </w:p>
    <w:p w14:paraId="41AA5580" w14:textId="77777777" w:rsidR="007D16D2" w:rsidRDefault="007D16D2" w:rsidP="005D478C">
      <w:pPr>
        <w:rPr>
          <w:rFonts w:ascii="Calibri" w:hAnsi="Calibri" w:cs="Calibri"/>
          <w:sz w:val="22"/>
          <w:szCs w:val="22"/>
        </w:rPr>
      </w:pPr>
    </w:p>
    <w:p w14:paraId="354B10F0" w14:textId="77777777" w:rsidR="003B3E20" w:rsidRDefault="003B3E20" w:rsidP="005D478C">
      <w:pPr>
        <w:rPr>
          <w:rFonts w:ascii="Calibri" w:hAnsi="Calibri" w:cs="Calibri"/>
          <w:sz w:val="22"/>
          <w:szCs w:val="22"/>
        </w:rPr>
      </w:pPr>
    </w:p>
    <w:p w14:paraId="6981A9E6" w14:textId="77777777" w:rsidR="003B3E20" w:rsidRDefault="003B3E20" w:rsidP="005D478C">
      <w:pPr>
        <w:rPr>
          <w:rFonts w:ascii="Calibri" w:hAnsi="Calibri" w:cs="Calibri"/>
          <w:sz w:val="22"/>
          <w:szCs w:val="22"/>
        </w:rPr>
      </w:pPr>
    </w:p>
    <w:p w14:paraId="52AA42D4" w14:textId="77777777" w:rsidR="003B3E20" w:rsidRDefault="003B3E20" w:rsidP="005D478C">
      <w:pPr>
        <w:rPr>
          <w:rFonts w:ascii="Calibri" w:hAnsi="Calibri" w:cs="Calibri"/>
          <w:sz w:val="22"/>
          <w:szCs w:val="22"/>
        </w:rPr>
      </w:pPr>
    </w:p>
    <w:p w14:paraId="052A9BBB" w14:textId="77777777" w:rsidR="003B3E20" w:rsidRDefault="003B3E20" w:rsidP="005D478C">
      <w:pPr>
        <w:rPr>
          <w:rFonts w:ascii="Calibri" w:hAnsi="Calibri" w:cs="Calibri"/>
          <w:sz w:val="22"/>
          <w:szCs w:val="22"/>
        </w:rPr>
      </w:pPr>
    </w:p>
    <w:p w14:paraId="406BACC4" w14:textId="77777777" w:rsidR="003B3E20" w:rsidRDefault="003B3E20" w:rsidP="005D478C">
      <w:pPr>
        <w:rPr>
          <w:rFonts w:ascii="Calibri" w:hAnsi="Calibri" w:cs="Calibri"/>
          <w:sz w:val="22"/>
          <w:szCs w:val="22"/>
        </w:rPr>
      </w:pPr>
    </w:p>
    <w:p w14:paraId="3552530F" w14:textId="77777777" w:rsidR="003B3E20" w:rsidRDefault="003B3E20" w:rsidP="005D478C">
      <w:pPr>
        <w:rPr>
          <w:rFonts w:ascii="Calibri" w:hAnsi="Calibri" w:cs="Calibri"/>
          <w:sz w:val="22"/>
          <w:szCs w:val="22"/>
        </w:rPr>
      </w:pPr>
    </w:p>
    <w:p w14:paraId="7CB75418" w14:textId="77777777" w:rsidR="003B3E20" w:rsidRPr="00CA0641" w:rsidRDefault="003B3E20" w:rsidP="005D478C">
      <w:pPr>
        <w:rPr>
          <w:rFonts w:ascii="Calibri" w:hAnsi="Calibri" w:cs="Calibri"/>
          <w:sz w:val="22"/>
          <w:szCs w:val="22"/>
        </w:rPr>
      </w:pPr>
    </w:p>
    <w:p w14:paraId="5B941659" w14:textId="4806A516" w:rsidR="005D478C" w:rsidRPr="00AD0940" w:rsidRDefault="00193D6C" w:rsidP="001611AF">
      <w:pPr>
        <w:pStyle w:val="Heading3"/>
      </w:pPr>
      <w:bookmarkStart w:id="4" w:name="_Toc235917965"/>
      <w:r w:rsidRPr="00AD0940">
        <w:lastRenderedPageBreak/>
        <w:t>3.2 Failure Mode and Effects Analysis (FMEA) of Toyota's International Supply Chain</w:t>
      </w:r>
      <w:bookmarkEnd w:id="4"/>
    </w:p>
    <w:p w14:paraId="5064FFD5" w14:textId="77777777" w:rsidR="005C66AE" w:rsidRPr="00CA0641" w:rsidRDefault="005C66AE" w:rsidP="001268D7">
      <w:pPr>
        <w:rPr>
          <w:rFonts w:ascii="Calibri" w:hAnsi="Calibri" w:cs="Calibri"/>
          <w:sz w:val="22"/>
          <w:szCs w:val="22"/>
        </w:rPr>
      </w:pPr>
    </w:p>
    <w:p w14:paraId="13E8F2B2" w14:textId="1AAAB4E5" w:rsidR="005C66AE" w:rsidRPr="00CA0641" w:rsidRDefault="005C66AE" w:rsidP="001268D7">
      <w:pPr>
        <w:rPr>
          <w:rFonts w:ascii="Calibri" w:hAnsi="Calibri" w:cs="Calibri"/>
          <w:sz w:val="22"/>
          <w:szCs w:val="22"/>
        </w:rPr>
      </w:pPr>
      <w:r w:rsidRPr="00CA0641">
        <w:rPr>
          <w:rFonts w:ascii="Calibri" w:hAnsi="Calibri" w:cs="Calibri"/>
          <w:noProof/>
          <w:sz w:val="22"/>
          <w:szCs w:val="22"/>
        </w:rPr>
        <w:drawing>
          <wp:inline distT="0" distB="0" distL="0" distR="0" wp14:anchorId="647789D6" wp14:editId="050FDBC3">
            <wp:extent cx="5763410" cy="4469130"/>
            <wp:effectExtent l="0" t="0" r="8890" b="7620"/>
            <wp:docPr id="2881959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845518" cy="4532799"/>
                    </a:xfrm>
                    <a:prstGeom prst="rect">
                      <a:avLst/>
                    </a:prstGeom>
                    <a:noFill/>
                  </pic:spPr>
                </pic:pic>
              </a:graphicData>
            </a:graphic>
          </wp:inline>
        </w:drawing>
      </w:r>
    </w:p>
    <w:p w14:paraId="7DABE348" w14:textId="4DE2F47A" w:rsidR="00EA6AB4" w:rsidRPr="00AD0940" w:rsidRDefault="00EA6AB4" w:rsidP="001611AF">
      <w:pPr>
        <w:pStyle w:val="Heading4"/>
      </w:pPr>
      <w:r w:rsidRPr="00AD0940">
        <w:t>3.3 Discussion of FMEA Findings</w:t>
      </w:r>
    </w:p>
    <w:p w14:paraId="463B409C" w14:textId="77777777" w:rsidR="00EA6AB4" w:rsidRPr="00CA0641" w:rsidRDefault="00EA6AB4" w:rsidP="00EA6AB4">
      <w:pPr>
        <w:rPr>
          <w:rFonts w:ascii="Calibri" w:hAnsi="Calibri" w:cs="Calibri"/>
          <w:sz w:val="22"/>
          <w:szCs w:val="22"/>
        </w:rPr>
      </w:pPr>
      <w:r w:rsidRPr="00CA0641">
        <w:rPr>
          <w:rFonts w:ascii="Calibri" w:hAnsi="Calibri" w:cs="Calibri"/>
          <w:sz w:val="22"/>
          <w:szCs w:val="22"/>
        </w:rPr>
        <w:t xml:space="preserve">The FMEA demonstrates that </w:t>
      </w:r>
      <w:r w:rsidRPr="00CA0641">
        <w:rPr>
          <w:rFonts w:ascii="Calibri" w:hAnsi="Calibri" w:cs="Calibri"/>
          <w:b/>
          <w:bCs/>
          <w:sz w:val="22"/>
          <w:szCs w:val="22"/>
        </w:rPr>
        <w:t>semiconductor shortages represent the greatest operational risk</w:t>
      </w:r>
      <w:r w:rsidRPr="00CA0641">
        <w:rPr>
          <w:rFonts w:ascii="Calibri" w:hAnsi="Calibri" w:cs="Calibri"/>
          <w:sz w:val="22"/>
          <w:szCs w:val="22"/>
        </w:rPr>
        <w:t xml:space="preserve"> to Toyota's international supply chain, with an RPN of </w:t>
      </w:r>
      <w:r w:rsidRPr="00CA0641">
        <w:rPr>
          <w:rFonts w:ascii="Calibri" w:hAnsi="Calibri" w:cs="Calibri"/>
          <w:b/>
          <w:bCs/>
          <w:sz w:val="22"/>
          <w:szCs w:val="22"/>
        </w:rPr>
        <w:t>560</w:t>
      </w:r>
      <w:r w:rsidRPr="00CA0641">
        <w:rPr>
          <w:rFonts w:ascii="Calibri" w:hAnsi="Calibri" w:cs="Calibri"/>
          <w:sz w:val="22"/>
          <w:szCs w:val="22"/>
        </w:rPr>
        <w:t>. This reflects the exceptionally high severity of electronic component shortages within modern vehicle manufacturing, where a single missing semiconductor can prevent the completion of an entire vehicle. The disruption experienced by the automotive industry between 2020 and 2023 illustrated how dependence on a relatively small number of specialist chip manufacturers created production bottlenecks across global markets (Ivanov, 2021). Although Toyota entered the crisis with greater inventory resilience than many competitors following lessons learned from the 2011 Tōhoku earthquake, prolonged shortages still resulted in production constraints, demonstrating that inventory alone cannot eliminate systemic supply risk.</w:t>
      </w:r>
    </w:p>
    <w:p w14:paraId="6A2A7976" w14:textId="77777777" w:rsidR="00EA6AB4" w:rsidRPr="00CA0641" w:rsidRDefault="00EA6AB4" w:rsidP="00EA6AB4">
      <w:pPr>
        <w:rPr>
          <w:rFonts w:ascii="Calibri" w:hAnsi="Calibri" w:cs="Calibri"/>
          <w:sz w:val="22"/>
          <w:szCs w:val="22"/>
        </w:rPr>
      </w:pPr>
      <w:r w:rsidRPr="00CA0641">
        <w:rPr>
          <w:rFonts w:ascii="Calibri" w:hAnsi="Calibri" w:cs="Calibri"/>
          <w:sz w:val="22"/>
          <w:szCs w:val="22"/>
        </w:rPr>
        <w:t xml:space="preserve">The second highest risk concerns </w:t>
      </w:r>
      <w:r w:rsidRPr="00CA0641">
        <w:rPr>
          <w:rFonts w:ascii="Calibri" w:hAnsi="Calibri" w:cs="Calibri"/>
          <w:b/>
          <w:bCs/>
          <w:sz w:val="22"/>
          <w:szCs w:val="22"/>
        </w:rPr>
        <w:t>single-source supplier dependency</w:t>
      </w:r>
      <w:r w:rsidRPr="00CA0641">
        <w:rPr>
          <w:rFonts w:ascii="Calibri" w:hAnsi="Calibri" w:cs="Calibri"/>
          <w:sz w:val="22"/>
          <w:szCs w:val="22"/>
        </w:rPr>
        <w:t xml:space="preserve">, with an RPN of </w:t>
      </w:r>
      <w:r w:rsidRPr="00CA0641">
        <w:rPr>
          <w:rFonts w:ascii="Calibri" w:hAnsi="Calibri" w:cs="Calibri"/>
          <w:b/>
          <w:bCs/>
          <w:sz w:val="22"/>
          <w:szCs w:val="22"/>
        </w:rPr>
        <w:t>378</w:t>
      </w:r>
      <w:r w:rsidRPr="00CA0641">
        <w:rPr>
          <w:rFonts w:ascii="Calibri" w:hAnsi="Calibri" w:cs="Calibri"/>
          <w:sz w:val="22"/>
          <w:szCs w:val="22"/>
        </w:rPr>
        <w:t xml:space="preserve">. Toyota has historically developed long-term relationships with suppliers, allowing close collaboration, improved quality and continuous process improvement. While these partnerships have contributed significantly to operational efficiency, they may also reduce organisational flexibility when alternative suppliers are unavailable. Excessive dependence on a single supplier increases exposure to financial </w:t>
      </w:r>
      <w:r w:rsidRPr="00CA0641">
        <w:rPr>
          <w:rFonts w:ascii="Calibri" w:hAnsi="Calibri" w:cs="Calibri"/>
          <w:sz w:val="22"/>
          <w:szCs w:val="22"/>
        </w:rPr>
        <w:lastRenderedPageBreak/>
        <w:t>failure, geopolitical instability and operational disruptions occurring outside Toyota's direct control. Recent research suggests that supplier diversification has become increasingly important as supply chains become more globally interconnected and vulnerable to external shocks (Christopher, 2023).</w:t>
      </w:r>
    </w:p>
    <w:p w14:paraId="7A828712" w14:textId="77777777" w:rsidR="00EA6AB4" w:rsidRPr="00CA0641" w:rsidRDefault="00EA6AB4" w:rsidP="00EA6AB4">
      <w:pPr>
        <w:rPr>
          <w:rFonts w:ascii="Calibri" w:hAnsi="Calibri" w:cs="Calibri"/>
          <w:sz w:val="22"/>
          <w:szCs w:val="22"/>
        </w:rPr>
      </w:pPr>
      <w:r w:rsidRPr="00CA0641">
        <w:rPr>
          <w:rFonts w:ascii="Calibri" w:hAnsi="Calibri" w:cs="Calibri"/>
          <w:sz w:val="22"/>
          <w:szCs w:val="22"/>
        </w:rPr>
        <w:t>Global logistics disruption represents the third most significant risk. International automotive supply chains depend upon ports, shipping companies, rail freight, road transport and customs procedures operating efficiently across multiple countries. Events such as the COVID-19 pandemic, congestion at major ports and the blockage of the Suez Canal demonstrated how disruptions within transport networks can rapidly affect manufacturing schedules worldwide (World Economic Forum, 2024). Although Toyota works with multiple logistics providers, increasing geopolitical uncertainty means that greater visibility across transport networks and more flexible routing strategies are becoming essential.</w:t>
      </w:r>
    </w:p>
    <w:p w14:paraId="7C84AA42" w14:textId="77777777" w:rsidR="00EA6AB4" w:rsidRPr="00CA0641" w:rsidRDefault="00EA6AB4" w:rsidP="00EA6AB4">
      <w:pPr>
        <w:rPr>
          <w:rFonts w:ascii="Calibri" w:hAnsi="Calibri" w:cs="Calibri"/>
          <w:sz w:val="22"/>
          <w:szCs w:val="22"/>
        </w:rPr>
      </w:pPr>
      <w:r w:rsidRPr="00CA0641">
        <w:rPr>
          <w:rFonts w:ascii="Calibri" w:hAnsi="Calibri" w:cs="Calibri"/>
          <w:sz w:val="22"/>
          <w:szCs w:val="22"/>
        </w:rPr>
        <w:t>Cybersecurity has emerged as another critical area of concern. As Toyota continues to digitalise procurement, manufacturing and logistics operations, operational performance increasingly depends on the availability, integrity and security of information systems. Cyberattacks affecting either Toyota or its suppliers could interrupt production planning, inventory management and supplier communication, creating disruptions that extend well beyond information technology functions. Consequently, cyber resilience should now be considered an integral component of supply chain resilience rather than a separate technical issue (Ivanov and Dolgui, 2021).</w:t>
      </w:r>
    </w:p>
    <w:p w14:paraId="08849566" w14:textId="77777777" w:rsidR="00EA6AB4" w:rsidRPr="00CA0641" w:rsidRDefault="00EA6AB4" w:rsidP="00EA6AB4">
      <w:pPr>
        <w:rPr>
          <w:rFonts w:ascii="Calibri" w:hAnsi="Calibri" w:cs="Calibri"/>
          <w:sz w:val="22"/>
          <w:szCs w:val="22"/>
        </w:rPr>
      </w:pPr>
      <w:r w:rsidRPr="00CA0641">
        <w:rPr>
          <w:rFonts w:ascii="Calibri" w:hAnsi="Calibri" w:cs="Calibri"/>
          <w:sz w:val="22"/>
          <w:szCs w:val="22"/>
        </w:rPr>
        <w:t>Natural disasters remain an unavoidable risk because many suppliers and manufacturing facilities operate in regions vulnerable to earthquakes, floods, typhoons and other extreme weather events. While these events occur less frequently than supplier or logistics disruptions, their consequences can be severe when critical production facilities or infrastructure are affected. Toyota's investment in business continuity planning has improved preparedness; however, increasing climate-related uncertainty suggests that additional regional manufacturing flexibility may be required to maintain production continuity.</w:t>
      </w:r>
    </w:p>
    <w:p w14:paraId="6164216D" w14:textId="77777777" w:rsidR="00EA6AB4" w:rsidRPr="00CA0641" w:rsidRDefault="00EA6AB4" w:rsidP="00EA6AB4">
      <w:pPr>
        <w:rPr>
          <w:rFonts w:ascii="Calibri" w:hAnsi="Calibri" w:cs="Calibri"/>
          <w:sz w:val="22"/>
          <w:szCs w:val="22"/>
        </w:rPr>
      </w:pPr>
      <w:r w:rsidRPr="00CA0641">
        <w:rPr>
          <w:rFonts w:ascii="Calibri" w:hAnsi="Calibri" w:cs="Calibri"/>
          <w:sz w:val="22"/>
          <w:szCs w:val="22"/>
        </w:rPr>
        <w:t>Finally, supplier quality failures received the lowest RPN of the six identified risks. This relatively lower score reflects Toyota's well-established supplier development programmes, rigorous quality management systems and continuous improvement culture. Nevertheless, the financial and reputational consequences of defective components remain substantial, particularly where safety-critical systems are involved. Continued investment in predictive quality monitoring and real-time supplier performance analytics would help reduce the likelihood of quality failures while supporting Toyota's commitment to continuous improvement.</w:t>
      </w:r>
    </w:p>
    <w:p w14:paraId="5963355A" w14:textId="77777777" w:rsidR="00EA6AB4" w:rsidRPr="00CA0641" w:rsidRDefault="00EA6AB4" w:rsidP="00EA6AB4">
      <w:pPr>
        <w:rPr>
          <w:rFonts w:ascii="Calibri" w:hAnsi="Calibri" w:cs="Calibri"/>
          <w:sz w:val="22"/>
          <w:szCs w:val="22"/>
        </w:rPr>
      </w:pPr>
      <w:r w:rsidRPr="00CA0641">
        <w:rPr>
          <w:rFonts w:ascii="Calibri" w:hAnsi="Calibri" w:cs="Calibri"/>
          <w:sz w:val="22"/>
          <w:szCs w:val="22"/>
        </w:rPr>
        <w:t xml:space="preserve">Overall, the FMEA indicates that Toyota's greatest vulnerabilities are associated with </w:t>
      </w:r>
      <w:r w:rsidRPr="00CA0641">
        <w:rPr>
          <w:rFonts w:ascii="Calibri" w:hAnsi="Calibri" w:cs="Calibri"/>
          <w:b/>
          <w:bCs/>
          <w:sz w:val="22"/>
          <w:szCs w:val="22"/>
        </w:rPr>
        <w:t>global interdependence rather than internal manufacturing capability</w:t>
      </w:r>
      <w:r w:rsidRPr="00CA0641">
        <w:rPr>
          <w:rFonts w:ascii="Calibri" w:hAnsi="Calibri" w:cs="Calibri"/>
          <w:sz w:val="22"/>
          <w:szCs w:val="22"/>
        </w:rPr>
        <w:t>. The highest-ranked risks originate from external suppliers, international logistics networks and increasingly complex digital systems. These findings suggest that future competitive advantage will depend not only on operational efficiency but also on the organisation's ability to anticipate, absorb and recover from disruptions. The following section evaluates six resilience strategies designed to address the risks identified through the FMEA while recognising the practical trade-offs between resilience, cost and operational performance.</w:t>
      </w:r>
    </w:p>
    <w:p w14:paraId="2454A672" w14:textId="1F4263AC" w:rsidR="00004813" w:rsidRPr="00AD0940" w:rsidRDefault="00004813" w:rsidP="001611AF">
      <w:pPr>
        <w:pStyle w:val="Heading1"/>
      </w:pPr>
      <w:bookmarkStart w:id="5" w:name="_Toc235917966"/>
      <w:r w:rsidRPr="00AD0940">
        <w:lastRenderedPageBreak/>
        <w:t>4. Improving Supply Chain Resilience</w:t>
      </w:r>
      <w:bookmarkEnd w:id="5"/>
    </w:p>
    <w:p w14:paraId="5E823529" w14:textId="77777777" w:rsidR="00004813" w:rsidRPr="00AD0940" w:rsidRDefault="00004813" w:rsidP="001611AF">
      <w:pPr>
        <w:pStyle w:val="Heading2"/>
      </w:pPr>
      <w:bookmarkStart w:id="6" w:name="_Toc235917967"/>
      <w:r w:rsidRPr="00AD0940">
        <w:t>4.1 Supplier Diversification</w:t>
      </w:r>
      <w:bookmarkEnd w:id="6"/>
    </w:p>
    <w:p w14:paraId="443E4641" w14:textId="77777777" w:rsidR="00004813" w:rsidRPr="00CA0641" w:rsidRDefault="00004813" w:rsidP="00004813">
      <w:pPr>
        <w:rPr>
          <w:rFonts w:ascii="Calibri" w:hAnsi="Calibri" w:cs="Calibri"/>
          <w:sz w:val="22"/>
          <w:szCs w:val="22"/>
        </w:rPr>
      </w:pPr>
      <w:r w:rsidRPr="00CA0641">
        <w:rPr>
          <w:rFonts w:ascii="Calibri" w:hAnsi="Calibri" w:cs="Calibri"/>
          <w:sz w:val="22"/>
          <w:szCs w:val="22"/>
        </w:rPr>
        <w:t>The FMEA identified supplier dependency as one of Toyota's highest-priority risks, demonstrating that reliance on a limited number of suppliers can significantly increase operational vulnerability. While Toyota has historically favoured long-term supplier relationships to encourage collaboration, quality improvement and cost efficiency, recent global disruptions suggest that excessive dependence on single-source suppliers may reduce organisational resilience. The semiconductor shortage highlighted how production can be severely affected when critical components are available from only a small number of manufacturers, regardless of the strength of existing supplier relationships (Ivanov and Dolgui, 2021).</w:t>
      </w:r>
    </w:p>
    <w:p w14:paraId="2419F5B8" w14:textId="16D1E9C5" w:rsidR="00004813" w:rsidRPr="00CA0641" w:rsidRDefault="00004813" w:rsidP="00004813">
      <w:pPr>
        <w:rPr>
          <w:rFonts w:ascii="Calibri" w:hAnsi="Calibri" w:cs="Calibri"/>
          <w:sz w:val="22"/>
          <w:szCs w:val="22"/>
        </w:rPr>
      </w:pPr>
      <w:r w:rsidRPr="00CA0641">
        <w:rPr>
          <w:rFonts w:ascii="Calibri" w:hAnsi="Calibri" w:cs="Calibri"/>
          <w:sz w:val="22"/>
          <w:szCs w:val="22"/>
        </w:rPr>
        <w:t>Supplier diversification offers one practical solution by reducing dependence on individual suppliers and distributing procurement across multiple geographical regions</w:t>
      </w:r>
      <w:r w:rsidR="00D904B4">
        <w:rPr>
          <w:rFonts w:ascii="Calibri" w:hAnsi="Calibri" w:cs="Calibri"/>
          <w:sz w:val="22"/>
          <w:szCs w:val="22"/>
        </w:rPr>
        <w:t xml:space="preserve">. </w:t>
      </w:r>
      <w:r w:rsidRPr="00CA0641">
        <w:rPr>
          <w:rFonts w:ascii="Calibri" w:hAnsi="Calibri" w:cs="Calibri"/>
          <w:sz w:val="22"/>
          <w:szCs w:val="22"/>
        </w:rPr>
        <w:t>Research suggests that organisations operating diversified supplier networks generally recover more quickly from supply chain interruptions because alternative suppliers can absorb part of the lost production capacity (Christopher, 2023).</w:t>
      </w:r>
    </w:p>
    <w:p w14:paraId="12F45FF9" w14:textId="77777777" w:rsidR="00004813" w:rsidRPr="00CA0641" w:rsidRDefault="00004813" w:rsidP="00004813">
      <w:pPr>
        <w:rPr>
          <w:rFonts w:ascii="Calibri" w:hAnsi="Calibri" w:cs="Calibri"/>
          <w:sz w:val="22"/>
          <w:szCs w:val="22"/>
        </w:rPr>
      </w:pPr>
      <w:r w:rsidRPr="00CA0641">
        <w:rPr>
          <w:rFonts w:ascii="Calibri" w:hAnsi="Calibri" w:cs="Calibri"/>
          <w:sz w:val="22"/>
          <w:szCs w:val="22"/>
        </w:rPr>
        <w:t>However, diversification is not without challenges. Establishing additional supplier relationships increases procurement costs, requires more extensive supplier audits and may reduce purchasing economies of scale. Managing multiple suppliers also introduces greater operational complexity, particularly where technical standards and quality requirements differ between manufacturers. Consequently, diversification should be applied selectively to components that present the greatest operational risk rather than across the entire supply chain.</w:t>
      </w:r>
    </w:p>
    <w:p w14:paraId="44129BEA" w14:textId="2F8E0966" w:rsidR="00004813" w:rsidRPr="00CA0641" w:rsidRDefault="00004813" w:rsidP="00004813">
      <w:pPr>
        <w:rPr>
          <w:rFonts w:ascii="Calibri" w:hAnsi="Calibri" w:cs="Calibri"/>
          <w:sz w:val="22"/>
          <w:szCs w:val="22"/>
        </w:rPr>
      </w:pPr>
      <w:r w:rsidRPr="00CA0641">
        <w:rPr>
          <w:rFonts w:ascii="Calibri" w:hAnsi="Calibri" w:cs="Calibri"/>
          <w:sz w:val="22"/>
          <w:szCs w:val="22"/>
        </w:rPr>
        <w:t xml:space="preserve">For Toyota, the most effective approach would involve identifying critical components with limited global availability, including semiconductors, battery materials and specialised electronic systems, before developing qualified secondary suppliers. This targeted strategy would improve resilience while preserving the long-term collaborative relationships that remain central to the Toyota Production System. </w:t>
      </w:r>
    </w:p>
    <w:p w14:paraId="11ADFCC2" w14:textId="77777777" w:rsidR="00AD0940" w:rsidRDefault="00AD0940" w:rsidP="00004813">
      <w:pPr>
        <w:rPr>
          <w:rFonts w:ascii="Calibri" w:hAnsi="Calibri" w:cs="Calibri"/>
          <w:b/>
          <w:bCs/>
          <w:sz w:val="22"/>
          <w:szCs w:val="22"/>
        </w:rPr>
      </w:pPr>
    </w:p>
    <w:p w14:paraId="6A53C2E9" w14:textId="06B610C5" w:rsidR="00004813" w:rsidRPr="00AD0940" w:rsidRDefault="00004813" w:rsidP="001611AF">
      <w:pPr>
        <w:pStyle w:val="Heading3"/>
      </w:pPr>
      <w:bookmarkStart w:id="7" w:name="_Toc235917968"/>
      <w:r w:rsidRPr="00AD0940">
        <w:t>4.2 Digital Supply Chain Visibility</w:t>
      </w:r>
      <w:bookmarkEnd w:id="7"/>
    </w:p>
    <w:p w14:paraId="2A694F0B" w14:textId="77777777" w:rsidR="00004813" w:rsidRPr="00CA0641" w:rsidRDefault="00004813" w:rsidP="00004813">
      <w:pPr>
        <w:rPr>
          <w:rFonts w:ascii="Calibri" w:hAnsi="Calibri" w:cs="Calibri"/>
          <w:sz w:val="22"/>
          <w:szCs w:val="22"/>
        </w:rPr>
      </w:pPr>
      <w:r w:rsidRPr="00CA0641">
        <w:rPr>
          <w:rFonts w:ascii="Calibri" w:hAnsi="Calibri" w:cs="Calibri"/>
          <w:sz w:val="22"/>
          <w:szCs w:val="22"/>
        </w:rPr>
        <w:t>Increasing digital visibility has become one of the most important developments in modern supply chain management. As Toyota's international operations involve thousands of suppliers, logistics providers and manufacturing facilities, real-time access to operational data enables managers to identify disruptions before they develop into significant production problems. Technologies including cloud-based information systems, artificial intelligence, digital twins and Internet of Things (IoT) sensors allow organisations to monitor inventory levels, supplier performance and transport movements continuously, supporting faster and more informed decision-making (Ivanov, 2024).</w:t>
      </w:r>
    </w:p>
    <w:p w14:paraId="250A3024" w14:textId="77777777" w:rsidR="00004813" w:rsidRPr="00CA0641" w:rsidRDefault="00004813" w:rsidP="00004813">
      <w:pPr>
        <w:rPr>
          <w:rFonts w:ascii="Calibri" w:hAnsi="Calibri" w:cs="Calibri"/>
          <w:sz w:val="22"/>
          <w:szCs w:val="22"/>
        </w:rPr>
      </w:pPr>
      <w:r w:rsidRPr="00CA0641">
        <w:rPr>
          <w:rFonts w:ascii="Calibri" w:hAnsi="Calibri" w:cs="Calibri"/>
          <w:sz w:val="22"/>
          <w:szCs w:val="22"/>
        </w:rPr>
        <w:t xml:space="preserve">The benefits of digital visibility extend beyond operational monitoring. Predictive analytics can identify patterns indicating future shortages, transportation delays or supplier performance issues, allowing Toyota to intervene before production schedules are affected. Digital technologies also improve collaboration by enabling suppliers and manufacturers to share information more </w:t>
      </w:r>
      <w:r w:rsidRPr="00CA0641">
        <w:rPr>
          <w:rFonts w:ascii="Calibri" w:hAnsi="Calibri" w:cs="Calibri"/>
          <w:sz w:val="22"/>
          <w:szCs w:val="22"/>
        </w:rPr>
        <w:lastRenderedPageBreak/>
        <w:t>effectively, reducing uncertainty throughout the supply chain. During periods of disruption, improved visibility supports quicker responses, more accurate forecasting and better allocation of available resources.</w:t>
      </w:r>
    </w:p>
    <w:p w14:paraId="12E59213" w14:textId="77777777" w:rsidR="00004813" w:rsidRPr="00CA0641" w:rsidRDefault="00004813" w:rsidP="00004813">
      <w:pPr>
        <w:rPr>
          <w:rFonts w:ascii="Calibri" w:hAnsi="Calibri" w:cs="Calibri"/>
          <w:sz w:val="22"/>
          <w:szCs w:val="22"/>
        </w:rPr>
      </w:pPr>
      <w:r w:rsidRPr="00CA0641">
        <w:rPr>
          <w:rFonts w:ascii="Calibri" w:hAnsi="Calibri" w:cs="Calibri"/>
          <w:sz w:val="22"/>
          <w:szCs w:val="22"/>
        </w:rPr>
        <w:t>Despite these advantages, implementing advanced digital systems requires substantial investment in technology, employee training and cybersecurity infrastructure. Smaller suppliers may lack the financial or technical capability to adopt compatible digital platforms, potentially limiting the effectiveness of fully integrated information sharing. Increased digital connectivity also creates greater exposure to cyber threats, making robust cybersecurity measures essential for protecting sensitive operational data.</w:t>
      </w:r>
    </w:p>
    <w:p w14:paraId="0C2190D6" w14:textId="77777777" w:rsidR="00004813" w:rsidRDefault="00004813" w:rsidP="00004813">
      <w:pPr>
        <w:rPr>
          <w:rFonts w:ascii="Calibri" w:hAnsi="Calibri" w:cs="Calibri"/>
          <w:sz w:val="22"/>
          <w:szCs w:val="22"/>
        </w:rPr>
      </w:pPr>
      <w:r w:rsidRPr="00CA0641">
        <w:rPr>
          <w:rFonts w:ascii="Calibri" w:hAnsi="Calibri" w:cs="Calibri"/>
          <w:sz w:val="22"/>
          <w:szCs w:val="22"/>
        </w:rPr>
        <w:t>For Toyota, digital visibility should therefore be viewed as both a technological and organisational capability. Investment in artificial intelligence, real-time supplier dashboards and predictive analytics would strengthen decision-making while improving resilience across the wider supply network. Nevertheless, digital transformation should be accompanied by common data standards, supplier training and strengthened cybersecurity to ensure that greater connectivity does not introduce additional operational vulnerabilities.</w:t>
      </w:r>
    </w:p>
    <w:p w14:paraId="4F6410F2" w14:textId="3FD8C06A" w:rsidR="00797C77" w:rsidRPr="00CA0641" w:rsidRDefault="00797C77" w:rsidP="00004813">
      <w:pPr>
        <w:rPr>
          <w:rFonts w:ascii="Calibri" w:hAnsi="Calibri" w:cs="Calibri"/>
          <w:sz w:val="22"/>
          <w:szCs w:val="22"/>
        </w:rPr>
      </w:pPr>
      <w:r w:rsidRPr="00797C77">
        <w:rPr>
          <w:rFonts w:ascii="Calibri" w:hAnsi="Calibri" w:cs="Calibri"/>
          <w:sz w:val="22"/>
          <w:szCs w:val="22"/>
        </w:rPr>
        <w:t xml:space="preserve">Recent research also suggests that digital technologies such as artificial intelligence and advanced analytics improve visibility and enable organisations to respond more rapidly to supply chain disruptions (Bag </w:t>
      </w:r>
      <w:r w:rsidRPr="00797C77">
        <w:rPr>
          <w:rFonts w:ascii="Calibri" w:hAnsi="Calibri" w:cs="Calibri"/>
          <w:i/>
          <w:iCs/>
          <w:sz w:val="22"/>
          <w:szCs w:val="22"/>
        </w:rPr>
        <w:t>et al.</w:t>
      </w:r>
      <w:r w:rsidRPr="00797C77">
        <w:rPr>
          <w:rFonts w:ascii="Calibri" w:hAnsi="Calibri" w:cs="Calibri"/>
          <w:sz w:val="22"/>
          <w:szCs w:val="22"/>
        </w:rPr>
        <w:t>, 2021).</w:t>
      </w:r>
    </w:p>
    <w:p w14:paraId="7A4A7F51" w14:textId="77777777" w:rsidR="00004813" w:rsidRPr="00CA0641" w:rsidRDefault="00004813" w:rsidP="00004813">
      <w:pPr>
        <w:rPr>
          <w:rFonts w:ascii="Calibri" w:hAnsi="Calibri" w:cs="Calibri"/>
          <w:sz w:val="22"/>
          <w:szCs w:val="22"/>
        </w:rPr>
      </w:pPr>
    </w:p>
    <w:p w14:paraId="566F5BC9" w14:textId="77777777" w:rsidR="00FC5586" w:rsidRPr="00AD0940" w:rsidRDefault="00FC5586" w:rsidP="001611AF">
      <w:pPr>
        <w:pStyle w:val="Heading4"/>
      </w:pPr>
      <w:r w:rsidRPr="00AD0940">
        <w:t>4.3 Strategic Inventory and Safety Stock</w:t>
      </w:r>
    </w:p>
    <w:p w14:paraId="0921029E" w14:textId="77777777" w:rsidR="00FC5586" w:rsidRPr="00CA0641" w:rsidRDefault="00FC5586" w:rsidP="00FC5586">
      <w:pPr>
        <w:rPr>
          <w:rFonts w:ascii="Calibri" w:hAnsi="Calibri" w:cs="Calibri"/>
          <w:sz w:val="22"/>
          <w:szCs w:val="22"/>
        </w:rPr>
      </w:pPr>
      <w:r w:rsidRPr="00CA0641">
        <w:rPr>
          <w:rFonts w:ascii="Calibri" w:hAnsi="Calibri" w:cs="Calibri"/>
          <w:sz w:val="22"/>
          <w:szCs w:val="22"/>
        </w:rPr>
        <w:t>Toyota's Just-in-Time (JIT) production system has long been recognised as a cornerstone of operational efficiency, enabling the company to minimise inventory holding costs and eliminate waste throughout the manufacturing process (Liker, 2021). While this approach has delivered considerable financial and operational benefits, recent global disruptions demonstrated that extremely low inventory levels may reduce an organisation's ability to respond effectively to prolonged supply interruptions. The semiconductor shortage illustrated that manufacturers operating with minimal stock were often unable to maintain production when critical components became unavailable.</w:t>
      </w:r>
    </w:p>
    <w:p w14:paraId="526E1DA5" w14:textId="77777777" w:rsidR="00FC5586" w:rsidRPr="00CA0641" w:rsidRDefault="00FC5586" w:rsidP="00FC5586">
      <w:pPr>
        <w:rPr>
          <w:rFonts w:ascii="Calibri" w:hAnsi="Calibri" w:cs="Calibri"/>
          <w:sz w:val="22"/>
          <w:szCs w:val="22"/>
        </w:rPr>
      </w:pPr>
      <w:r w:rsidRPr="00CA0641">
        <w:rPr>
          <w:rFonts w:ascii="Calibri" w:hAnsi="Calibri" w:cs="Calibri"/>
          <w:sz w:val="22"/>
          <w:szCs w:val="22"/>
        </w:rPr>
        <w:t>Introducing strategic inventory for selected high-risk components would improve Toyota's resilience without abandoning Lean manufacturing principles. Rather than increasing inventory across all product categories, Toyota should maintain safety stock only for components identified through risk assessment as having high operational importance and limited supplier availability. This targeted approach would provide temporary protection against short-term disruptions while avoiding the excessive storage costs associated with traditional inventory management.</w:t>
      </w:r>
    </w:p>
    <w:p w14:paraId="65743043" w14:textId="77777777" w:rsidR="00FC5586" w:rsidRPr="00CA0641" w:rsidRDefault="00FC5586" w:rsidP="00FC5586">
      <w:pPr>
        <w:rPr>
          <w:rFonts w:ascii="Calibri" w:hAnsi="Calibri" w:cs="Calibri"/>
          <w:sz w:val="22"/>
          <w:szCs w:val="22"/>
        </w:rPr>
      </w:pPr>
      <w:r w:rsidRPr="00CA0641">
        <w:rPr>
          <w:rFonts w:ascii="Calibri" w:hAnsi="Calibri" w:cs="Calibri"/>
          <w:sz w:val="22"/>
          <w:szCs w:val="22"/>
        </w:rPr>
        <w:t>However, increasing inventory inevitably involves financial trade-offs. Additional stock requires greater warehouse capacity, increases inventory carrying costs and may expose the organisation to component obsolescence, particularly within rapidly evolving technologies such as semiconductors and electric vehicle electronics. Excess inventory can also reduce the operational efficiency that has historically distinguished Toyota from many competitors.</w:t>
      </w:r>
    </w:p>
    <w:p w14:paraId="356C54B4" w14:textId="77777777" w:rsidR="00FC5586" w:rsidRPr="00CA0641" w:rsidRDefault="00FC5586" w:rsidP="00FC5586">
      <w:pPr>
        <w:rPr>
          <w:rFonts w:ascii="Calibri" w:hAnsi="Calibri" w:cs="Calibri"/>
          <w:sz w:val="22"/>
          <w:szCs w:val="22"/>
        </w:rPr>
      </w:pPr>
      <w:r w:rsidRPr="00CA0641">
        <w:rPr>
          <w:rFonts w:ascii="Calibri" w:hAnsi="Calibri" w:cs="Calibri"/>
          <w:sz w:val="22"/>
          <w:szCs w:val="22"/>
        </w:rPr>
        <w:lastRenderedPageBreak/>
        <w:t>For this reason, strategic inventory should complement rather than replace the Toyota Production System. Combining predictive demand forecasting with selective safety stock would allow Toyota to preserve the efficiency of JIT while improving its ability to withstand temporary supply disruptions. This balanced approach reflects the growing recognition that resilience and efficiency should operate together rather than being viewed as competing objectives (Christopher, 2023).</w:t>
      </w:r>
    </w:p>
    <w:p w14:paraId="7A478039" w14:textId="77777777" w:rsidR="00FC5586" w:rsidRPr="00AD0940" w:rsidRDefault="00FC5586" w:rsidP="001611AF">
      <w:pPr>
        <w:pStyle w:val="Heading5"/>
      </w:pPr>
      <w:r w:rsidRPr="00AD0940">
        <w:t>4.4 Regionalisation and Nearshoring</w:t>
      </w:r>
    </w:p>
    <w:p w14:paraId="240F01EC" w14:textId="77777777" w:rsidR="00FC5586" w:rsidRPr="00CA0641" w:rsidRDefault="00FC5586" w:rsidP="00FC5586">
      <w:pPr>
        <w:rPr>
          <w:rFonts w:ascii="Calibri" w:hAnsi="Calibri" w:cs="Calibri"/>
          <w:sz w:val="22"/>
          <w:szCs w:val="22"/>
        </w:rPr>
      </w:pPr>
      <w:r w:rsidRPr="00CA0641">
        <w:rPr>
          <w:rFonts w:ascii="Calibri" w:hAnsi="Calibri" w:cs="Calibri"/>
          <w:sz w:val="22"/>
          <w:szCs w:val="22"/>
        </w:rPr>
        <w:t>Toyota's global manufacturing network enables access to specialised suppliers, competitive production costs and international economies of scale. Nevertheless, increasing dependence on long-distance transport networks has exposed manufacturers to disruptions arising from geopolitical tensions, trade restrictions, shipping delays and extreme weather events. Recent disruptions demonstrated that highly globalised supply chains often experience longer recovery times because alternative production capacity may be located thousands of kilometres from affected markets (World Economic Forum, 2024).</w:t>
      </w:r>
    </w:p>
    <w:p w14:paraId="6EC96DE8" w14:textId="77777777" w:rsidR="00FC5586" w:rsidRPr="00CA0641" w:rsidRDefault="00FC5586" w:rsidP="00FC5586">
      <w:pPr>
        <w:rPr>
          <w:rFonts w:ascii="Calibri" w:hAnsi="Calibri" w:cs="Calibri"/>
          <w:sz w:val="22"/>
          <w:szCs w:val="22"/>
        </w:rPr>
      </w:pPr>
      <w:r w:rsidRPr="00CA0641">
        <w:rPr>
          <w:rFonts w:ascii="Calibri" w:hAnsi="Calibri" w:cs="Calibri"/>
          <w:sz w:val="22"/>
          <w:szCs w:val="22"/>
        </w:rPr>
        <w:t>Regionalisation, sometimes referred to as nearshoring, provides an opportunity to reduce these vulnerabilities by locating selected suppliers and manufacturing activities closer to major assembly plants or customer markets. Shorter supply chains generally reduce transportation lead times, improve communication between suppliers and manufacturers and increase operational flexibility when unexpected disruptions occur. Local sourcing may also reduce carbon emissions associated with international freight, supporting Toyota's wider environmental sustainability objectives.</w:t>
      </w:r>
    </w:p>
    <w:p w14:paraId="408A5FCE" w14:textId="77777777" w:rsidR="00FC5586" w:rsidRPr="00CA0641" w:rsidRDefault="00FC5586" w:rsidP="00FC5586">
      <w:pPr>
        <w:rPr>
          <w:rFonts w:ascii="Calibri" w:hAnsi="Calibri" w:cs="Calibri"/>
          <w:sz w:val="22"/>
          <w:szCs w:val="22"/>
        </w:rPr>
      </w:pPr>
      <w:r w:rsidRPr="00CA0641">
        <w:rPr>
          <w:rFonts w:ascii="Calibri" w:hAnsi="Calibri" w:cs="Calibri"/>
          <w:sz w:val="22"/>
          <w:szCs w:val="22"/>
        </w:rPr>
        <w:t>Despite these advantages, regionalisation is not universally appropriate. Manufacturing costs are often higher in developed economies due to labour expenses, energy prices and regulatory requirements. Some specialised components, including advanced semiconductors and battery materials, are produced by only a limited number of suppliers worldwide, making complete regionalisation impractical. Excessive localisation may therefore reduce access to global expertise and increase production costs without fully eliminating supply risk.</w:t>
      </w:r>
    </w:p>
    <w:p w14:paraId="178A4BDD" w14:textId="7965F19D" w:rsidR="00FC5586" w:rsidRPr="00CA0641" w:rsidRDefault="00FC5586" w:rsidP="00FC5586">
      <w:pPr>
        <w:rPr>
          <w:rFonts w:ascii="Calibri" w:hAnsi="Calibri" w:cs="Calibri"/>
          <w:sz w:val="22"/>
          <w:szCs w:val="22"/>
        </w:rPr>
      </w:pPr>
      <w:r w:rsidRPr="00CA0641">
        <w:rPr>
          <w:rFonts w:ascii="Calibri" w:hAnsi="Calibri" w:cs="Calibri"/>
          <w:sz w:val="22"/>
          <w:szCs w:val="22"/>
        </w:rPr>
        <w:t xml:space="preserve">A more balanced strategy would involve regionalising production only for selected high-risk components while maintaining a diversified global supplier network for specialist technologies. Establishing additional regional distribution centres and increasing manufacturing flexibility across existing plants would further strengthen Toyota's ability to respond to regional disruptions without fundamentally changing its international operating model. This selective approach recognises that resilience is achieved through adaptability rather than complete localisation, allowing Toyota </w:t>
      </w:r>
      <w:r w:rsidR="00594751" w:rsidRPr="00CA0641">
        <w:rPr>
          <w:rFonts w:ascii="Calibri" w:hAnsi="Calibri" w:cs="Calibri"/>
          <w:sz w:val="22"/>
          <w:szCs w:val="22"/>
        </w:rPr>
        <w:t>to retain</w:t>
      </w:r>
      <w:r w:rsidRPr="00CA0641">
        <w:rPr>
          <w:rFonts w:ascii="Calibri" w:hAnsi="Calibri" w:cs="Calibri"/>
          <w:sz w:val="22"/>
          <w:szCs w:val="22"/>
        </w:rPr>
        <w:t xml:space="preserve"> the economic benefits of global sourcing while reducing exposure to major international disruptions.</w:t>
      </w:r>
    </w:p>
    <w:p w14:paraId="7C18FB41" w14:textId="77777777" w:rsidR="00FC5586" w:rsidRDefault="00FC5586" w:rsidP="00FC5586">
      <w:pPr>
        <w:rPr>
          <w:rFonts w:ascii="Calibri" w:hAnsi="Calibri" w:cs="Calibri"/>
          <w:sz w:val="22"/>
          <w:szCs w:val="22"/>
        </w:rPr>
      </w:pPr>
    </w:p>
    <w:p w14:paraId="0E918FEC" w14:textId="77777777" w:rsidR="007D16D2" w:rsidRDefault="007D16D2" w:rsidP="00FC5586">
      <w:pPr>
        <w:rPr>
          <w:rFonts w:ascii="Calibri" w:hAnsi="Calibri" w:cs="Calibri"/>
          <w:sz w:val="22"/>
          <w:szCs w:val="22"/>
        </w:rPr>
      </w:pPr>
    </w:p>
    <w:p w14:paraId="2BA0C189" w14:textId="77777777" w:rsidR="00C4799E" w:rsidRDefault="00C4799E" w:rsidP="00FC5586">
      <w:pPr>
        <w:rPr>
          <w:rFonts w:ascii="Calibri" w:hAnsi="Calibri" w:cs="Calibri"/>
          <w:sz w:val="22"/>
          <w:szCs w:val="22"/>
        </w:rPr>
      </w:pPr>
    </w:p>
    <w:p w14:paraId="2C05FF4B" w14:textId="77777777" w:rsidR="007D16D2" w:rsidRDefault="007D16D2" w:rsidP="00FC5586">
      <w:pPr>
        <w:rPr>
          <w:rFonts w:ascii="Calibri" w:hAnsi="Calibri" w:cs="Calibri"/>
          <w:sz w:val="22"/>
          <w:szCs w:val="22"/>
        </w:rPr>
      </w:pPr>
    </w:p>
    <w:p w14:paraId="43DF7EED" w14:textId="77777777" w:rsidR="007D16D2" w:rsidRPr="00CA0641" w:rsidRDefault="007D16D2" w:rsidP="00FC5586">
      <w:pPr>
        <w:rPr>
          <w:rFonts w:ascii="Calibri" w:hAnsi="Calibri" w:cs="Calibri"/>
          <w:sz w:val="22"/>
          <w:szCs w:val="22"/>
        </w:rPr>
      </w:pPr>
    </w:p>
    <w:p w14:paraId="35E2C711" w14:textId="77777777" w:rsidR="00717C94" w:rsidRPr="00AD0940" w:rsidRDefault="00717C94" w:rsidP="001611AF">
      <w:pPr>
        <w:pStyle w:val="Heading6"/>
      </w:pPr>
      <w:r w:rsidRPr="00AD0940">
        <w:lastRenderedPageBreak/>
        <w:t>4.5 Supplier Collaboration and Strategic Partnerships</w:t>
      </w:r>
    </w:p>
    <w:p w14:paraId="1403FB2E" w14:textId="77777777" w:rsidR="00EE6B35" w:rsidRDefault="00EE6B35" w:rsidP="00717C94">
      <w:pPr>
        <w:rPr>
          <w:rFonts w:ascii="Calibri" w:hAnsi="Calibri" w:cs="Calibri"/>
          <w:sz w:val="22"/>
          <w:szCs w:val="22"/>
        </w:rPr>
      </w:pPr>
    </w:p>
    <w:p w14:paraId="57FBAF5E" w14:textId="575932F0" w:rsidR="00717C94" w:rsidRPr="00CA0641" w:rsidRDefault="00717C94" w:rsidP="00717C94">
      <w:pPr>
        <w:rPr>
          <w:rFonts w:ascii="Calibri" w:hAnsi="Calibri" w:cs="Calibri"/>
          <w:sz w:val="22"/>
          <w:szCs w:val="22"/>
        </w:rPr>
      </w:pPr>
      <w:r w:rsidRPr="00CA0641">
        <w:rPr>
          <w:rFonts w:ascii="Calibri" w:hAnsi="Calibri" w:cs="Calibri"/>
          <w:sz w:val="22"/>
          <w:szCs w:val="22"/>
        </w:rPr>
        <w:t>Toyota has traditionally developed long-term relationships with suppliers rather than relying solely on short-term contractual arrangements. This collaborative approach has supported continuous improvement, product quality and operational efficiency for many years and remains a defining feature of the Toyota Production System (Liker, 2021). Strong supplier relationships encourage knowledge sharing, joint problem-solving and greater alignment between manufacturers and suppliers, allowing production issues to be addressed before they escalate into significant operational disruptions.</w:t>
      </w:r>
    </w:p>
    <w:p w14:paraId="6D837AF8" w14:textId="77777777" w:rsidR="00717C94" w:rsidRPr="00CA0641" w:rsidRDefault="00717C94" w:rsidP="00717C94">
      <w:pPr>
        <w:rPr>
          <w:rFonts w:ascii="Calibri" w:hAnsi="Calibri" w:cs="Calibri"/>
          <w:sz w:val="22"/>
          <w:szCs w:val="22"/>
        </w:rPr>
      </w:pPr>
      <w:r w:rsidRPr="00CA0641">
        <w:rPr>
          <w:rFonts w:ascii="Calibri" w:hAnsi="Calibri" w:cs="Calibri"/>
          <w:sz w:val="22"/>
          <w:szCs w:val="22"/>
        </w:rPr>
        <w:t>In the context of increasing global uncertainty, supplier collaboration should extend beyond quality improvement and cost reduction to include supply chain resilience. Toyota could work more closely with key suppliers by sharing demand forecasts, production schedules and risk information in real time. Greater transparency would improve planning accuracy and enable suppliers to respond more quickly to changes in customer demand or unexpected disruptions. Joint contingency planning, regular resilience assessments and collaborative business continuity exercises would further strengthen the ability of both organisations to recover from supply chain interruptions.</w:t>
      </w:r>
    </w:p>
    <w:p w14:paraId="6811636B" w14:textId="77777777" w:rsidR="00717C94" w:rsidRPr="00CA0641" w:rsidRDefault="00717C94" w:rsidP="00717C94">
      <w:pPr>
        <w:rPr>
          <w:rFonts w:ascii="Calibri" w:hAnsi="Calibri" w:cs="Calibri"/>
          <w:sz w:val="22"/>
          <w:szCs w:val="22"/>
        </w:rPr>
      </w:pPr>
      <w:r w:rsidRPr="00CA0641">
        <w:rPr>
          <w:rFonts w:ascii="Calibri" w:hAnsi="Calibri" w:cs="Calibri"/>
          <w:sz w:val="22"/>
          <w:szCs w:val="22"/>
        </w:rPr>
        <w:t>However, collaborative relationships also present challenges. Sharing operational information may increase concerns regarding confidentiality and intellectual property, particularly where suppliers operate across multiple competing manufacturers. Close partnerships can also create excessive dependence if Toyota relies too heavily on a limited number of strategic suppliers. Maintaining collaborative relationships therefore requires an appropriate balance between trust, transparency and supplier diversification.</w:t>
      </w:r>
    </w:p>
    <w:p w14:paraId="7E1FEC4A" w14:textId="77777777" w:rsidR="00717C94" w:rsidRPr="00CA0641" w:rsidRDefault="00717C94" w:rsidP="00717C94">
      <w:pPr>
        <w:rPr>
          <w:rFonts w:ascii="Calibri" w:hAnsi="Calibri" w:cs="Calibri"/>
          <w:sz w:val="22"/>
          <w:szCs w:val="22"/>
        </w:rPr>
      </w:pPr>
      <w:r w:rsidRPr="00CA0641">
        <w:rPr>
          <w:rFonts w:ascii="Calibri" w:hAnsi="Calibri" w:cs="Calibri"/>
          <w:sz w:val="22"/>
          <w:szCs w:val="22"/>
        </w:rPr>
        <w:t>For Toyota, supplier collaboration should be viewed as an ongoing strategic investment rather than a procurement activity. Combining long-term partnerships with shared digital platforms, supplier development programmes and regular risk assessments would improve communication throughout the supply chain while preserving the operational advantages that have historically contributed to Toyota's competitive success.</w:t>
      </w:r>
    </w:p>
    <w:p w14:paraId="4724518C" w14:textId="77777777" w:rsidR="00EE6B35" w:rsidRDefault="00EE6B35" w:rsidP="001611AF">
      <w:pPr>
        <w:pStyle w:val="Heading7"/>
      </w:pPr>
    </w:p>
    <w:p w14:paraId="31926FCF" w14:textId="4376FF13" w:rsidR="00717C94" w:rsidRPr="00AD0940" w:rsidRDefault="00717C94" w:rsidP="001611AF">
      <w:pPr>
        <w:pStyle w:val="Heading7"/>
      </w:pPr>
      <w:r w:rsidRPr="00AD0940">
        <w:t>4.6 Supply Chain Risk Management and Scenario Planning</w:t>
      </w:r>
    </w:p>
    <w:p w14:paraId="7ED16E07" w14:textId="77777777" w:rsidR="00EE6B35" w:rsidRDefault="00EE6B35" w:rsidP="00717C94">
      <w:pPr>
        <w:rPr>
          <w:rFonts w:ascii="Calibri" w:hAnsi="Calibri" w:cs="Calibri"/>
          <w:sz w:val="22"/>
          <w:szCs w:val="22"/>
        </w:rPr>
      </w:pPr>
    </w:p>
    <w:p w14:paraId="59D81E2E" w14:textId="0EF597E9" w:rsidR="00717C94" w:rsidRPr="00CA0641" w:rsidRDefault="00717C94" w:rsidP="00717C94">
      <w:pPr>
        <w:rPr>
          <w:rFonts w:ascii="Calibri" w:hAnsi="Calibri" w:cs="Calibri"/>
          <w:sz w:val="22"/>
          <w:szCs w:val="22"/>
        </w:rPr>
      </w:pPr>
      <w:r w:rsidRPr="00CA0641">
        <w:rPr>
          <w:rFonts w:ascii="Calibri" w:hAnsi="Calibri" w:cs="Calibri"/>
          <w:sz w:val="22"/>
          <w:szCs w:val="22"/>
        </w:rPr>
        <w:t>The increasing frequency of global disruptions demonstrates that organisations can no longer assume supply chains will operate under stable conditions. Events such as pandemics, geopolitical conflicts, cyberattacks and extreme weather have shown that unexpected disruptions are becoming more common and more difficult to predict (World Economic Forum, 2024). Consequently, supply chain resilience depends not only on responding effectively to disruptions but also on preparing for them before they occur.</w:t>
      </w:r>
    </w:p>
    <w:p w14:paraId="530ABD93" w14:textId="77777777" w:rsidR="00717C94" w:rsidRPr="00CA0641" w:rsidRDefault="00717C94" w:rsidP="00717C94">
      <w:pPr>
        <w:rPr>
          <w:rFonts w:ascii="Calibri" w:hAnsi="Calibri" w:cs="Calibri"/>
          <w:sz w:val="22"/>
          <w:szCs w:val="22"/>
        </w:rPr>
      </w:pPr>
      <w:r w:rsidRPr="00CA0641">
        <w:rPr>
          <w:rFonts w:ascii="Calibri" w:hAnsi="Calibri" w:cs="Calibri"/>
          <w:sz w:val="22"/>
          <w:szCs w:val="22"/>
        </w:rPr>
        <w:t>Scenario planning provides a structured approach for evaluating potential future disruptions and assessing how different events could affect supply chain performance. By simulating supplier failures, transportation delays, cyber incidents and natural disasters, Toyota can identify vulnerabilities before they develop into operational crises. These exercises also enable managers to evaluate alternative response strategies, allocate resources more effectively and improve organisational preparedness.</w:t>
      </w:r>
    </w:p>
    <w:p w14:paraId="5E179BB3" w14:textId="77777777" w:rsidR="00717C94" w:rsidRPr="00CA0641" w:rsidRDefault="00717C94" w:rsidP="00717C94">
      <w:pPr>
        <w:rPr>
          <w:rFonts w:ascii="Calibri" w:hAnsi="Calibri" w:cs="Calibri"/>
          <w:sz w:val="22"/>
          <w:szCs w:val="22"/>
        </w:rPr>
      </w:pPr>
      <w:r w:rsidRPr="00CA0641">
        <w:rPr>
          <w:rFonts w:ascii="Calibri" w:hAnsi="Calibri" w:cs="Calibri"/>
          <w:sz w:val="22"/>
          <w:szCs w:val="22"/>
        </w:rPr>
        <w:lastRenderedPageBreak/>
        <w:t>Risk management should also be supported by continuous monitoring using key risk indicators, supplier performance metrics and predictive analytics. Rather than conducting risk assessments only after major disruptions, Toyota should integrate risk monitoring into routine operational decision-making. Advances in artificial intelligence and machine learning provide opportunities to identify emerging risks by analysing supplier performance, inventory levels and logistics data in real time (Ivanov, 2024). This proactive approach allows corrective action to be taken before disruptions significantly affect manufacturing operations.</w:t>
      </w:r>
    </w:p>
    <w:p w14:paraId="4ABD0010" w14:textId="77777777" w:rsidR="00717C94" w:rsidRPr="00CA0641" w:rsidRDefault="00717C94" w:rsidP="00717C94">
      <w:pPr>
        <w:rPr>
          <w:rFonts w:ascii="Calibri" w:hAnsi="Calibri" w:cs="Calibri"/>
          <w:sz w:val="22"/>
          <w:szCs w:val="22"/>
        </w:rPr>
      </w:pPr>
      <w:r w:rsidRPr="00CA0641">
        <w:rPr>
          <w:rFonts w:ascii="Calibri" w:hAnsi="Calibri" w:cs="Calibri"/>
          <w:sz w:val="22"/>
          <w:szCs w:val="22"/>
        </w:rPr>
        <w:t>Nevertheless, scenario planning has limitations. It is impossible to anticipate every potential disruption, and excessive planning may consume significant organisational resources without guaranteeing successful outcomes. Organisations must therefore avoid relying solely on predefined scenarios and instead develop adaptable decision-making processes capable of responding to unforeseen events. Resilience should be viewed as an organisational capability based on flexibility, learning and continuous improvement rather than a fixed set of procedures.</w:t>
      </w:r>
    </w:p>
    <w:p w14:paraId="4FB83E14" w14:textId="77777777" w:rsidR="00717C94" w:rsidRPr="00CA0641" w:rsidRDefault="00717C94" w:rsidP="00717C94">
      <w:pPr>
        <w:rPr>
          <w:rFonts w:ascii="Calibri" w:hAnsi="Calibri" w:cs="Calibri"/>
          <w:sz w:val="22"/>
          <w:szCs w:val="22"/>
        </w:rPr>
      </w:pPr>
      <w:r w:rsidRPr="00CA0641">
        <w:rPr>
          <w:rFonts w:ascii="Calibri" w:hAnsi="Calibri" w:cs="Calibri"/>
          <w:sz w:val="22"/>
          <w:szCs w:val="22"/>
        </w:rPr>
        <w:t>For Toyota, combining scenario planning with digital risk monitoring, regular supplier reviews and cross-functional crisis management teams would significantly strengthen supply chain resilience. This integrated approach would improve the organisation's ability to anticipate, respond to and recover from disruptions while supporting long-term operational performance in an increasingly uncertain global environment.</w:t>
      </w:r>
    </w:p>
    <w:p w14:paraId="294F224B" w14:textId="77777777" w:rsidR="00717C94" w:rsidRPr="00CA0641" w:rsidRDefault="00717C94" w:rsidP="00717C94">
      <w:pPr>
        <w:rPr>
          <w:rFonts w:ascii="Calibri" w:hAnsi="Calibri" w:cs="Calibri"/>
          <w:b/>
          <w:bCs/>
          <w:sz w:val="22"/>
          <w:szCs w:val="22"/>
        </w:rPr>
      </w:pPr>
      <w:r w:rsidRPr="00CA0641">
        <w:rPr>
          <w:rFonts w:ascii="Calibri" w:hAnsi="Calibri" w:cs="Calibri"/>
          <w:b/>
          <w:bCs/>
          <w:sz w:val="22"/>
          <w:szCs w:val="22"/>
        </w:rPr>
        <w:t>Overall Evaluation of the Six Strategies</w:t>
      </w:r>
    </w:p>
    <w:p w14:paraId="5BE35D9A" w14:textId="77777777" w:rsidR="00717C94" w:rsidRDefault="00717C94" w:rsidP="00717C94">
      <w:pPr>
        <w:rPr>
          <w:rFonts w:ascii="Calibri" w:hAnsi="Calibri" w:cs="Calibri"/>
          <w:sz w:val="22"/>
          <w:szCs w:val="22"/>
        </w:rPr>
      </w:pPr>
      <w:r w:rsidRPr="00CA0641">
        <w:rPr>
          <w:rFonts w:ascii="Calibri" w:hAnsi="Calibri" w:cs="Calibri"/>
          <w:sz w:val="22"/>
          <w:szCs w:val="22"/>
        </w:rPr>
        <w:t>The six recommendations should not be implemented independently. Supplier diversification, digital visibility, strategic inventory, regionalisation, supplier collaboration and proactive risk management reinforce one another and collectively address the highest-priority risks identified in the FMEA. Together, they demonstrate that resilience is achieved through a balanced combination of operational efficiency, technological capability and strategic flexibility rather than through any single initiative. This integrated perspective reflects current supply chain research, which increasingly argues that competitive advantage depends on an organisation's capacity to adapt to disruption while maintaining efficient operations (Christopher, 2023; Ivanov, 2024).</w:t>
      </w:r>
    </w:p>
    <w:p w14:paraId="23002050" w14:textId="76456A53" w:rsidR="00B44D7F" w:rsidRPr="00CA0641" w:rsidRDefault="00B44D7F" w:rsidP="00717C94">
      <w:pPr>
        <w:rPr>
          <w:rFonts w:ascii="Calibri" w:hAnsi="Calibri" w:cs="Calibri"/>
          <w:sz w:val="22"/>
          <w:szCs w:val="22"/>
        </w:rPr>
      </w:pPr>
      <w:r w:rsidRPr="00B44D7F">
        <w:rPr>
          <w:rFonts w:ascii="Calibri" w:hAnsi="Calibri" w:cs="Calibri"/>
          <w:sz w:val="22"/>
          <w:szCs w:val="22"/>
        </w:rPr>
        <w:t>Recent studies indicate that post-pandemic supply chain resilience increasingly depends upon proactive risk monitoring, organisational agility and digital decision support (</w:t>
      </w:r>
      <w:proofErr w:type="spellStart"/>
      <w:r w:rsidRPr="00B44D7F">
        <w:rPr>
          <w:rFonts w:ascii="Calibri" w:hAnsi="Calibri" w:cs="Calibri"/>
          <w:sz w:val="22"/>
          <w:szCs w:val="22"/>
        </w:rPr>
        <w:t>Dolgui</w:t>
      </w:r>
      <w:proofErr w:type="spellEnd"/>
      <w:r w:rsidRPr="00B44D7F">
        <w:rPr>
          <w:rFonts w:ascii="Calibri" w:hAnsi="Calibri" w:cs="Calibri"/>
          <w:sz w:val="22"/>
          <w:szCs w:val="22"/>
        </w:rPr>
        <w:t xml:space="preserve"> and Ivanov, 2023).</w:t>
      </w:r>
    </w:p>
    <w:p w14:paraId="17F21E34" w14:textId="77777777" w:rsidR="00CA0641" w:rsidRDefault="00CA0641" w:rsidP="00563DF9">
      <w:pPr>
        <w:rPr>
          <w:rFonts w:ascii="Calibri" w:hAnsi="Calibri" w:cs="Calibri"/>
          <w:sz w:val="22"/>
          <w:szCs w:val="22"/>
        </w:rPr>
      </w:pPr>
    </w:p>
    <w:p w14:paraId="4AE51EA9" w14:textId="77777777" w:rsidR="00AD0940" w:rsidRDefault="00AD0940" w:rsidP="00563DF9">
      <w:pPr>
        <w:rPr>
          <w:rFonts w:ascii="Calibri" w:hAnsi="Calibri" w:cs="Calibri"/>
          <w:b/>
          <w:bCs/>
          <w:sz w:val="36"/>
          <w:szCs w:val="36"/>
        </w:rPr>
      </w:pPr>
    </w:p>
    <w:p w14:paraId="7422161A" w14:textId="77777777" w:rsidR="007D16D2" w:rsidRDefault="007D16D2" w:rsidP="00563DF9">
      <w:pPr>
        <w:rPr>
          <w:rFonts w:ascii="Calibri" w:hAnsi="Calibri" w:cs="Calibri"/>
          <w:b/>
          <w:bCs/>
          <w:sz w:val="36"/>
          <w:szCs w:val="36"/>
        </w:rPr>
      </w:pPr>
    </w:p>
    <w:p w14:paraId="323A4C3B" w14:textId="77777777" w:rsidR="007D16D2" w:rsidRDefault="007D16D2" w:rsidP="00563DF9">
      <w:pPr>
        <w:rPr>
          <w:rFonts w:ascii="Calibri" w:hAnsi="Calibri" w:cs="Calibri"/>
          <w:b/>
          <w:bCs/>
          <w:sz w:val="36"/>
          <w:szCs w:val="36"/>
        </w:rPr>
      </w:pPr>
    </w:p>
    <w:p w14:paraId="4211B8F1" w14:textId="0775BD20" w:rsidR="00563DF9" w:rsidRPr="00AD0940" w:rsidRDefault="00563DF9" w:rsidP="001611AF">
      <w:pPr>
        <w:pStyle w:val="Heading1"/>
      </w:pPr>
      <w:bookmarkStart w:id="8" w:name="_Toc235917969"/>
      <w:r w:rsidRPr="00AD0940">
        <w:lastRenderedPageBreak/>
        <w:t>5. Conclusion and Further Research</w:t>
      </w:r>
      <w:bookmarkEnd w:id="8"/>
    </w:p>
    <w:p w14:paraId="3CF0D0BE" w14:textId="77777777" w:rsidR="00563DF9" w:rsidRPr="00CA0641" w:rsidRDefault="00563DF9" w:rsidP="00563DF9">
      <w:pPr>
        <w:rPr>
          <w:rFonts w:ascii="Calibri" w:hAnsi="Calibri" w:cs="Calibri"/>
          <w:sz w:val="22"/>
          <w:szCs w:val="22"/>
        </w:rPr>
      </w:pPr>
      <w:r w:rsidRPr="00CA0641">
        <w:rPr>
          <w:rFonts w:ascii="Calibri" w:hAnsi="Calibri" w:cs="Calibri"/>
          <w:sz w:val="22"/>
          <w:szCs w:val="22"/>
        </w:rPr>
        <w:t>This report critically analysed Toyota's international supply chain using Failure Mode and Effects Analysis (FMEA) to identify the principal risks affecting operational performance. The findings demonstrated that semiconductor shortages, supplier dependency and global logistics disruptions present the most significant threats to supply chain continuity, while cybersecurity, natural disasters and supplier quality failures also require continued management attention. These risks reflect the increasing complexity of global supply chains, where disruptions originating outside the organisation can rapidly affect manufacturing performance across multiple regions.</w:t>
      </w:r>
    </w:p>
    <w:p w14:paraId="79D80C5B" w14:textId="77777777" w:rsidR="007D16D2" w:rsidRDefault="00563DF9" w:rsidP="00563DF9">
      <w:pPr>
        <w:rPr>
          <w:rFonts w:ascii="Calibri" w:hAnsi="Calibri" w:cs="Calibri"/>
          <w:sz w:val="22"/>
          <w:szCs w:val="22"/>
        </w:rPr>
      </w:pPr>
      <w:r w:rsidRPr="00CA0641">
        <w:rPr>
          <w:rFonts w:ascii="Calibri" w:hAnsi="Calibri" w:cs="Calibri"/>
          <w:sz w:val="22"/>
          <w:szCs w:val="22"/>
        </w:rPr>
        <w:t>The analysis also highlighted that Toyota's operational success has largely been built upon the Toyota Production System, Lean manufacturing and Just-in-Time production. These practices have enabled the organisation to minimise waste, reduce costs and maintain high levels of product quality over several decades. However, recent global events have demonstrated that strategies designed primarily to maximise efficiency may reduce organisational flexibility when prolonged disruptions occur. Rather than suggesting that Toyota should abandon its established production philosophy, this report argues that Lean principles should be adapted to incorporate greater resilience within an increasingly uncertain operating environment.</w:t>
      </w:r>
    </w:p>
    <w:p w14:paraId="6C0620B7" w14:textId="4A820A75" w:rsidR="00563DF9" w:rsidRPr="00CA0641" w:rsidRDefault="00563DF9" w:rsidP="00563DF9">
      <w:pPr>
        <w:rPr>
          <w:rFonts w:ascii="Calibri" w:hAnsi="Calibri" w:cs="Calibri"/>
          <w:sz w:val="22"/>
          <w:szCs w:val="22"/>
        </w:rPr>
      </w:pPr>
      <w:r w:rsidRPr="00CA0641">
        <w:rPr>
          <w:rFonts w:ascii="Calibri" w:hAnsi="Calibri" w:cs="Calibri"/>
          <w:sz w:val="22"/>
          <w:szCs w:val="22"/>
        </w:rPr>
        <w:t>The six resilience strategies evaluated in this report provide complementary solutions to the risks identified through the FMEA. Supplier diversification reduces dependence on individual suppliers, while digital supply chain visibility improves operational awareness and supports faster decision-making. Strategic inventory provides protection against temporary shortages of critical components, whereas regionalisation reduces exposure to international transport disruptions. Supplier collaboration strengthens long-term operational relationships, and proactive risk management enables Toyota to prepare for future uncertainties through continuous monitoring and scenario planning. Although each strategy offers distinct advantages, none should be implemented in isolation. Their greatest value lies in their combined ability to improve flexibility, responsiveness and long-term resilience while preserving the operational efficiency that has traditionally distinguished Toyota from its competitors.</w:t>
      </w:r>
      <w:r w:rsidR="00BF6BCE" w:rsidRPr="00BF6BCE">
        <w:t xml:space="preserve"> </w:t>
      </w:r>
      <w:r w:rsidR="00BF6BCE" w:rsidRPr="00BF6BCE">
        <w:rPr>
          <w:rFonts w:ascii="Calibri" w:hAnsi="Calibri" w:cs="Calibri"/>
          <w:sz w:val="22"/>
          <w:szCs w:val="22"/>
        </w:rPr>
        <w:t>These findings are consistent with recent literature highlighting resilience as a long-term source of competitive advantage in global supply chains (World Economic Forum, 2025).</w:t>
      </w:r>
    </w:p>
    <w:p w14:paraId="422208C9" w14:textId="77777777" w:rsidR="00563DF9" w:rsidRPr="00CA0641" w:rsidRDefault="00563DF9" w:rsidP="00563DF9">
      <w:pPr>
        <w:rPr>
          <w:rFonts w:ascii="Calibri" w:hAnsi="Calibri" w:cs="Calibri"/>
          <w:sz w:val="22"/>
          <w:szCs w:val="22"/>
        </w:rPr>
      </w:pPr>
      <w:r w:rsidRPr="00CA0641">
        <w:rPr>
          <w:rFonts w:ascii="Calibri" w:hAnsi="Calibri" w:cs="Calibri"/>
          <w:sz w:val="22"/>
          <w:szCs w:val="22"/>
        </w:rPr>
        <w:t>Future research could extend this analysis by applying alternative risk assessment methodologies, including Bayesian networks, simulation modelling or digital twin technology, to compare their effectiveness with FMEA in evaluating complex global supply chains. Additional research could also investigate how artificial intelligence and predictive analytics influence supply chain resilience within the automotive industry as digital technologies continue to evolve. Finally, comparative studies involving other international vehicle manufacturers, such as Volkswagen, Tesla or Hyundai, would provide further insight into how different supply chain strategies influence organisational resilience under varying market conditions.</w:t>
      </w:r>
    </w:p>
    <w:p w14:paraId="2EB7EE0C" w14:textId="77777777" w:rsidR="00563DF9" w:rsidRPr="00CA0641" w:rsidRDefault="00563DF9" w:rsidP="00563DF9">
      <w:pPr>
        <w:rPr>
          <w:rFonts w:ascii="Calibri" w:hAnsi="Calibri" w:cs="Calibri"/>
          <w:sz w:val="22"/>
          <w:szCs w:val="22"/>
        </w:rPr>
      </w:pPr>
      <w:r w:rsidRPr="00CA0641">
        <w:rPr>
          <w:rFonts w:ascii="Calibri" w:hAnsi="Calibri" w:cs="Calibri"/>
          <w:sz w:val="22"/>
          <w:szCs w:val="22"/>
        </w:rPr>
        <w:t xml:space="preserve">Overall, the evidence presented in this report suggests that the future competitiveness of global manufacturers will depend not solely on operational efficiency but on their capacity to anticipate, absorb and recover from disruption. For Toyota, maintaining this balance between efficiency and </w:t>
      </w:r>
      <w:r w:rsidRPr="00CA0641">
        <w:rPr>
          <w:rFonts w:ascii="Calibri" w:hAnsi="Calibri" w:cs="Calibri"/>
          <w:sz w:val="22"/>
          <w:szCs w:val="22"/>
        </w:rPr>
        <w:lastRenderedPageBreak/>
        <w:t>resilience will be fundamental to sustaining long-term competitive advantage in an increasingly complex and uncertain global business environment.</w:t>
      </w:r>
    </w:p>
    <w:p w14:paraId="49056BB9" w14:textId="77777777" w:rsidR="00004813" w:rsidRDefault="00004813" w:rsidP="00004813">
      <w:pPr>
        <w:rPr>
          <w:rFonts w:ascii="Calibri" w:hAnsi="Calibri" w:cs="Calibri"/>
          <w:sz w:val="22"/>
          <w:szCs w:val="22"/>
        </w:rPr>
      </w:pPr>
    </w:p>
    <w:p w14:paraId="36DB7C38" w14:textId="77777777" w:rsidR="007D16D2" w:rsidRDefault="007D16D2" w:rsidP="00EE6B35">
      <w:pPr>
        <w:pStyle w:val="Heading1"/>
      </w:pPr>
    </w:p>
    <w:p w14:paraId="529B2071" w14:textId="77777777" w:rsidR="007D16D2" w:rsidRDefault="007D16D2" w:rsidP="007D16D2"/>
    <w:p w14:paraId="7FF76266" w14:textId="77777777" w:rsidR="007D16D2" w:rsidRDefault="007D16D2" w:rsidP="00EE6B35">
      <w:pPr>
        <w:pStyle w:val="Heading1"/>
      </w:pPr>
    </w:p>
    <w:p w14:paraId="5E765301" w14:textId="77777777" w:rsidR="007D16D2" w:rsidRDefault="007D16D2" w:rsidP="00EE6B35">
      <w:pPr>
        <w:pStyle w:val="Heading1"/>
      </w:pPr>
    </w:p>
    <w:p w14:paraId="4FCAE9C3" w14:textId="77777777" w:rsidR="007D16D2" w:rsidRDefault="007D16D2" w:rsidP="00EE6B35">
      <w:pPr>
        <w:pStyle w:val="Heading1"/>
      </w:pPr>
    </w:p>
    <w:p w14:paraId="02632C0B" w14:textId="77777777" w:rsidR="007D16D2" w:rsidRDefault="007D16D2" w:rsidP="00EE6B35">
      <w:pPr>
        <w:pStyle w:val="Heading1"/>
      </w:pPr>
    </w:p>
    <w:p w14:paraId="7C634EF0" w14:textId="77777777" w:rsidR="007D16D2" w:rsidRDefault="007D16D2" w:rsidP="00EE6B35">
      <w:pPr>
        <w:pStyle w:val="Heading1"/>
      </w:pPr>
    </w:p>
    <w:p w14:paraId="6C51B02E" w14:textId="77777777" w:rsidR="007D16D2" w:rsidRDefault="007D16D2" w:rsidP="00EE6B35">
      <w:pPr>
        <w:pStyle w:val="Heading1"/>
      </w:pPr>
    </w:p>
    <w:p w14:paraId="2C995002" w14:textId="77777777" w:rsidR="007D16D2" w:rsidRDefault="007D16D2" w:rsidP="00EE6B35">
      <w:pPr>
        <w:pStyle w:val="Heading1"/>
      </w:pPr>
    </w:p>
    <w:p w14:paraId="45791BCE" w14:textId="77777777" w:rsidR="007D16D2" w:rsidRDefault="007D16D2" w:rsidP="00EE6B35">
      <w:pPr>
        <w:pStyle w:val="Heading1"/>
      </w:pPr>
    </w:p>
    <w:p w14:paraId="142F4910" w14:textId="77777777" w:rsidR="007D16D2" w:rsidRDefault="007D16D2" w:rsidP="00EE6B35">
      <w:pPr>
        <w:pStyle w:val="Heading1"/>
      </w:pPr>
    </w:p>
    <w:p w14:paraId="6674ACDF" w14:textId="77777777" w:rsidR="007D16D2" w:rsidRDefault="007D16D2" w:rsidP="00EE6B35">
      <w:pPr>
        <w:pStyle w:val="Heading1"/>
      </w:pPr>
    </w:p>
    <w:p w14:paraId="4515158D" w14:textId="77777777" w:rsidR="007D16D2" w:rsidRDefault="007D16D2" w:rsidP="00EE6B35">
      <w:pPr>
        <w:pStyle w:val="Heading1"/>
      </w:pPr>
    </w:p>
    <w:p w14:paraId="2DF290C9" w14:textId="77777777" w:rsidR="007D16D2" w:rsidRPr="007D16D2" w:rsidRDefault="007D16D2" w:rsidP="007D16D2"/>
    <w:p w14:paraId="73DA6C35" w14:textId="2518D7A2" w:rsidR="00563DF9" w:rsidRPr="00AD0940" w:rsidRDefault="00563DF9" w:rsidP="00EE6B35">
      <w:pPr>
        <w:pStyle w:val="Heading1"/>
      </w:pPr>
      <w:bookmarkStart w:id="9" w:name="_Toc235917970"/>
      <w:r w:rsidRPr="00AD0940">
        <w:lastRenderedPageBreak/>
        <w:t>References</w:t>
      </w:r>
      <w:bookmarkEnd w:id="9"/>
      <w:r w:rsidRPr="00AD0940">
        <w:t xml:space="preserve"> </w:t>
      </w:r>
    </w:p>
    <w:p w14:paraId="3148EFF1" w14:textId="77777777" w:rsidR="00E0608B" w:rsidRDefault="00E0608B" w:rsidP="00E0608B">
      <w:pPr>
        <w:rPr>
          <w:rFonts w:ascii="Calibri" w:hAnsi="Calibri" w:cs="Calibri"/>
        </w:rPr>
      </w:pPr>
    </w:p>
    <w:p w14:paraId="6E518DB5" w14:textId="3569A76E" w:rsidR="00E0608B" w:rsidRPr="00E0608B" w:rsidRDefault="00E0608B" w:rsidP="00E0608B">
      <w:pPr>
        <w:rPr>
          <w:rFonts w:ascii="Calibri" w:hAnsi="Calibri" w:cs="Calibri"/>
        </w:rPr>
      </w:pPr>
      <w:r w:rsidRPr="00E0608B">
        <w:rPr>
          <w:rFonts w:ascii="Calibri" w:hAnsi="Calibri" w:cs="Calibri"/>
        </w:rPr>
        <w:t xml:space="preserve">Alicke, K., </w:t>
      </w:r>
      <w:proofErr w:type="spellStart"/>
      <w:r w:rsidRPr="00E0608B">
        <w:rPr>
          <w:rFonts w:ascii="Calibri" w:hAnsi="Calibri" w:cs="Calibri"/>
        </w:rPr>
        <w:t>Barriball</w:t>
      </w:r>
      <w:proofErr w:type="spellEnd"/>
      <w:r w:rsidRPr="00E0608B">
        <w:rPr>
          <w:rFonts w:ascii="Calibri" w:hAnsi="Calibri" w:cs="Calibri"/>
        </w:rPr>
        <w:t xml:space="preserve">, E. and Trautwein, V. (2021) ‘How COVID-19 is reshaping supply chains’, </w:t>
      </w:r>
      <w:r w:rsidRPr="00E0608B">
        <w:rPr>
          <w:rFonts w:ascii="Calibri" w:hAnsi="Calibri" w:cs="Calibri"/>
          <w:i/>
          <w:iCs/>
        </w:rPr>
        <w:t>McKinsey Quarterly</w:t>
      </w:r>
      <w:r w:rsidRPr="00E0608B">
        <w:rPr>
          <w:rFonts w:ascii="Calibri" w:hAnsi="Calibri" w:cs="Calibri"/>
        </w:rPr>
        <w:t>.</w:t>
      </w:r>
    </w:p>
    <w:p w14:paraId="49B64AB8" w14:textId="77777777" w:rsidR="00E0608B" w:rsidRPr="00E0608B" w:rsidRDefault="00E0608B" w:rsidP="00E0608B">
      <w:pPr>
        <w:rPr>
          <w:rFonts w:ascii="Calibri" w:hAnsi="Calibri" w:cs="Calibri"/>
        </w:rPr>
      </w:pPr>
      <w:proofErr w:type="spellStart"/>
      <w:r w:rsidRPr="00E0608B">
        <w:rPr>
          <w:rFonts w:ascii="Calibri" w:hAnsi="Calibri" w:cs="Calibri"/>
        </w:rPr>
        <w:t>Baryannis</w:t>
      </w:r>
      <w:proofErr w:type="spellEnd"/>
      <w:r w:rsidRPr="00E0608B">
        <w:rPr>
          <w:rFonts w:ascii="Calibri" w:hAnsi="Calibri" w:cs="Calibri"/>
        </w:rPr>
        <w:t xml:space="preserve">, G., Dani, S. and Antoniou, G. (2019) ‘Predictive analytics and artificial intelligence in supply chain management’, </w:t>
      </w:r>
      <w:r w:rsidRPr="00E0608B">
        <w:rPr>
          <w:rFonts w:ascii="Calibri" w:hAnsi="Calibri" w:cs="Calibri"/>
          <w:i/>
          <w:iCs/>
        </w:rPr>
        <w:t>Computers &amp; Industrial Engineering</w:t>
      </w:r>
      <w:r w:rsidRPr="00E0608B">
        <w:rPr>
          <w:rFonts w:ascii="Calibri" w:hAnsi="Calibri" w:cs="Calibri"/>
        </w:rPr>
        <w:t xml:space="preserve">, </w:t>
      </w:r>
      <w:r w:rsidRPr="00E0608B">
        <w:rPr>
          <w:rFonts w:ascii="Calibri" w:hAnsi="Calibri" w:cs="Calibri"/>
          <w:b/>
          <w:bCs/>
        </w:rPr>
        <w:t>137</w:t>
      </w:r>
      <w:r w:rsidRPr="00E0608B">
        <w:rPr>
          <w:rFonts w:ascii="Calibri" w:hAnsi="Calibri" w:cs="Calibri"/>
        </w:rPr>
        <w:t>, 106024.</w:t>
      </w:r>
    </w:p>
    <w:p w14:paraId="715D5952" w14:textId="77777777" w:rsidR="00E0608B" w:rsidRPr="00E0608B" w:rsidRDefault="00E0608B" w:rsidP="00E0608B">
      <w:pPr>
        <w:rPr>
          <w:rFonts w:ascii="Calibri" w:hAnsi="Calibri" w:cs="Calibri"/>
        </w:rPr>
      </w:pPr>
      <w:r w:rsidRPr="00E0608B">
        <w:rPr>
          <w:rFonts w:ascii="Calibri" w:hAnsi="Calibri" w:cs="Calibri"/>
        </w:rPr>
        <w:t xml:space="preserve">Christopher, M. (2023) </w:t>
      </w:r>
      <w:r w:rsidRPr="00E0608B">
        <w:rPr>
          <w:rFonts w:ascii="Calibri" w:hAnsi="Calibri" w:cs="Calibri"/>
          <w:i/>
          <w:iCs/>
        </w:rPr>
        <w:t>Logistics and Supply Chain Management</w:t>
      </w:r>
      <w:r w:rsidRPr="00E0608B">
        <w:rPr>
          <w:rFonts w:ascii="Calibri" w:hAnsi="Calibri" w:cs="Calibri"/>
        </w:rPr>
        <w:t xml:space="preserve">. 7th </w:t>
      </w:r>
      <w:proofErr w:type="spellStart"/>
      <w:r w:rsidRPr="00E0608B">
        <w:rPr>
          <w:rFonts w:ascii="Calibri" w:hAnsi="Calibri" w:cs="Calibri"/>
        </w:rPr>
        <w:t>edn</w:t>
      </w:r>
      <w:proofErr w:type="spellEnd"/>
      <w:r w:rsidRPr="00E0608B">
        <w:rPr>
          <w:rFonts w:ascii="Calibri" w:hAnsi="Calibri" w:cs="Calibri"/>
        </w:rPr>
        <w:t>. Harlow: Pearson.</w:t>
      </w:r>
    </w:p>
    <w:p w14:paraId="25388EE2" w14:textId="77777777" w:rsidR="00E0608B" w:rsidRPr="00E0608B" w:rsidRDefault="00E0608B" w:rsidP="00E0608B">
      <w:pPr>
        <w:rPr>
          <w:rFonts w:ascii="Calibri" w:hAnsi="Calibri" w:cs="Calibri"/>
        </w:rPr>
      </w:pPr>
      <w:r w:rsidRPr="00E0608B">
        <w:rPr>
          <w:rFonts w:ascii="Calibri" w:hAnsi="Calibri" w:cs="Calibri"/>
        </w:rPr>
        <w:t xml:space="preserve">Christopher, M. and Peck, H. (2004) ‘Building the resilient supply chain’, </w:t>
      </w:r>
      <w:r w:rsidRPr="00E0608B">
        <w:rPr>
          <w:rFonts w:ascii="Calibri" w:hAnsi="Calibri" w:cs="Calibri"/>
          <w:i/>
          <w:iCs/>
        </w:rPr>
        <w:t>The International Journal of Logistics Management</w:t>
      </w:r>
      <w:r w:rsidRPr="00E0608B">
        <w:rPr>
          <w:rFonts w:ascii="Calibri" w:hAnsi="Calibri" w:cs="Calibri"/>
        </w:rPr>
        <w:t xml:space="preserve">, </w:t>
      </w:r>
      <w:r w:rsidRPr="00E0608B">
        <w:rPr>
          <w:rFonts w:ascii="Calibri" w:hAnsi="Calibri" w:cs="Calibri"/>
          <w:b/>
          <w:bCs/>
        </w:rPr>
        <w:t>15</w:t>
      </w:r>
      <w:r w:rsidRPr="00E0608B">
        <w:rPr>
          <w:rFonts w:ascii="Calibri" w:hAnsi="Calibri" w:cs="Calibri"/>
        </w:rPr>
        <w:t>(2), pp. 1–14.</w:t>
      </w:r>
    </w:p>
    <w:p w14:paraId="05CE43C1" w14:textId="77777777" w:rsidR="00E0608B" w:rsidRPr="00E0608B" w:rsidRDefault="00E0608B" w:rsidP="00E0608B">
      <w:pPr>
        <w:rPr>
          <w:rFonts w:ascii="Calibri" w:hAnsi="Calibri" w:cs="Calibri"/>
        </w:rPr>
      </w:pPr>
      <w:proofErr w:type="spellStart"/>
      <w:r w:rsidRPr="00E0608B">
        <w:rPr>
          <w:rFonts w:ascii="Calibri" w:hAnsi="Calibri" w:cs="Calibri"/>
        </w:rPr>
        <w:t>Dolgui</w:t>
      </w:r>
      <w:proofErr w:type="spellEnd"/>
      <w:r w:rsidRPr="00E0608B">
        <w:rPr>
          <w:rFonts w:ascii="Calibri" w:hAnsi="Calibri" w:cs="Calibri"/>
        </w:rPr>
        <w:t xml:space="preserve">, A., Ivanov, D. and Rozhkov, M. (2020) ‘Does the ripple effect influence the bullwhip effect?’, </w:t>
      </w:r>
      <w:r w:rsidRPr="00E0608B">
        <w:rPr>
          <w:rFonts w:ascii="Calibri" w:hAnsi="Calibri" w:cs="Calibri"/>
          <w:i/>
          <w:iCs/>
        </w:rPr>
        <w:t>International Journal of Production Research</w:t>
      </w:r>
      <w:r w:rsidRPr="00E0608B">
        <w:rPr>
          <w:rFonts w:ascii="Calibri" w:hAnsi="Calibri" w:cs="Calibri"/>
        </w:rPr>
        <w:t xml:space="preserve">, </w:t>
      </w:r>
      <w:r w:rsidRPr="00E0608B">
        <w:rPr>
          <w:rFonts w:ascii="Calibri" w:hAnsi="Calibri" w:cs="Calibri"/>
          <w:b/>
          <w:bCs/>
        </w:rPr>
        <w:t>58</w:t>
      </w:r>
      <w:r w:rsidRPr="00E0608B">
        <w:rPr>
          <w:rFonts w:ascii="Calibri" w:hAnsi="Calibri" w:cs="Calibri"/>
        </w:rPr>
        <w:t>(5), pp. 1285–1301.</w:t>
      </w:r>
    </w:p>
    <w:p w14:paraId="5509F9CF" w14:textId="77777777" w:rsidR="00E0608B" w:rsidRPr="00E0608B" w:rsidRDefault="00E0608B" w:rsidP="00E0608B">
      <w:pPr>
        <w:rPr>
          <w:rFonts w:ascii="Calibri" w:hAnsi="Calibri" w:cs="Calibri"/>
        </w:rPr>
      </w:pPr>
      <w:proofErr w:type="spellStart"/>
      <w:r w:rsidRPr="00E0608B">
        <w:rPr>
          <w:rFonts w:ascii="Calibri" w:hAnsi="Calibri" w:cs="Calibri"/>
        </w:rPr>
        <w:t>Ellram</w:t>
      </w:r>
      <w:proofErr w:type="spellEnd"/>
      <w:r w:rsidRPr="00E0608B">
        <w:rPr>
          <w:rFonts w:ascii="Calibri" w:hAnsi="Calibri" w:cs="Calibri"/>
        </w:rPr>
        <w:t xml:space="preserve">, L.M., Tate, W.L. and Choi, T.Y. (2020) ‘Understanding supply chain resilience’, </w:t>
      </w:r>
      <w:r w:rsidRPr="00E0608B">
        <w:rPr>
          <w:rFonts w:ascii="Calibri" w:hAnsi="Calibri" w:cs="Calibri"/>
          <w:i/>
          <w:iCs/>
        </w:rPr>
        <w:t>Journal of Supply Chain Management</w:t>
      </w:r>
      <w:r w:rsidRPr="00E0608B">
        <w:rPr>
          <w:rFonts w:ascii="Calibri" w:hAnsi="Calibri" w:cs="Calibri"/>
        </w:rPr>
        <w:t xml:space="preserve">, </w:t>
      </w:r>
      <w:r w:rsidRPr="00E0608B">
        <w:rPr>
          <w:rFonts w:ascii="Calibri" w:hAnsi="Calibri" w:cs="Calibri"/>
          <w:b/>
          <w:bCs/>
        </w:rPr>
        <w:t>56</w:t>
      </w:r>
      <w:r w:rsidRPr="00E0608B">
        <w:rPr>
          <w:rFonts w:ascii="Calibri" w:hAnsi="Calibri" w:cs="Calibri"/>
        </w:rPr>
        <w:t>(2), pp. 3–10.</w:t>
      </w:r>
    </w:p>
    <w:p w14:paraId="7AC16AF7" w14:textId="77777777" w:rsidR="00E0608B" w:rsidRPr="00E0608B" w:rsidRDefault="00E0608B" w:rsidP="00E0608B">
      <w:pPr>
        <w:rPr>
          <w:rFonts w:ascii="Calibri" w:hAnsi="Calibri" w:cs="Calibri"/>
        </w:rPr>
      </w:pPr>
      <w:r w:rsidRPr="00E0608B">
        <w:rPr>
          <w:rFonts w:ascii="Calibri" w:hAnsi="Calibri" w:cs="Calibri"/>
        </w:rPr>
        <w:t xml:space="preserve">Heizer, J., Render, B. and Munson, C. (2023) </w:t>
      </w:r>
      <w:r w:rsidRPr="00E0608B">
        <w:rPr>
          <w:rFonts w:ascii="Calibri" w:hAnsi="Calibri" w:cs="Calibri"/>
          <w:i/>
          <w:iCs/>
        </w:rPr>
        <w:t>Operations Management: Sustainability and Supply Chain Management</w:t>
      </w:r>
      <w:r w:rsidRPr="00E0608B">
        <w:rPr>
          <w:rFonts w:ascii="Calibri" w:hAnsi="Calibri" w:cs="Calibri"/>
        </w:rPr>
        <w:t xml:space="preserve">. 15th </w:t>
      </w:r>
      <w:proofErr w:type="spellStart"/>
      <w:r w:rsidRPr="00E0608B">
        <w:rPr>
          <w:rFonts w:ascii="Calibri" w:hAnsi="Calibri" w:cs="Calibri"/>
        </w:rPr>
        <w:t>edn</w:t>
      </w:r>
      <w:proofErr w:type="spellEnd"/>
      <w:r w:rsidRPr="00E0608B">
        <w:rPr>
          <w:rFonts w:ascii="Calibri" w:hAnsi="Calibri" w:cs="Calibri"/>
        </w:rPr>
        <w:t>. Harlow: Pearson.</w:t>
      </w:r>
    </w:p>
    <w:p w14:paraId="69316DBB" w14:textId="77777777" w:rsidR="00E0608B" w:rsidRPr="00E0608B" w:rsidRDefault="00E0608B" w:rsidP="00E0608B">
      <w:pPr>
        <w:rPr>
          <w:rFonts w:ascii="Calibri" w:hAnsi="Calibri" w:cs="Calibri"/>
        </w:rPr>
      </w:pPr>
      <w:r w:rsidRPr="00E0608B">
        <w:rPr>
          <w:rFonts w:ascii="Calibri" w:hAnsi="Calibri" w:cs="Calibri"/>
        </w:rPr>
        <w:t xml:space="preserve">Ivanov, D. (2021) ‘Supply chain viability and the COVID-19 pandemic: A conceptual and formal generalisation of four major adaptation strategies’, </w:t>
      </w:r>
      <w:r w:rsidRPr="00E0608B">
        <w:rPr>
          <w:rFonts w:ascii="Calibri" w:hAnsi="Calibri" w:cs="Calibri"/>
          <w:i/>
          <w:iCs/>
        </w:rPr>
        <w:t>International Journal of Production Research</w:t>
      </w:r>
      <w:r w:rsidRPr="00E0608B">
        <w:rPr>
          <w:rFonts w:ascii="Calibri" w:hAnsi="Calibri" w:cs="Calibri"/>
        </w:rPr>
        <w:t xml:space="preserve">, </w:t>
      </w:r>
      <w:r w:rsidRPr="00E0608B">
        <w:rPr>
          <w:rFonts w:ascii="Calibri" w:hAnsi="Calibri" w:cs="Calibri"/>
          <w:b/>
          <w:bCs/>
        </w:rPr>
        <w:t>59</w:t>
      </w:r>
      <w:r w:rsidRPr="00E0608B">
        <w:rPr>
          <w:rFonts w:ascii="Calibri" w:hAnsi="Calibri" w:cs="Calibri"/>
        </w:rPr>
        <w:t>(12), pp. 3535–3552.</w:t>
      </w:r>
    </w:p>
    <w:p w14:paraId="284B7D45" w14:textId="77777777" w:rsidR="00E0608B" w:rsidRPr="00E0608B" w:rsidRDefault="00E0608B" w:rsidP="00E0608B">
      <w:pPr>
        <w:rPr>
          <w:rFonts w:ascii="Calibri" w:hAnsi="Calibri" w:cs="Calibri"/>
        </w:rPr>
      </w:pPr>
      <w:r w:rsidRPr="00E0608B">
        <w:rPr>
          <w:rFonts w:ascii="Calibri" w:hAnsi="Calibri" w:cs="Calibri"/>
        </w:rPr>
        <w:t xml:space="preserve">Ivanov, D. (2024) </w:t>
      </w:r>
      <w:r w:rsidRPr="00E0608B">
        <w:rPr>
          <w:rFonts w:ascii="Calibri" w:hAnsi="Calibri" w:cs="Calibri"/>
          <w:i/>
          <w:iCs/>
        </w:rPr>
        <w:t>Introduction to Supply Chain Resilience: Management, Modelling and Technology</w:t>
      </w:r>
      <w:r w:rsidRPr="00E0608B">
        <w:rPr>
          <w:rFonts w:ascii="Calibri" w:hAnsi="Calibri" w:cs="Calibri"/>
        </w:rPr>
        <w:t>. Cham: Springer.</w:t>
      </w:r>
    </w:p>
    <w:p w14:paraId="73118DD7" w14:textId="77777777" w:rsidR="00E0608B" w:rsidRPr="00E0608B" w:rsidRDefault="00E0608B" w:rsidP="00E0608B">
      <w:pPr>
        <w:rPr>
          <w:rFonts w:ascii="Calibri" w:hAnsi="Calibri" w:cs="Calibri"/>
        </w:rPr>
      </w:pPr>
      <w:r w:rsidRPr="00E0608B">
        <w:rPr>
          <w:rFonts w:ascii="Calibri" w:hAnsi="Calibri" w:cs="Calibri"/>
        </w:rPr>
        <w:t xml:space="preserve">Ivanov, D. and Das, A. (2020) ‘Coronavirus (COVID-19/SARS-CoV-2) and supply chain resilience’, </w:t>
      </w:r>
      <w:r w:rsidRPr="00E0608B">
        <w:rPr>
          <w:rFonts w:ascii="Calibri" w:hAnsi="Calibri" w:cs="Calibri"/>
          <w:i/>
          <w:iCs/>
        </w:rPr>
        <w:t>International Journal of Integrated Supply Management</w:t>
      </w:r>
      <w:r w:rsidRPr="00E0608B">
        <w:rPr>
          <w:rFonts w:ascii="Calibri" w:hAnsi="Calibri" w:cs="Calibri"/>
        </w:rPr>
        <w:t xml:space="preserve">, </w:t>
      </w:r>
      <w:r w:rsidRPr="00E0608B">
        <w:rPr>
          <w:rFonts w:ascii="Calibri" w:hAnsi="Calibri" w:cs="Calibri"/>
          <w:b/>
          <w:bCs/>
        </w:rPr>
        <w:t>13</w:t>
      </w:r>
      <w:r w:rsidRPr="00E0608B">
        <w:rPr>
          <w:rFonts w:ascii="Calibri" w:hAnsi="Calibri" w:cs="Calibri"/>
        </w:rPr>
        <w:t>(1), pp. 90–102.</w:t>
      </w:r>
    </w:p>
    <w:p w14:paraId="037B5FC7" w14:textId="77777777" w:rsidR="00E0608B" w:rsidRPr="00E0608B" w:rsidRDefault="00E0608B" w:rsidP="00E0608B">
      <w:pPr>
        <w:rPr>
          <w:rFonts w:ascii="Calibri" w:hAnsi="Calibri" w:cs="Calibri"/>
        </w:rPr>
      </w:pPr>
      <w:r w:rsidRPr="00E0608B">
        <w:rPr>
          <w:rFonts w:ascii="Calibri" w:hAnsi="Calibri" w:cs="Calibri"/>
        </w:rPr>
        <w:t xml:space="preserve">Ivanov, D. and </w:t>
      </w:r>
      <w:proofErr w:type="spellStart"/>
      <w:r w:rsidRPr="00E0608B">
        <w:rPr>
          <w:rFonts w:ascii="Calibri" w:hAnsi="Calibri" w:cs="Calibri"/>
        </w:rPr>
        <w:t>Dolgui</w:t>
      </w:r>
      <w:proofErr w:type="spellEnd"/>
      <w:r w:rsidRPr="00E0608B">
        <w:rPr>
          <w:rFonts w:ascii="Calibri" w:hAnsi="Calibri" w:cs="Calibri"/>
        </w:rPr>
        <w:t xml:space="preserve">, A. (2021) ‘OR-methods for coping with the ripple effect in supply chains during COVID-19 pandemic’, </w:t>
      </w:r>
      <w:r w:rsidRPr="00E0608B">
        <w:rPr>
          <w:rFonts w:ascii="Calibri" w:hAnsi="Calibri" w:cs="Calibri"/>
          <w:i/>
          <w:iCs/>
        </w:rPr>
        <w:t>International Journal of Production Economics</w:t>
      </w:r>
      <w:r w:rsidRPr="00E0608B">
        <w:rPr>
          <w:rFonts w:ascii="Calibri" w:hAnsi="Calibri" w:cs="Calibri"/>
        </w:rPr>
        <w:t xml:space="preserve">, </w:t>
      </w:r>
      <w:r w:rsidRPr="00E0608B">
        <w:rPr>
          <w:rFonts w:ascii="Calibri" w:hAnsi="Calibri" w:cs="Calibri"/>
          <w:b/>
          <w:bCs/>
        </w:rPr>
        <w:t>232</w:t>
      </w:r>
      <w:r w:rsidRPr="00E0608B">
        <w:rPr>
          <w:rFonts w:ascii="Calibri" w:hAnsi="Calibri" w:cs="Calibri"/>
        </w:rPr>
        <w:t>, 107921.</w:t>
      </w:r>
    </w:p>
    <w:p w14:paraId="2F1613B6" w14:textId="77777777" w:rsidR="00E0608B" w:rsidRPr="00E0608B" w:rsidRDefault="00E0608B" w:rsidP="00E0608B">
      <w:pPr>
        <w:rPr>
          <w:rFonts w:ascii="Calibri" w:hAnsi="Calibri" w:cs="Calibri"/>
        </w:rPr>
      </w:pPr>
      <w:r w:rsidRPr="00E0608B">
        <w:rPr>
          <w:rFonts w:ascii="Calibri" w:hAnsi="Calibri" w:cs="Calibri"/>
        </w:rPr>
        <w:t xml:space="preserve">Kamble, S.S., Gunasekaran, A. and </w:t>
      </w:r>
      <w:proofErr w:type="spellStart"/>
      <w:r w:rsidRPr="00E0608B">
        <w:rPr>
          <w:rFonts w:ascii="Calibri" w:hAnsi="Calibri" w:cs="Calibri"/>
        </w:rPr>
        <w:t>Gawankar</w:t>
      </w:r>
      <w:proofErr w:type="spellEnd"/>
      <w:r w:rsidRPr="00E0608B">
        <w:rPr>
          <w:rFonts w:ascii="Calibri" w:hAnsi="Calibri" w:cs="Calibri"/>
        </w:rPr>
        <w:t xml:space="preserve">, S.A. (2020) ‘Achieving sustainable performance in a data-driven agriculture supply chain’, </w:t>
      </w:r>
      <w:r w:rsidRPr="00E0608B">
        <w:rPr>
          <w:rFonts w:ascii="Calibri" w:hAnsi="Calibri" w:cs="Calibri"/>
          <w:i/>
          <w:iCs/>
        </w:rPr>
        <w:t>Technological Forecasting and Social Change</w:t>
      </w:r>
      <w:r w:rsidRPr="00E0608B">
        <w:rPr>
          <w:rFonts w:ascii="Calibri" w:hAnsi="Calibri" w:cs="Calibri"/>
        </w:rPr>
        <w:t xml:space="preserve">, </w:t>
      </w:r>
      <w:r w:rsidRPr="00E0608B">
        <w:rPr>
          <w:rFonts w:ascii="Calibri" w:hAnsi="Calibri" w:cs="Calibri"/>
          <w:b/>
          <w:bCs/>
        </w:rPr>
        <w:t>160</w:t>
      </w:r>
      <w:r w:rsidRPr="00E0608B">
        <w:rPr>
          <w:rFonts w:ascii="Calibri" w:hAnsi="Calibri" w:cs="Calibri"/>
        </w:rPr>
        <w:t>, 120145.</w:t>
      </w:r>
    </w:p>
    <w:p w14:paraId="7CFEEC5A" w14:textId="77777777" w:rsidR="00E0608B" w:rsidRPr="00E0608B" w:rsidRDefault="00E0608B" w:rsidP="00E0608B">
      <w:pPr>
        <w:rPr>
          <w:rFonts w:ascii="Calibri" w:hAnsi="Calibri" w:cs="Calibri"/>
        </w:rPr>
      </w:pPr>
      <w:r w:rsidRPr="00E0608B">
        <w:rPr>
          <w:rFonts w:ascii="Calibri" w:hAnsi="Calibri" w:cs="Calibri"/>
        </w:rPr>
        <w:t xml:space="preserve">Liker, J.K. (2021) </w:t>
      </w:r>
      <w:r w:rsidRPr="00E0608B">
        <w:rPr>
          <w:rFonts w:ascii="Calibri" w:hAnsi="Calibri" w:cs="Calibri"/>
          <w:i/>
          <w:iCs/>
        </w:rPr>
        <w:t>The Toyota Way: 14 Management Principles from the World's Greatest Manufacturer</w:t>
      </w:r>
      <w:r w:rsidRPr="00E0608B">
        <w:rPr>
          <w:rFonts w:ascii="Calibri" w:hAnsi="Calibri" w:cs="Calibri"/>
        </w:rPr>
        <w:t xml:space="preserve">. Updated </w:t>
      </w:r>
      <w:proofErr w:type="spellStart"/>
      <w:r w:rsidRPr="00E0608B">
        <w:rPr>
          <w:rFonts w:ascii="Calibri" w:hAnsi="Calibri" w:cs="Calibri"/>
        </w:rPr>
        <w:t>edn</w:t>
      </w:r>
      <w:proofErr w:type="spellEnd"/>
      <w:r w:rsidRPr="00E0608B">
        <w:rPr>
          <w:rFonts w:ascii="Calibri" w:hAnsi="Calibri" w:cs="Calibri"/>
        </w:rPr>
        <w:t>. New York: McGraw-Hill.</w:t>
      </w:r>
    </w:p>
    <w:p w14:paraId="5ABE4496" w14:textId="77777777" w:rsidR="00E0608B" w:rsidRPr="00E0608B" w:rsidRDefault="00E0608B" w:rsidP="00E0608B">
      <w:pPr>
        <w:rPr>
          <w:rFonts w:ascii="Calibri" w:hAnsi="Calibri" w:cs="Calibri"/>
        </w:rPr>
      </w:pPr>
      <w:r w:rsidRPr="00E0608B">
        <w:rPr>
          <w:rFonts w:ascii="Calibri" w:hAnsi="Calibri" w:cs="Calibri"/>
        </w:rPr>
        <w:t xml:space="preserve">Pettit, T.J., Croxton, K.L. and </w:t>
      </w:r>
      <w:proofErr w:type="spellStart"/>
      <w:r w:rsidRPr="00E0608B">
        <w:rPr>
          <w:rFonts w:ascii="Calibri" w:hAnsi="Calibri" w:cs="Calibri"/>
        </w:rPr>
        <w:t>Fiksel</w:t>
      </w:r>
      <w:proofErr w:type="spellEnd"/>
      <w:r w:rsidRPr="00E0608B">
        <w:rPr>
          <w:rFonts w:ascii="Calibri" w:hAnsi="Calibri" w:cs="Calibri"/>
        </w:rPr>
        <w:t xml:space="preserve">, J. (2019) ‘Ensuring supply chain resilience’, </w:t>
      </w:r>
      <w:r w:rsidRPr="00E0608B">
        <w:rPr>
          <w:rFonts w:ascii="Calibri" w:hAnsi="Calibri" w:cs="Calibri"/>
          <w:i/>
          <w:iCs/>
        </w:rPr>
        <w:t>Journal of Business Logistics</w:t>
      </w:r>
      <w:r w:rsidRPr="00E0608B">
        <w:rPr>
          <w:rFonts w:ascii="Calibri" w:hAnsi="Calibri" w:cs="Calibri"/>
        </w:rPr>
        <w:t xml:space="preserve">, </w:t>
      </w:r>
      <w:r w:rsidRPr="00E0608B">
        <w:rPr>
          <w:rFonts w:ascii="Calibri" w:hAnsi="Calibri" w:cs="Calibri"/>
          <w:b/>
          <w:bCs/>
        </w:rPr>
        <w:t>40</w:t>
      </w:r>
      <w:r w:rsidRPr="00E0608B">
        <w:rPr>
          <w:rFonts w:ascii="Calibri" w:hAnsi="Calibri" w:cs="Calibri"/>
        </w:rPr>
        <w:t>(1), pp. 46–76.</w:t>
      </w:r>
    </w:p>
    <w:p w14:paraId="505A0D20" w14:textId="77777777" w:rsidR="00E0608B" w:rsidRPr="00E0608B" w:rsidRDefault="00E0608B" w:rsidP="00E0608B">
      <w:pPr>
        <w:rPr>
          <w:rFonts w:ascii="Calibri" w:hAnsi="Calibri" w:cs="Calibri"/>
        </w:rPr>
      </w:pPr>
      <w:r w:rsidRPr="00E0608B">
        <w:rPr>
          <w:rFonts w:ascii="Calibri" w:hAnsi="Calibri" w:cs="Calibri"/>
        </w:rPr>
        <w:lastRenderedPageBreak/>
        <w:t xml:space="preserve">Sheffi, Y. (2020) </w:t>
      </w:r>
      <w:r w:rsidRPr="00E0608B">
        <w:rPr>
          <w:rFonts w:ascii="Calibri" w:hAnsi="Calibri" w:cs="Calibri"/>
          <w:i/>
          <w:iCs/>
        </w:rPr>
        <w:t>The New (Ab)Normal: Reshaping Business and Supply Chain Strategy Beyond COVID-19</w:t>
      </w:r>
      <w:r w:rsidRPr="00E0608B">
        <w:rPr>
          <w:rFonts w:ascii="Calibri" w:hAnsi="Calibri" w:cs="Calibri"/>
        </w:rPr>
        <w:t>. Cambridge, MA: MIT Center for Transportation and Logistics.</w:t>
      </w:r>
    </w:p>
    <w:p w14:paraId="29B66E47" w14:textId="77777777" w:rsidR="00E0608B" w:rsidRPr="00E0608B" w:rsidRDefault="00E0608B" w:rsidP="00E0608B">
      <w:pPr>
        <w:rPr>
          <w:rFonts w:ascii="Calibri" w:hAnsi="Calibri" w:cs="Calibri"/>
        </w:rPr>
      </w:pPr>
      <w:r w:rsidRPr="00E0608B">
        <w:rPr>
          <w:rFonts w:ascii="Calibri" w:hAnsi="Calibri" w:cs="Calibri"/>
        </w:rPr>
        <w:t xml:space="preserve">Stamatis, D.H. (2019) </w:t>
      </w:r>
      <w:r w:rsidRPr="00E0608B">
        <w:rPr>
          <w:rFonts w:ascii="Calibri" w:hAnsi="Calibri" w:cs="Calibri"/>
          <w:i/>
          <w:iCs/>
        </w:rPr>
        <w:t>Failure Mode and Effect Analysis: FMEA from Theory to Execution</w:t>
      </w:r>
      <w:r w:rsidRPr="00E0608B">
        <w:rPr>
          <w:rFonts w:ascii="Calibri" w:hAnsi="Calibri" w:cs="Calibri"/>
        </w:rPr>
        <w:t xml:space="preserve">. 3rd </w:t>
      </w:r>
      <w:proofErr w:type="spellStart"/>
      <w:r w:rsidRPr="00E0608B">
        <w:rPr>
          <w:rFonts w:ascii="Calibri" w:hAnsi="Calibri" w:cs="Calibri"/>
        </w:rPr>
        <w:t>edn</w:t>
      </w:r>
      <w:proofErr w:type="spellEnd"/>
      <w:r w:rsidRPr="00E0608B">
        <w:rPr>
          <w:rFonts w:ascii="Calibri" w:hAnsi="Calibri" w:cs="Calibri"/>
        </w:rPr>
        <w:t>. Milwaukee: ASQ Quality Press.</w:t>
      </w:r>
    </w:p>
    <w:p w14:paraId="56B1519D" w14:textId="77777777" w:rsidR="00E0608B" w:rsidRPr="00E0608B" w:rsidRDefault="00E0608B" w:rsidP="00E0608B">
      <w:pPr>
        <w:rPr>
          <w:rFonts w:ascii="Calibri" w:hAnsi="Calibri" w:cs="Calibri"/>
        </w:rPr>
      </w:pPr>
      <w:r w:rsidRPr="00E0608B">
        <w:rPr>
          <w:rFonts w:ascii="Calibri" w:hAnsi="Calibri" w:cs="Calibri"/>
        </w:rPr>
        <w:t xml:space="preserve">Tang, C.S. (2006) ‘Perspectives in supply chain risk management’, </w:t>
      </w:r>
      <w:r w:rsidRPr="00E0608B">
        <w:rPr>
          <w:rFonts w:ascii="Calibri" w:hAnsi="Calibri" w:cs="Calibri"/>
          <w:i/>
          <w:iCs/>
        </w:rPr>
        <w:t>International Journal of Production Economics</w:t>
      </w:r>
      <w:r w:rsidRPr="00E0608B">
        <w:rPr>
          <w:rFonts w:ascii="Calibri" w:hAnsi="Calibri" w:cs="Calibri"/>
        </w:rPr>
        <w:t xml:space="preserve">, </w:t>
      </w:r>
      <w:r w:rsidRPr="00E0608B">
        <w:rPr>
          <w:rFonts w:ascii="Calibri" w:hAnsi="Calibri" w:cs="Calibri"/>
          <w:b/>
          <w:bCs/>
        </w:rPr>
        <w:t>103</w:t>
      </w:r>
      <w:r w:rsidRPr="00E0608B">
        <w:rPr>
          <w:rFonts w:ascii="Calibri" w:hAnsi="Calibri" w:cs="Calibri"/>
        </w:rPr>
        <w:t>(2), pp. 451–488.</w:t>
      </w:r>
    </w:p>
    <w:p w14:paraId="6B94DA3C" w14:textId="77777777" w:rsidR="00E0608B" w:rsidRPr="00E0608B" w:rsidRDefault="00E0608B" w:rsidP="00E0608B">
      <w:pPr>
        <w:rPr>
          <w:rFonts w:ascii="Calibri" w:hAnsi="Calibri" w:cs="Calibri"/>
        </w:rPr>
      </w:pPr>
      <w:r w:rsidRPr="00E0608B">
        <w:rPr>
          <w:rFonts w:ascii="Calibri" w:hAnsi="Calibri" w:cs="Calibri"/>
        </w:rPr>
        <w:t xml:space="preserve">Toyota Motor Corporation (2024) </w:t>
      </w:r>
      <w:r w:rsidRPr="00E0608B">
        <w:rPr>
          <w:rFonts w:ascii="Calibri" w:hAnsi="Calibri" w:cs="Calibri"/>
          <w:i/>
          <w:iCs/>
        </w:rPr>
        <w:t>Integrated Report 2024</w:t>
      </w:r>
      <w:r w:rsidRPr="00E0608B">
        <w:rPr>
          <w:rFonts w:ascii="Calibri" w:hAnsi="Calibri" w:cs="Calibri"/>
        </w:rPr>
        <w:t>. Toyota City: Toyota Motor Corporation.</w:t>
      </w:r>
    </w:p>
    <w:p w14:paraId="488526B5" w14:textId="77777777" w:rsidR="00E0608B" w:rsidRPr="00E0608B" w:rsidRDefault="00E0608B" w:rsidP="00E0608B">
      <w:pPr>
        <w:rPr>
          <w:rFonts w:ascii="Calibri" w:hAnsi="Calibri" w:cs="Calibri"/>
        </w:rPr>
      </w:pPr>
      <w:r w:rsidRPr="00E0608B">
        <w:rPr>
          <w:rFonts w:ascii="Calibri" w:hAnsi="Calibri" w:cs="Calibri"/>
        </w:rPr>
        <w:t xml:space="preserve">World Bank (2023) </w:t>
      </w:r>
      <w:r w:rsidRPr="00E0608B">
        <w:rPr>
          <w:rFonts w:ascii="Calibri" w:hAnsi="Calibri" w:cs="Calibri"/>
          <w:i/>
          <w:iCs/>
        </w:rPr>
        <w:t>Connecting to Compete: Trade Logistics in the Global Economy</w:t>
      </w:r>
      <w:r w:rsidRPr="00E0608B">
        <w:rPr>
          <w:rFonts w:ascii="Calibri" w:hAnsi="Calibri" w:cs="Calibri"/>
        </w:rPr>
        <w:t>. Washington, DC: World Bank.</w:t>
      </w:r>
    </w:p>
    <w:p w14:paraId="372AD1C9" w14:textId="77777777" w:rsidR="00E0608B" w:rsidRPr="00E0608B" w:rsidRDefault="00E0608B" w:rsidP="00E0608B">
      <w:pPr>
        <w:rPr>
          <w:rFonts w:ascii="Calibri" w:hAnsi="Calibri" w:cs="Calibri"/>
        </w:rPr>
      </w:pPr>
      <w:r w:rsidRPr="00E0608B">
        <w:rPr>
          <w:rFonts w:ascii="Calibri" w:hAnsi="Calibri" w:cs="Calibri"/>
        </w:rPr>
        <w:t xml:space="preserve">World Economic Forum (2024) </w:t>
      </w:r>
      <w:r w:rsidRPr="00E0608B">
        <w:rPr>
          <w:rFonts w:ascii="Calibri" w:hAnsi="Calibri" w:cs="Calibri"/>
          <w:i/>
          <w:iCs/>
        </w:rPr>
        <w:t>The Global Risks Report 2024</w:t>
      </w:r>
      <w:r w:rsidRPr="00E0608B">
        <w:rPr>
          <w:rFonts w:ascii="Calibri" w:hAnsi="Calibri" w:cs="Calibri"/>
        </w:rPr>
        <w:t>. Geneva: World Economic Forum.</w:t>
      </w:r>
    </w:p>
    <w:p w14:paraId="2EBB791A" w14:textId="701D2A17" w:rsidR="007E5404" w:rsidRPr="007E5404" w:rsidRDefault="007E5404" w:rsidP="007E5404">
      <w:pPr>
        <w:rPr>
          <w:rFonts w:ascii="Calibri" w:hAnsi="Calibri" w:cs="Calibri"/>
        </w:rPr>
      </w:pPr>
      <w:r w:rsidRPr="007E5404">
        <w:rPr>
          <w:rFonts w:ascii="Calibri" w:hAnsi="Calibri" w:cs="Calibri"/>
        </w:rPr>
        <w:t xml:space="preserve">Bag, S., Gupta, S., Kumar, A. and Sivarajah, U. (2021) ‘Role of digital technologies in supply chain resilience’, </w:t>
      </w:r>
      <w:r w:rsidRPr="007E5404">
        <w:rPr>
          <w:rFonts w:ascii="Calibri" w:hAnsi="Calibri" w:cs="Calibri"/>
          <w:i/>
          <w:iCs/>
        </w:rPr>
        <w:t>International Journal of Production Research</w:t>
      </w:r>
      <w:r w:rsidRPr="007E5404">
        <w:rPr>
          <w:rFonts w:ascii="Calibri" w:hAnsi="Calibri" w:cs="Calibri"/>
        </w:rPr>
        <w:t xml:space="preserve">. </w:t>
      </w:r>
    </w:p>
    <w:p w14:paraId="6921A419" w14:textId="29E4B768" w:rsidR="007E5404" w:rsidRPr="007E5404" w:rsidRDefault="007E5404" w:rsidP="007E5404">
      <w:pPr>
        <w:rPr>
          <w:rFonts w:ascii="Calibri" w:hAnsi="Calibri" w:cs="Calibri"/>
        </w:rPr>
      </w:pPr>
      <w:r w:rsidRPr="007E5404">
        <w:rPr>
          <w:rFonts w:ascii="Calibri" w:hAnsi="Calibri" w:cs="Calibri"/>
        </w:rPr>
        <w:t xml:space="preserve">  Queiroz, M.M., Ivanov, D., </w:t>
      </w:r>
      <w:proofErr w:type="spellStart"/>
      <w:r w:rsidRPr="007E5404">
        <w:rPr>
          <w:rFonts w:ascii="Calibri" w:hAnsi="Calibri" w:cs="Calibri"/>
        </w:rPr>
        <w:t>Dolgui</w:t>
      </w:r>
      <w:proofErr w:type="spellEnd"/>
      <w:r w:rsidRPr="007E5404">
        <w:rPr>
          <w:rFonts w:ascii="Calibri" w:hAnsi="Calibri" w:cs="Calibri"/>
        </w:rPr>
        <w:t xml:space="preserve">, A. and Wamba, S.F. (2022) ‘Impacts of epidemic outbreaks on supply chains’, </w:t>
      </w:r>
      <w:r w:rsidRPr="007E5404">
        <w:rPr>
          <w:rFonts w:ascii="Calibri" w:hAnsi="Calibri" w:cs="Calibri"/>
          <w:i/>
          <w:iCs/>
        </w:rPr>
        <w:t>Annals of Operations Research</w:t>
      </w:r>
      <w:r w:rsidRPr="007E5404">
        <w:rPr>
          <w:rFonts w:ascii="Calibri" w:hAnsi="Calibri" w:cs="Calibri"/>
        </w:rPr>
        <w:t xml:space="preserve">. </w:t>
      </w:r>
    </w:p>
    <w:p w14:paraId="4AA14220" w14:textId="29B91E13" w:rsidR="007E5404" w:rsidRPr="007E5404" w:rsidRDefault="007E5404" w:rsidP="007E5404">
      <w:pPr>
        <w:rPr>
          <w:rFonts w:ascii="Calibri" w:hAnsi="Calibri" w:cs="Calibri"/>
        </w:rPr>
      </w:pPr>
      <w:r w:rsidRPr="007E5404">
        <w:rPr>
          <w:rFonts w:ascii="Calibri" w:hAnsi="Calibri" w:cs="Calibri"/>
        </w:rPr>
        <w:t xml:space="preserve"> Chowdhury, P., Paul, S.K., Kaisar, S. and </w:t>
      </w:r>
      <w:proofErr w:type="spellStart"/>
      <w:r w:rsidRPr="007E5404">
        <w:rPr>
          <w:rFonts w:ascii="Calibri" w:hAnsi="Calibri" w:cs="Calibri"/>
        </w:rPr>
        <w:t>Moktadir</w:t>
      </w:r>
      <w:proofErr w:type="spellEnd"/>
      <w:r w:rsidRPr="007E5404">
        <w:rPr>
          <w:rFonts w:ascii="Calibri" w:hAnsi="Calibri" w:cs="Calibri"/>
        </w:rPr>
        <w:t xml:space="preserve">, M.A. (2021) ‘COVID-19 pandemic related supply chain studies: A systematic review’, </w:t>
      </w:r>
      <w:r w:rsidRPr="007E5404">
        <w:rPr>
          <w:rFonts w:ascii="Calibri" w:hAnsi="Calibri" w:cs="Calibri"/>
          <w:i/>
          <w:iCs/>
        </w:rPr>
        <w:t>Transportation Research Part E: Logistics and Transportation Review</w:t>
      </w:r>
      <w:r w:rsidRPr="007E5404">
        <w:rPr>
          <w:rFonts w:ascii="Calibri" w:hAnsi="Calibri" w:cs="Calibri"/>
        </w:rPr>
        <w:t xml:space="preserve">. </w:t>
      </w:r>
    </w:p>
    <w:p w14:paraId="2772A6CF" w14:textId="3DC38808" w:rsidR="007E5404" w:rsidRPr="007E5404" w:rsidRDefault="007E5404" w:rsidP="007E5404">
      <w:pPr>
        <w:rPr>
          <w:rFonts w:ascii="Calibri" w:hAnsi="Calibri" w:cs="Calibri"/>
        </w:rPr>
      </w:pPr>
      <w:r w:rsidRPr="007E5404">
        <w:rPr>
          <w:rFonts w:ascii="Calibri" w:hAnsi="Calibri" w:cs="Calibri"/>
        </w:rPr>
        <w:t xml:space="preserve">  </w:t>
      </w:r>
      <w:proofErr w:type="spellStart"/>
      <w:r w:rsidRPr="007E5404">
        <w:rPr>
          <w:rFonts w:ascii="Calibri" w:hAnsi="Calibri" w:cs="Calibri"/>
        </w:rPr>
        <w:t>Dolgui</w:t>
      </w:r>
      <w:proofErr w:type="spellEnd"/>
      <w:r w:rsidRPr="007E5404">
        <w:rPr>
          <w:rFonts w:ascii="Calibri" w:hAnsi="Calibri" w:cs="Calibri"/>
        </w:rPr>
        <w:t xml:space="preserve">, A. and Ivanov, D. (2023) ‘Supply chain resilience and recovery in the post-pandemic era’, </w:t>
      </w:r>
      <w:r w:rsidRPr="007E5404">
        <w:rPr>
          <w:rFonts w:ascii="Calibri" w:hAnsi="Calibri" w:cs="Calibri"/>
          <w:i/>
          <w:iCs/>
        </w:rPr>
        <w:t>International Journal of Production Research</w:t>
      </w:r>
      <w:r w:rsidRPr="007E5404">
        <w:rPr>
          <w:rFonts w:ascii="Calibri" w:hAnsi="Calibri" w:cs="Calibri"/>
        </w:rPr>
        <w:t xml:space="preserve">. </w:t>
      </w:r>
    </w:p>
    <w:p w14:paraId="1CB90799" w14:textId="5897826F" w:rsidR="00563DF9" w:rsidRPr="00AD0940" w:rsidRDefault="007E5404" w:rsidP="007E5404">
      <w:pPr>
        <w:rPr>
          <w:rFonts w:ascii="Calibri" w:hAnsi="Calibri" w:cs="Calibri"/>
        </w:rPr>
      </w:pPr>
      <w:r w:rsidRPr="007E5404">
        <w:rPr>
          <w:rFonts w:ascii="Calibri" w:hAnsi="Calibri" w:cs="Calibri"/>
        </w:rPr>
        <w:t xml:space="preserve"> World Economic Forum (2025) </w:t>
      </w:r>
      <w:r w:rsidRPr="007E5404">
        <w:rPr>
          <w:rFonts w:ascii="Calibri" w:hAnsi="Calibri" w:cs="Calibri"/>
          <w:i/>
          <w:iCs/>
        </w:rPr>
        <w:t>The Global Risks Report 2025</w:t>
      </w:r>
      <w:r w:rsidRPr="007E5404">
        <w:rPr>
          <w:rFonts w:ascii="Calibri" w:hAnsi="Calibri" w:cs="Calibri"/>
        </w:rPr>
        <w:t>.</w:t>
      </w:r>
    </w:p>
    <w:p w14:paraId="3DAF171D" w14:textId="77777777" w:rsidR="00193D6C" w:rsidRPr="00AD0940" w:rsidRDefault="00193D6C">
      <w:pPr>
        <w:rPr>
          <w:rFonts w:ascii="Calibri" w:hAnsi="Calibri" w:cs="Calibri"/>
        </w:rPr>
      </w:pPr>
    </w:p>
    <w:p w14:paraId="13F5EFDF" w14:textId="77777777" w:rsidR="001268D7" w:rsidRPr="00AD0940" w:rsidRDefault="001268D7">
      <w:pPr>
        <w:rPr>
          <w:rFonts w:ascii="Calibri" w:hAnsi="Calibri" w:cs="Calibri"/>
        </w:rPr>
      </w:pPr>
    </w:p>
    <w:p w14:paraId="6563D19A" w14:textId="77777777" w:rsidR="001268D7" w:rsidRPr="00AD0940" w:rsidRDefault="001268D7">
      <w:pPr>
        <w:rPr>
          <w:rFonts w:ascii="Calibri" w:hAnsi="Calibri" w:cs="Calibri"/>
        </w:rPr>
      </w:pPr>
    </w:p>
    <w:p w14:paraId="0A2BAA83" w14:textId="77777777" w:rsidR="001268D7" w:rsidRPr="00AD0940" w:rsidRDefault="001268D7">
      <w:pPr>
        <w:rPr>
          <w:rFonts w:ascii="Calibri" w:hAnsi="Calibri" w:cs="Calibri"/>
        </w:rPr>
      </w:pPr>
    </w:p>
    <w:p w14:paraId="50A41F71" w14:textId="77777777" w:rsidR="001268D7" w:rsidRPr="00AD0940" w:rsidRDefault="001268D7">
      <w:pPr>
        <w:rPr>
          <w:rFonts w:ascii="Calibri" w:hAnsi="Calibri" w:cs="Calibri"/>
        </w:rPr>
      </w:pPr>
    </w:p>
    <w:p w14:paraId="001EFC98" w14:textId="77777777" w:rsidR="001268D7" w:rsidRPr="00AD0940" w:rsidRDefault="001268D7">
      <w:pPr>
        <w:rPr>
          <w:rFonts w:ascii="Calibri" w:hAnsi="Calibri" w:cs="Calibri"/>
        </w:rPr>
      </w:pPr>
    </w:p>
    <w:p w14:paraId="39557784" w14:textId="77777777" w:rsidR="001268D7" w:rsidRPr="00AD0940" w:rsidRDefault="001268D7">
      <w:pPr>
        <w:rPr>
          <w:rFonts w:ascii="Calibri" w:hAnsi="Calibri" w:cs="Calibri"/>
        </w:rPr>
      </w:pPr>
    </w:p>
    <w:sectPr w:rsidR="001268D7" w:rsidRPr="00AD0940">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C9F4DC" w14:textId="77777777" w:rsidR="0078586F" w:rsidRDefault="0078586F" w:rsidP="00563DF9">
      <w:pPr>
        <w:spacing w:after="0" w:line="240" w:lineRule="auto"/>
      </w:pPr>
      <w:r>
        <w:separator/>
      </w:r>
    </w:p>
  </w:endnote>
  <w:endnote w:type="continuationSeparator" w:id="0">
    <w:p w14:paraId="25B4528E" w14:textId="77777777" w:rsidR="0078586F" w:rsidRDefault="0078586F" w:rsidP="00563D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75286710"/>
      <w:docPartObj>
        <w:docPartGallery w:val="Page Numbers (Bottom of Page)"/>
        <w:docPartUnique/>
      </w:docPartObj>
    </w:sdtPr>
    <w:sdtEndPr/>
    <w:sdtContent>
      <w:p w14:paraId="2739E09D" w14:textId="02E69507" w:rsidR="00563DF9" w:rsidRDefault="00563DF9">
        <w:pPr>
          <w:pStyle w:val="Footer"/>
          <w:jc w:val="center"/>
        </w:pPr>
        <w:r>
          <w:fldChar w:fldCharType="begin"/>
        </w:r>
        <w:r>
          <w:instrText>PAGE   \* MERGEFORMAT</w:instrText>
        </w:r>
        <w:r>
          <w:fldChar w:fldCharType="separate"/>
        </w:r>
        <w:r>
          <w:t>2</w:t>
        </w:r>
        <w:r>
          <w:fldChar w:fldCharType="end"/>
        </w:r>
      </w:p>
    </w:sdtContent>
  </w:sdt>
  <w:p w14:paraId="6D01953E" w14:textId="77777777" w:rsidR="00563DF9" w:rsidRDefault="00563D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C0CA49" w14:textId="77777777" w:rsidR="0078586F" w:rsidRDefault="0078586F" w:rsidP="00563DF9">
      <w:pPr>
        <w:spacing w:after="0" w:line="240" w:lineRule="auto"/>
      </w:pPr>
      <w:r>
        <w:separator/>
      </w:r>
    </w:p>
  </w:footnote>
  <w:footnote w:type="continuationSeparator" w:id="0">
    <w:p w14:paraId="117AD440" w14:textId="77777777" w:rsidR="0078586F" w:rsidRDefault="0078586F" w:rsidP="00563DF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0880"/>
    <w:rsid w:val="00004813"/>
    <w:rsid w:val="00032158"/>
    <w:rsid w:val="000C0168"/>
    <w:rsid w:val="000E3311"/>
    <w:rsid w:val="001268D7"/>
    <w:rsid w:val="001611AF"/>
    <w:rsid w:val="001847F2"/>
    <w:rsid w:val="00193D6C"/>
    <w:rsid w:val="00234D71"/>
    <w:rsid w:val="002A6E89"/>
    <w:rsid w:val="003B2BFF"/>
    <w:rsid w:val="003B3E20"/>
    <w:rsid w:val="004932E3"/>
    <w:rsid w:val="004A112B"/>
    <w:rsid w:val="004D65A9"/>
    <w:rsid w:val="004E7E84"/>
    <w:rsid w:val="00563DF9"/>
    <w:rsid w:val="00590880"/>
    <w:rsid w:val="00594751"/>
    <w:rsid w:val="005C66AE"/>
    <w:rsid w:val="005D478C"/>
    <w:rsid w:val="005E20B8"/>
    <w:rsid w:val="006B4265"/>
    <w:rsid w:val="00717C94"/>
    <w:rsid w:val="00757190"/>
    <w:rsid w:val="0078586F"/>
    <w:rsid w:val="00797C77"/>
    <w:rsid w:val="007D16D2"/>
    <w:rsid w:val="007E5404"/>
    <w:rsid w:val="008E02EA"/>
    <w:rsid w:val="00907EA9"/>
    <w:rsid w:val="00951DBC"/>
    <w:rsid w:val="00AD0940"/>
    <w:rsid w:val="00B44D7F"/>
    <w:rsid w:val="00B84278"/>
    <w:rsid w:val="00BF6BCE"/>
    <w:rsid w:val="00C4799E"/>
    <w:rsid w:val="00CA0641"/>
    <w:rsid w:val="00CC5EC5"/>
    <w:rsid w:val="00CD7C00"/>
    <w:rsid w:val="00D00FC2"/>
    <w:rsid w:val="00D904B4"/>
    <w:rsid w:val="00E0608B"/>
    <w:rsid w:val="00EA6AB4"/>
    <w:rsid w:val="00EE6B35"/>
    <w:rsid w:val="00F35A57"/>
    <w:rsid w:val="00FA2DD3"/>
    <w:rsid w:val="00FC55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8694D0"/>
  <w15:chartTrackingRefBased/>
  <w15:docId w15:val="{9CFC0EBA-4B84-4F99-855F-E671937CD7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9088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9088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9088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59088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59088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059088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0059088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9088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9088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088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9088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9088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59088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590880"/>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0059088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sid w:val="0059088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9088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90880"/>
    <w:rPr>
      <w:rFonts w:eastAsiaTheme="majorEastAsia" w:cstheme="majorBidi"/>
      <w:color w:val="272727" w:themeColor="text1" w:themeTint="D8"/>
    </w:rPr>
  </w:style>
  <w:style w:type="paragraph" w:styleId="Title">
    <w:name w:val="Title"/>
    <w:basedOn w:val="Normal"/>
    <w:next w:val="Normal"/>
    <w:link w:val="TitleChar"/>
    <w:uiPriority w:val="10"/>
    <w:qFormat/>
    <w:rsid w:val="0059088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9088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9088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9088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90880"/>
    <w:pPr>
      <w:spacing w:before="160"/>
      <w:jc w:val="center"/>
    </w:pPr>
    <w:rPr>
      <w:i/>
      <w:iCs/>
      <w:color w:val="404040" w:themeColor="text1" w:themeTint="BF"/>
    </w:rPr>
  </w:style>
  <w:style w:type="character" w:customStyle="1" w:styleId="QuoteChar">
    <w:name w:val="Quote Char"/>
    <w:basedOn w:val="DefaultParagraphFont"/>
    <w:link w:val="Quote"/>
    <w:uiPriority w:val="29"/>
    <w:rsid w:val="00590880"/>
    <w:rPr>
      <w:i/>
      <w:iCs/>
      <w:color w:val="404040" w:themeColor="text1" w:themeTint="BF"/>
    </w:rPr>
  </w:style>
  <w:style w:type="paragraph" w:styleId="ListParagraph">
    <w:name w:val="List Paragraph"/>
    <w:basedOn w:val="Normal"/>
    <w:uiPriority w:val="34"/>
    <w:qFormat/>
    <w:rsid w:val="00590880"/>
    <w:pPr>
      <w:ind w:left="720"/>
      <w:contextualSpacing/>
    </w:pPr>
  </w:style>
  <w:style w:type="character" w:styleId="IntenseEmphasis">
    <w:name w:val="Intense Emphasis"/>
    <w:basedOn w:val="DefaultParagraphFont"/>
    <w:uiPriority w:val="21"/>
    <w:qFormat/>
    <w:rsid w:val="00590880"/>
    <w:rPr>
      <w:i/>
      <w:iCs/>
      <w:color w:val="0F4761" w:themeColor="accent1" w:themeShade="BF"/>
    </w:rPr>
  </w:style>
  <w:style w:type="paragraph" w:styleId="IntenseQuote">
    <w:name w:val="Intense Quote"/>
    <w:basedOn w:val="Normal"/>
    <w:next w:val="Normal"/>
    <w:link w:val="IntenseQuoteChar"/>
    <w:uiPriority w:val="30"/>
    <w:qFormat/>
    <w:rsid w:val="0059088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90880"/>
    <w:rPr>
      <w:i/>
      <w:iCs/>
      <w:color w:val="0F4761" w:themeColor="accent1" w:themeShade="BF"/>
    </w:rPr>
  </w:style>
  <w:style w:type="character" w:styleId="IntenseReference">
    <w:name w:val="Intense Reference"/>
    <w:basedOn w:val="DefaultParagraphFont"/>
    <w:uiPriority w:val="32"/>
    <w:qFormat/>
    <w:rsid w:val="00590880"/>
    <w:rPr>
      <w:b/>
      <w:bCs/>
      <w:smallCaps/>
      <w:color w:val="0F4761" w:themeColor="accent1" w:themeShade="BF"/>
      <w:spacing w:val="5"/>
    </w:rPr>
  </w:style>
  <w:style w:type="paragraph" w:styleId="Header">
    <w:name w:val="header"/>
    <w:basedOn w:val="Normal"/>
    <w:link w:val="HeaderChar"/>
    <w:uiPriority w:val="99"/>
    <w:unhideWhenUsed/>
    <w:rsid w:val="00563D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3DF9"/>
  </w:style>
  <w:style w:type="paragraph" w:styleId="Footer">
    <w:name w:val="footer"/>
    <w:basedOn w:val="Normal"/>
    <w:link w:val="FooterChar"/>
    <w:uiPriority w:val="99"/>
    <w:unhideWhenUsed/>
    <w:rsid w:val="00563D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3DF9"/>
  </w:style>
  <w:style w:type="paragraph" w:styleId="TOCHeading">
    <w:name w:val="TOC Heading"/>
    <w:basedOn w:val="Heading1"/>
    <w:next w:val="Normal"/>
    <w:uiPriority w:val="39"/>
    <w:unhideWhenUsed/>
    <w:qFormat/>
    <w:rsid w:val="005E20B8"/>
    <w:pPr>
      <w:spacing w:before="240" w:after="0" w:line="259" w:lineRule="auto"/>
      <w:outlineLvl w:val="9"/>
    </w:pPr>
    <w:rPr>
      <w:kern w:val="0"/>
      <w:sz w:val="32"/>
      <w:szCs w:val="32"/>
      <w:lang w:eastAsia="en-GB"/>
      <w14:ligatures w14:val="none"/>
    </w:rPr>
  </w:style>
  <w:style w:type="paragraph" w:styleId="TOC2">
    <w:name w:val="toc 2"/>
    <w:basedOn w:val="Normal"/>
    <w:next w:val="Normal"/>
    <w:autoRedefine/>
    <w:uiPriority w:val="39"/>
    <w:unhideWhenUsed/>
    <w:rsid w:val="00AD0940"/>
    <w:pPr>
      <w:spacing w:after="100" w:line="259" w:lineRule="auto"/>
      <w:ind w:left="220"/>
    </w:pPr>
    <w:rPr>
      <w:rFonts w:eastAsiaTheme="minorEastAsia" w:cs="Times New Roman"/>
      <w:kern w:val="0"/>
      <w:sz w:val="22"/>
      <w:szCs w:val="22"/>
      <w:lang w:eastAsia="en-GB"/>
      <w14:ligatures w14:val="none"/>
    </w:rPr>
  </w:style>
  <w:style w:type="paragraph" w:styleId="TOC1">
    <w:name w:val="toc 1"/>
    <w:basedOn w:val="Normal"/>
    <w:next w:val="Normal"/>
    <w:autoRedefine/>
    <w:uiPriority w:val="39"/>
    <w:unhideWhenUsed/>
    <w:rsid w:val="00AD0940"/>
    <w:pPr>
      <w:spacing w:after="100" w:line="259" w:lineRule="auto"/>
    </w:pPr>
    <w:rPr>
      <w:rFonts w:eastAsiaTheme="minorEastAsia" w:cs="Times New Roman"/>
      <w:kern w:val="0"/>
      <w:sz w:val="22"/>
      <w:szCs w:val="22"/>
      <w:lang w:eastAsia="en-GB"/>
      <w14:ligatures w14:val="none"/>
    </w:rPr>
  </w:style>
  <w:style w:type="paragraph" w:styleId="TOC3">
    <w:name w:val="toc 3"/>
    <w:basedOn w:val="Normal"/>
    <w:next w:val="Normal"/>
    <w:autoRedefine/>
    <w:uiPriority w:val="39"/>
    <w:unhideWhenUsed/>
    <w:rsid w:val="00AD0940"/>
    <w:pPr>
      <w:spacing w:after="100" w:line="259" w:lineRule="auto"/>
      <w:ind w:left="440"/>
    </w:pPr>
    <w:rPr>
      <w:rFonts w:eastAsiaTheme="minorEastAsia" w:cs="Times New Roman"/>
      <w:kern w:val="0"/>
      <w:sz w:val="22"/>
      <w:szCs w:val="22"/>
      <w:lang w:eastAsia="en-GB"/>
      <w14:ligatures w14:val="none"/>
    </w:rPr>
  </w:style>
  <w:style w:type="character" w:styleId="Hyperlink">
    <w:name w:val="Hyperlink"/>
    <w:basedOn w:val="DefaultParagraphFont"/>
    <w:uiPriority w:val="99"/>
    <w:unhideWhenUsed/>
    <w:rsid w:val="00EE6B35"/>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19</TotalTime>
  <Pages>17</Pages>
  <Words>5954</Words>
  <Characters>33939</Characters>
  <Application>Microsoft Office Word</Application>
  <DocSecurity>0</DocSecurity>
  <Lines>282</Lines>
  <Paragraphs>79</Paragraphs>
  <ScaleCrop>false</ScaleCrop>
  <Company/>
  <LinksUpToDate>false</LinksUpToDate>
  <CharactersWithSpaces>39814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Armin polyak</dc:creator>
  <cp:keywords/>
  <dc:description/>
  <cp:lastModifiedBy>Armin polyak</cp:lastModifiedBy>
  <cp:revision>16</cp:revision>
  <dcterms:created xsi:type="dcterms:W3CDTF">2026-07-25T22:59:00Z</dcterms:created>
  <dcterms:modified xsi:type="dcterms:W3CDTF">2026-07-25T23:25:00Z</dcterms:modified>
</cp:coreProperties>
</file>