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ECAD6007 ASSESSMENT</w:t>
      </w:r>
    </w:p>
    <w:p w:rsidR="00000000" w:rsidDel="00000000" w:rsidP="00000000" w:rsidRDefault="00000000" w:rsidRPr="00000000" w14:paraId="00000002">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3">
      <w:pPr>
        <w:spacing w:after="0" w:line="48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The learner: who am I teaching?</w:t>
      </w:r>
      <w:r w:rsidDel="00000000" w:rsidR="00000000" w:rsidRPr="00000000">
        <w:rPr>
          <w:rtl w:val="0"/>
        </w:rPr>
      </w:r>
    </w:p>
    <w:p w:rsidR="00000000" w:rsidDel="00000000" w:rsidP="00000000" w:rsidRDefault="00000000" w:rsidRPr="00000000" w14:paraId="00000004">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0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Everyday occurrences can become critical incidents when the observer identifies a situation that would benefit from reflection and exploration, to provide a deeper understanding of something that has occurred which is meaningful in some way. (Tripp, 1993:8) Without needing to be conspicuous or striking, critical incidents can develop from everyday, insignificant matters, yet to the observer can symbolise circumstances to be explored, creating meaningful and contextual content to study, using it as a useful and dynamic reflection tool.</w:t>
      </w:r>
    </w:p>
    <w:p w:rsidR="00000000" w:rsidDel="00000000" w:rsidP="00000000" w:rsidRDefault="00000000" w:rsidRPr="00000000" w14:paraId="0000000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Analysing a critical incident can uncover questions that can invoke an investigative attitude and inspire the professional practitioner to reflect, restructure and grow their skills, knowledge and more importantly understanding. (Mohammed, 2016)</w:t>
      </w:r>
    </w:p>
    <w:p w:rsidR="00000000" w:rsidDel="00000000" w:rsidP="00000000" w:rsidRDefault="00000000" w:rsidRPr="00000000" w14:paraId="0000000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Using Tripp’s critical incident analysis, a simple situation materialised from one single decision, which ultimately impacted different individuals in different ways.  This motivated my need to explore further and develop knowledge and understanding of age-old theories, school policies and, the quality and consistency of provisions linking to school uniform expectations, amalgamated with the emotional implications of violating rules put in place within a setting. </w:t>
      </w:r>
    </w:p>
    <w:p w:rsidR="00000000" w:rsidDel="00000000" w:rsidP="00000000" w:rsidRDefault="00000000" w:rsidRPr="00000000" w14:paraId="0000000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aim of this assignment is to critically explore theory relating to school uniform policy, sanctions for violating policy, and the impacts on learning when faced with negative emotions that derive from said sanctions. Critically examining an incident is important because it can provide valuable insights and inform educational practices and decision-making. Additionally, educators can gain a deeper understanding of the individual needs of their students, their preferences, and challenges. (Tripp, 1994) </w:t>
      </w:r>
    </w:p>
    <w:p w:rsidR="00000000" w:rsidDel="00000000" w:rsidP="00000000" w:rsidRDefault="00000000" w:rsidRPr="00000000" w14:paraId="0000000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Following exploration of the critical incident I have decided to pose the question: </w:t>
      </w:r>
    </w:p>
    <w:p w:rsidR="00000000" w:rsidDel="00000000" w:rsidP="00000000" w:rsidRDefault="00000000" w:rsidRPr="00000000" w14:paraId="0000000F">
      <w:pPr>
        <w:spacing w:after="0" w:line="48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u w:val="single"/>
          <w:rtl w:val="0"/>
        </w:rPr>
        <w:t xml:space="preserve">Can adherence to strict uniform policy, and the process of dealing with uniform violations, have a negative impact on learning and engagement?</w:t>
      </w:r>
      <w:r w:rsidDel="00000000" w:rsidR="00000000" w:rsidRPr="00000000">
        <w:rPr>
          <w:rFonts w:ascii="Arial" w:cs="Arial" w:eastAsia="Arial" w:hAnsi="Arial"/>
          <w:b w:val="1"/>
          <w:sz w:val="24"/>
          <w:szCs w:val="24"/>
          <w:rtl w:val="0"/>
        </w:rPr>
        <w:t xml:space="preserve">​</w:t>
      </w:r>
    </w:p>
    <w:p w:rsidR="00000000" w:rsidDel="00000000" w:rsidP="00000000" w:rsidRDefault="00000000" w:rsidRPr="00000000" w14:paraId="0000001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Literature review</w:t>
      </w:r>
    </w:p>
    <w:p w:rsidR="00000000" w:rsidDel="00000000" w:rsidP="00000000" w:rsidRDefault="00000000" w:rsidRPr="00000000" w14:paraId="00000012">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correlation between school uniform policies and student behaviour has long been a subject of debate within the realm of education. Despite its significance, research on this topic has often lacked substantial evidence to provide clear insights into the advantages and disadvantages associated with these policies. (Ansari, Shepard, and Gottfried, 2022) This literature review aims to delve into the critical subject of school uniform policies, with a particular focus on examining their implications on students' emotion led behaviour and academic outcomes. </w:t>
      </w:r>
    </w:p>
    <w:p w:rsidR="00000000" w:rsidDel="00000000" w:rsidP="00000000" w:rsidRDefault="00000000" w:rsidRPr="00000000" w14:paraId="00000013">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Guided by the Education and Inspections Act 2006, Sections 88 and 89 (Education and inspections Act, 2006), the Welsh Government strongly advocates for the inclusion of school uniforms across all governing bodies. (Welsh Government 2023), They encourage schools to collaboratively develop and implement comprehensive uniform policies, actively involving parents, students, and local communities. According to the Welsh Government (2023), a well-implemented school uniform serves several purposes, fostering a sense of identity, community, and unity within the school. It further promotes positive behaviour, reduces the pressure to conform to fashion trends, and contributes to mitigating inequalities among students. Moreover, it aligns with safeguarding and attendance policies, aiding in identifying unauthorised absences and reinforcing the school's ethos (Welsh Government, 2023). </w:t>
      </w:r>
    </w:p>
    <w:p w:rsidR="00000000" w:rsidDel="00000000" w:rsidP="00000000" w:rsidRDefault="00000000" w:rsidRPr="00000000" w14:paraId="00000014">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Gentile and Imberman (2012) have identified numerous beneficial outcomes in schools with uniform policies. Their research emphasises the positive impact of school uniforms on students and staff, with improved attendance, academic achievement, and overall behaviour. Furthermore, their findings suggest a positive effect on teacher retention. Additional research by Sanchez et al. (2012) underscores advantages such as a reduction in disciplinary issues, decreased participation in gang-related activities, and fewer instances of bullying. Implementing school uniforms has also been linked to an increased sense of safety, making the school experience more comfortable and boosting students' confidence and self-esteem (Agarwal, 2015). </w:t>
      </w:r>
    </w:p>
    <w:p w:rsidR="00000000" w:rsidDel="00000000" w:rsidP="00000000" w:rsidRDefault="00000000" w:rsidRPr="00000000" w14:paraId="00000015">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while some studies and experts like Reidy (2021) refer to research supporting the positive influence of uniform policies on academic achievement and attendance, others, such as Brunsma and Rockquemore (2003), Yeung (2009), and Creasy and Corby (2019), challenge these conclusions. Hattie (2012) even strongly asserts that there is no significant connection between school uniforms and academic achievement. </w:t>
      </w:r>
    </w:p>
    <w:p w:rsidR="00000000" w:rsidDel="00000000" w:rsidP="00000000" w:rsidRDefault="00000000" w:rsidRPr="00000000" w14:paraId="00000016">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Considering the United Nations Convention on the Rights of the Child (UNCRC) and children's rights, Power and Taylor (2023) highlight major inconsistencies in school uniform policies. These inconsistencies continue to create uncertainty and gaps in legislation, as the rights of students sometimes clash with established rules. They emphasise that the education system is still not fully aligned with a rights-based approach, citing documents from the Senedd (2020) and the Children's Commissioner Report (2020), which draw attention to grey areas in policy and legislation. </w:t>
      </w:r>
    </w:p>
    <w:p w:rsidR="00000000" w:rsidDel="00000000" w:rsidP="00000000" w:rsidRDefault="00000000" w:rsidRPr="00000000" w14:paraId="00000017">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Children's Commissioner for Wales (2020) expresses concerns regarding the lack of definitive research establishing whether the adoption of school uniforms has a beneficial or detrimental impact on students' behaviour and academic achievements. They point out that studies focusing on positive outcomes often concentrate solely on wearing uniforms, without exploring the influence of strict adherence to specific regulations. The commissioner expresses scepticism and recommends that schools and policymakers take children's rights seriously when addressing uniform breaches. </w:t>
      </w:r>
    </w:p>
    <w:p w:rsidR="00000000" w:rsidDel="00000000" w:rsidP="00000000" w:rsidRDefault="00000000" w:rsidRPr="00000000" w14:paraId="00000018">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Johnston (2009) the consequence of non-compliance with school uniforms can significantly affect students' ability to learn and engage in the classroom. This impact is especially pronounced when sanctions involve students being sent home, taken out of the classroom, isolated, or singled out, as noted by (Johnston 2009). Hand (2020) further questions whether untidy or incorrect uniforms should warrant such forms of discipline that may lead to feelings of shame or guilt. This research has close links to the critical incident observed and how those emotions created a barrier for learning.</w:t>
      </w:r>
    </w:p>
    <w:p w:rsidR="00000000" w:rsidDel="00000000" w:rsidP="00000000" w:rsidRDefault="00000000" w:rsidRPr="00000000" w14:paraId="00000019">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Considering the aspect of emotions, The James-Lange theory states that emotions arise because of physiological responses to stimuli. It suggests that bodily changes (e.g., increased heart rate, sweating) precede and cause the emotional experience. (Hay, 2019). In contrast to this and more recently, Holodynski's emotional framework emphasises the role of evaluation, perception, and behavioural manifestations within the emotional experience, to guide support and intervention. (Holodynski 2013)  </w:t>
      </w:r>
    </w:p>
    <w:p w:rsidR="00000000" w:rsidDel="00000000" w:rsidP="00000000" w:rsidRDefault="00000000" w:rsidRPr="00000000" w14:paraId="0000001A">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theories offer different perspectives on the nature and origins of emotions. While the James-Lange theory focuses on bodily responses as the primary drivers of emotions, Holodynski's framework emphasises the cognitive and behavioural aspects of emotions.   </w:t>
      </w:r>
    </w:p>
    <w:p w:rsidR="00000000" w:rsidDel="00000000" w:rsidP="00000000" w:rsidRDefault="00000000" w:rsidRPr="00000000" w14:paraId="0000001B">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Vygotsky viewed the James Lang theory unfavourably, not agreeing that the emotional response is a biological process in its entirety.  (Mesquita, 2012). Building on Lev Vygotsky's work, Burkitt (2021), along with Mesquita (2012) and Holodynski (2013), use Vygotsky's ideas as a foundation for their research on emotions and psychological functioning. They all emphasise the influence of an individual's social upbringing and historical context on their emotional responses. Additionally, they highlight Vygotsky's notion that human personality undergoes continual transformation through contextual interactions within society. However, due to the limited development of Vygotsky's work on emotions, these researchers acknowledge the lack of a comprehensive theory in this area. </w:t>
      </w:r>
    </w:p>
    <w:p w:rsidR="00000000" w:rsidDel="00000000" w:rsidP="00000000" w:rsidRDefault="00000000" w:rsidRPr="00000000" w14:paraId="0000001C">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Contrary to the view of emotions as purely biological, Burkitt (2019, 2021) argues that emotions are shaped by cultural and historical factors. They assert that emotions emerge from the socio-cultural and historical development of individuals within their respective societal contexts, intricately connected with motivations, necessities, and desires. Emotions are experienced and perceived within the framework of life experiences and are physically manifested in the human body as sensations. </w:t>
      </w:r>
    </w:p>
    <w:p w:rsidR="00000000" w:rsidDel="00000000" w:rsidP="00000000" w:rsidRDefault="00000000" w:rsidRPr="00000000" w14:paraId="0000001D">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Rose (2016) discusses the science behind emotions, particularly the stress response system (sympathetic nervous system), and acknowledges how the environment can affect the mind and body's engagement and interaction. In moments of perceived threat and survival, the body's physical responses can influence behaviour. This aspect is linked to the environment's impact on emotions, particularly self-esteem, as observed through the works of Cozolino (2014) and Davison and Begley (2012). These findings suggest that triggered emotions can subsequently affect learning and engagement. </w:t>
      </w:r>
    </w:p>
    <w:p w:rsidR="00000000" w:rsidDel="00000000" w:rsidP="00000000" w:rsidRDefault="00000000" w:rsidRPr="00000000" w14:paraId="0000001E">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sympathetic nervous system, responsible for the "fight or flight" response, (Cannon, 1929). plays a pivotal role in the body's reaction to stressful and demanding situations. This system braces the body to face a threat by increasing the heart rate, dilating the airways, and directing blood flow to the muscles, among other physiological adjustments. (Van Goozen, et al. 2007) (Boxmeyer, et al. 2023) </w:t>
      </w:r>
    </w:p>
    <w:p w:rsidR="00000000" w:rsidDel="00000000" w:rsidP="00000000" w:rsidRDefault="00000000" w:rsidRPr="00000000" w14:paraId="0000001F">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Researching this process with education as a focus, reveals advancements in neuroscience studies that emphasise the role of emotions in learning, with specific attention to processes controlled by the sympathetic nervous system. These processes play a pivotal role in knowledge acquisition, attention, information retention, decision-making, and social interaction (Immordino-Yang &amp; Damasio, 2011). </w:t>
      </w:r>
    </w:p>
    <w:p w:rsidR="00000000" w:rsidDel="00000000" w:rsidP="00000000" w:rsidRDefault="00000000" w:rsidRPr="00000000" w14:paraId="00000020">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Emotions hold significant importance in the context of secondary education, as they exert a considerable influence on students' learning experiences and outcomes. For educators, understanding the impact of emotions on learning is crucial, empowering them to create effective and nurturing learning environments. (Córdova, et al. 2023)  </w:t>
      </w:r>
    </w:p>
    <w:p w:rsidR="00000000" w:rsidDel="00000000" w:rsidP="00000000" w:rsidRDefault="00000000" w:rsidRPr="00000000" w14:paraId="00000021">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Shame can be a powerful and often challenging emotion to process, (Alshak, 2019) It can lead to feelings of inadequacy, guilt, or self-disapproval. When individuals experience shame, the sympathetic nervous system is activated, initiating various physical reactions. It is essential to recognise that while the activation of the sympathetic nervous system is a normal response to stress, it may not always be suitable for social or emotional situations, such as learning and engagement in a classroom setting (Alshak, 2019). </w:t>
      </w:r>
    </w:p>
    <w:p w:rsidR="00000000" w:rsidDel="00000000" w:rsidP="00000000" w:rsidRDefault="00000000" w:rsidRPr="00000000" w14:paraId="00000022">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Muris and Meesters (2014) present a model developed by the American Psychiatric Association (2000), suggesting that self-conscious emotions like guilt or shame in young people can be transferred onto others through projected blame, hostile behaviour, and aggression. This transfer of shame is particularly evident in individuals who feel targeted, judged, or that their position within a situation has been threatened. </w:t>
      </w:r>
    </w:p>
    <w:p w:rsidR="00000000" w:rsidDel="00000000" w:rsidP="00000000" w:rsidRDefault="00000000" w:rsidRPr="00000000" w14:paraId="00000023">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challenges in addressing shame, despite the growing body of research, Goodman and Cook (2019) emphasise that schools often struggle to effectively address and prevent shaming due to the challenge of identifying it. In many cases, the interpretation of episodes of shaming are highly personal and dependent on the student's perspective and the teacher's intentions. Nevertheless, educators, administrators, and policymakers can benefit from ongoing self-reflective evaluations of their practices, keeping in mind that humiliation and subordination resulting from shaming contradict the principles of human rights, respect, autonomy, and dignity (Goodman &amp; Cook, 2019). </w:t>
      </w:r>
    </w:p>
    <w:p w:rsidR="00000000" w:rsidDel="00000000" w:rsidP="00000000" w:rsidRDefault="00000000" w:rsidRPr="00000000" w14:paraId="00000024">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summary, the act of publicly shaming students for dress code violations remains a contentious and morally intricate issue within the realm of education. While dress codes are established for valid reasons, the methods of discipline and punishments for violations have raised notable concerns regarding their influence on students' emotional and physical well-being. Educational institutions should persist in assessing and revising their dress code guidelines while considering the ethical and psychological implications of their enforcement techniques to avoid creating learning constraints. (Children’s Commissioner, 2020a) </w:t>
      </w:r>
    </w:p>
    <w:p w:rsidR="00000000" w:rsidDel="00000000" w:rsidP="00000000" w:rsidRDefault="00000000" w:rsidRPr="00000000" w14:paraId="0000002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following section will explain the critical incident in detail. For the sake of confidentiality the pupil at the centre of the critical incident will be referred to as ‘Pupil A’. </w:t>
      </w:r>
    </w:p>
    <w:p w:rsidR="00000000" w:rsidDel="00000000" w:rsidP="00000000" w:rsidRDefault="00000000" w:rsidRPr="00000000" w14:paraId="0000002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spacing w:after="0" w:line="48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Critical Incident Observation Analysis: Uniform Compliance and Behavioral Response - A Case Study of ‘Pupil A’ in Year 7.</w:t>
      </w:r>
    </w:p>
    <w:p w:rsidR="00000000" w:rsidDel="00000000" w:rsidP="00000000" w:rsidRDefault="00000000" w:rsidRPr="00000000" w14:paraId="0000002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 </w:t>
      </w:r>
    </w:p>
    <w:p w:rsidR="00000000" w:rsidDel="00000000" w:rsidP="00000000" w:rsidRDefault="00000000" w:rsidRPr="00000000" w14:paraId="0000002B">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following information examines a critical incident involving a Year 7 student referred to as 'Pupil A.' The incident took place during the morning, beginning at the school canteen, followed by a series of events that unfolded throughout the day.</w:t>
      </w:r>
    </w:p>
    <w:p w:rsidR="00000000" w:rsidDel="00000000" w:rsidP="00000000" w:rsidRDefault="00000000" w:rsidRPr="00000000" w14:paraId="0000002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incident revolves around Pupil A's incorrect uniform, their interaction with staff and peers, and observation of the subsequent impact on their behaviour and engagement in lessons that followed.</w:t>
      </w:r>
    </w:p>
    <w:p w:rsidR="00000000" w:rsidDel="00000000" w:rsidP="00000000" w:rsidRDefault="00000000" w:rsidRPr="00000000" w14:paraId="0000002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after="0" w:line="48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Incident Details:</w:t>
      </w:r>
    </w:p>
    <w:p w:rsidR="00000000" w:rsidDel="00000000" w:rsidP="00000000" w:rsidRDefault="00000000" w:rsidRPr="00000000" w14:paraId="0000002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Canteen Interaction: </w:t>
      </w:r>
    </w:p>
    <w:p w:rsidR="00000000" w:rsidDel="00000000" w:rsidP="00000000" w:rsidRDefault="00000000" w:rsidRPr="00000000" w14:paraId="0000003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the start of the day, Year 7 pupils gathered in the canteen before assembly.</w:t>
      </w:r>
    </w:p>
    <w:p w:rsidR="00000000" w:rsidDel="00000000" w:rsidP="00000000" w:rsidRDefault="00000000" w:rsidRPr="00000000" w14:paraId="0000003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arrived wearing shorts instead of the required leggings. The initial interaction with peers was positive.</w:t>
      </w:r>
    </w:p>
    <w:p w:rsidR="00000000" w:rsidDel="00000000" w:rsidP="00000000" w:rsidRDefault="00000000" w:rsidRPr="00000000" w14:paraId="0000003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 Intervention: </w:t>
      </w:r>
    </w:p>
    <w:p w:rsidR="00000000" w:rsidDel="00000000" w:rsidP="00000000" w:rsidRDefault="00000000" w:rsidRPr="00000000" w14:paraId="00000035">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senior staff member approached Pupil A regarding the uniform violation.</w:t>
      </w:r>
    </w:p>
    <w:p w:rsidR="00000000" w:rsidDel="00000000" w:rsidP="00000000" w:rsidRDefault="00000000" w:rsidRPr="00000000" w14:paraId="0000003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explained that her leggings were unwashed. The staff </w:t>
      </w:r>
      <w:r w:rsidDel="00000000" w:rsidR="00000000" w:rsidRPr="00000000">
        <w:rPr>
          <w:rFonts w:ascii="Arial" w:cs="Arial" w:eastAsia="Arial" w:hAnsi="Arial"/>
          <w:sz w:val="24"/>
          <w:szCs w:val="24"/>
          <w:rtl w:val="0"/>
        </w:rPr>
        <w:t xml:space="preserve">member</w:t>
      </w:r>
      <w:r w:rsidDel="00000000" w:rsidR="00000000" w:rsidRPr="00000000">
        <w:rPr>
          <w:rFonts w:ascii="Arial" w:cs="Arial" w:eastAsia="Arial" w:hAnsi="Arial"/>
          <w:sz w:val="24"/>
          <w:szCs w:val="24"/>
          <w:rtl w:val="0"/>
        </w:rPr>
        <w:t xml:space="preserve"> discussed the uniform policy and planned to address it with Pupil A  at break time.</w:t>
      </w:r>
    </w:p>
    <w:p w:rsidR="00000000" w:rsidDel="00000000" w:rsidP="00000000" w:rsidRDefault="00000000" w:rsidRPr="00000000" w14:paraId="0000003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Form Tutor's Involvement: </w:t>
      </w:r>
    </w:p>
    <w:p w:rsidR="00000000" w:rsidDel="00000000" w:rsidP="00000000" w:rsidRDefault="00000000" w:rsidRPr="00000000" w14:paraId="00000039">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form tutor also noticed the uniform issue and repeated the conversation with Pupil A, reiterating the school's policy and his own expectations.</w:t>
      </w:r>
    </w:p>
    <w:p w:rsidR="00000000" w:rsidDel="00000000" w:rsidP="00000000" w:rsidRDefault="00000000" w:rsidRPr="00000000" w14:paraId="0000003A">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Assembly Hall Incident: </w:t>
      </w:r>
    </w:p>
    <w:p w:rsidR="00000000" w:rsidDel="00000000" w:rsidP="00000000" w:rsidRDefault="00000000" w:rsidRPr="00000000" w14:paraId="0000003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Inside the assembly hall, another staff member questioned Pupil A about their attire. Again expectations regarding uniform compliance were echoed.</w:t>
      </w:r>
    </w:p>
    <w:p w:rsidR="00000000" w:rsidDel="00000000" w:rsidP="00000000" w:rsidRDefault="00000000" w:rsidRPr="00000000" w14:paraId="0000003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A's Reaction: </w:t>
      </w:r>
    </w:p>
    <w:p w:rsidR="00000000" w:rsidDel="00000000" w:rsidP="00000000" w:rsidRDefault="00000000" w:rsidRPr="00000000" w14:paraId="0000003F">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grew visibly annoyed and discussed her feelings with peers during the transition to the first lesson. During this exchange pupil A revealed that their Mother should face the punishment not them.</w:t>
      </w:r>
    </w:p>
    <w:p w:rsidR="00000000" w:rsidDel="00000000" w:rsidP="00000000" w:rsidRDefault="00000000" w:rsidRPr="00000000" w14:paraId="0000004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English Lesson: </w:t>
      </w:r>
    </w:p>
    <w:p w:rsidR="00000000" w:rsidDel="00000000" w:rsidP="00000000" w:rsidRDefault="00000000" w:rsidRPr="00000000" w14:paraId="0000004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actively engaged in the English lesson and had a positive relationship with the teacher who did not address the uniform violation.</w:t>
      </w:r>
    </w:p>
    <w:p w:rsidR="00000000" w:rsidDel="00000000" w:rsidP="00000000" w:rsidRDefault="00000000" w:rsidRPr="00000000" w14:paraId="0000004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Year 7 students had a break after lesson 1.</w:t>
      </w:r>
    </w:p>
    <w:p w:rsidR="00000000" w:rsidDel="00000000" w:rsidP="00000000" w:rsidRDefault="00000000" w:rsidRPr="00000000" w14:paraId="0000004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Lesson 2 Lateness: </w:t>
      </w:r>
    </w:p>
    <w:p w:rsidR="00000000" w:rsidDel="00000000" w:rsidP="00000000" w:rsidRDefault="00000000" w:rsidRPr="00000000" w14:paraId="0000004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was 10 minutes late for lesson 2. A staff member escorted them, apologising for the tardiness, and addressing the uniform issue.</w:t>
      </w:r>
    </w:p>
    <w:p w:rsidR="00000000" w:rsidDel="00000000" w:rsidP="00000000" w:rsidRDefault="00000000" w:rsidRPr="00000000" w14:paraId="0000004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Uniform Change: </w:t>
      </w:r>
    </w:p>
    <w:p w:rsidR="00000000" w:rsidDel="00000000" w:rsidP="00000000" w:rsidRDefault="00000000" w:rsidRPr="00000000" w14:paraId="0000004B">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had changed into school-specific PE leggings, which were different in colour (mauve) and material (lycra) from standard leggings worn by all peers.</w:t>
      </w:r>
    </w:p>
    <w:p w:rsidR="00000000" w:rsidDel="00000000" w:rsidP="00000000" w:rsidRDefault="00000000" w:rsidRPr="00000000" w14:paraId="0000004C">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Behavioural Changes: </w:t>
      </w:r>
    </w:p>
    <w:p w:rsidR="00000000" w:rsidDel="00000000" w:rsidP="00000000" w:rsidRDefault="00000000" w:rsidRPr="00000000" w14:paraId="0000004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 displayed signs of distress by throwing her bag on the floor and refusing to engage with the lesson or her peers. They sat with their back to the class and spent the remainder of the lesson looking out of the window and writing on her hand.</w:t>
      </w:r>
    </w:p>
    <w:p w:rsidR="00000000" w:rsidDel="00000000" w:rsidP="00000000" w:rsidRDefault="00000000" w:rsidRPr="00000000" w14:paraId="0000004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Lessons 3 and 4: </w:t>
      </w:r>
    </w:p>
    <w:p w:rsidR="00000000" w:rsidDel="00000000" w:rsidP="00000000" w:rsidRDefault="00000000" w:rsidRPr="00000000" w14:paraId="0000005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Pupil A's behaviour continued to deteriorate, including refusal to work and disruptive conduct. Pupil A was removed from lesson 4 after their second warning.</w:t>
      </w:r>
    </w:p>
    <w:p w:rsidR="00000000" w:rsidDel="00000000" w:rsidP="00000000" w:rsidRDefault="00000000" w:rsidRPr="00000000" w14:paraId="00000052">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 Lesson: </w:t>
      </w:r>
    </w:p>
    <w:p w:rsidR="00000000" w:rsidDel="00000000" w:rsidP="00000000" w:rsidRDefault="00000000" w:rsidRPr="00000000" w14:paraId="00000054">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Following lunch Pupil A was observed participating actively in a netball game during her PE lesson, showing a more positive interaction with peers and staff.</w:t>
      </w:r>
    </w:p>
    <w:p w:rsidR="00000000" w:rsidDel="00000000" w:rsidP="00000000" w:rsidRDefault="00000000" w:rsidRPr="00000000" w14:paraId="0000005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critical incident report highlights the series of events stemming from a uniform issue involving Pupil A. It demonstrates the impact of uniform-related stress on a student's behaviour and engagement throughout the day. The literature review analyses this by discussing the impact of school uniform expectations and penalties for  conduct, where uniform non-compliance leads to emotional distress responses. (Rose, 2016) (Cozolino, 2014) and (Davison and Begley, 2012).</w:t>
      </w:r>
    </w:p>
    <w:p w:rsidR="00000000" w:rsidDel="00000000" w:rsidP="00000000" w:rsidRDefault="00000000" w:rsidRPr="00000000" w14:paraId="0000005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review also mentions inconsistencies between uniform policies and children’s rights and underlines why the approaches taken may have contributed to their feelings of distress and annoyance. (Power and Taylor, 2023) </w:t>
      </w:r>
    </w:p>
    <w:p w:rsidR="00000000" w:rsidDel="00000000" w:rsidP="00000000" w:rsidRDefault="00000000" w:rsidRPr="00000000" w14:paraId="0000005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evident connections within the literature review's exploration of emotions, particularly within the role of the sympathetic nervous system in learning, and Pupil A's behaviour changes during their lessons. These findings suggest how Pupil A’s emotional state might have affected their ability to engage in class. (Immordino-Yang &amp; Damasio, 2011). (Alshak, 2019).</w:t>
      </w:r>
    </w:p>
    <w:p w:rsidR="00000000" w:rsidDel="00000000" w:rsidP="00000000" w:rsidRDefault="00000000" w:rsidRPr="00000000" w14:paraId="0000005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review's findings surrounding shame links clearly to Pupil A's emotional response after the uniform incident became a trigger. The feelings of embarrassment and shame at being singled out, may have been key in influencing their actions. (Muris and Meesters, 2014)</w:t>
      </w:r>
    </w:p>
    <w:p w:rsidR="00000000" w:rsidDel="00000000" w:rsidP="00000000" w:rsidRDefault="00000000" w:rsidRPr="00000000" w14:paraId="0000005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review's insights regarding the challenges of addressing shame in schools and more specifically how Pupil A's situation was handled by the staff was prominent in the critical incident. While the school's approach may have been in line with recommendations for handling breaches of uniform policy, the deeper question is raised to highlight how the emotional responses like shame may erupt from these actions. (Goodman &amp; Cook, 2019) and how schools should assess and revise dress code sanctions, taking into account ethical and psychological implications to avoid impacting learning and wellbeing. (Children’s Commissioner, 2020a). </w:t>
      </w:r>
    </w:p>
    <w:p w:rsidR="00000000" w:rsidDel="00000000" w:rsidP="00000000" w:rsidRDefault="00000000" w:rsidRPr="00000000" w14:paraId="0000005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Using an early Intervention and communication alternative approach, staff could proactively address the uniform issue when it was first observed in the canteen. Instead of waiting until the assembly or involving multiple staff members, a single, compassionate conversation with Pupil A could have taken place to understand the reason behind the uniform discrepancy. This early intervention would allow staff to assess whether there were valid reasons for the violation, such as unwashed clothing, and explore potential solutions without creating a sense of confrontation or embarrassment.</w:t>
      </w:r>
    </w:p>
    <w:p w:rsidR="00000000" w:rsidDel="00000000" w:rsidP="00000000" w:rsidRDefault="00000000" w:rsidRPr="00000000" w14:paraId="00000062">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to this, If Pupil A's reason for wearing shorts instead of leggings was valid, school staff could have provided a more appropriate or wider choice of alternative uniform options for the day. This proactive solution would have allowed Pupil A to blend in unnoticeably and participate fully in the school day without the emotional distress or embarrassment of wearing such a bold piece of clothing. Such flexibility in uniform enforcement could align with a more compassionate approach while still maintaining the school's overall policy. However, there is an element of cost for the school using this approach.</w:t>
      </w:r>
    </w:p>
    <w:p w:rsidR="00000000" w:rsidDel="00000000" w:rsidP="00000000" w:rsidRDefault="00000000" w:rsidRPr="00000000" w14:paraId="00000064">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considering these alternative actions, the school could have fostered a more supportive and nurturing environment for Pupil A. While uniform policies are important, they should be enforced with sensitivity to the individual needs and circumstances of the students, recognising that emotional well-being plays a significant role in their overall educational experience.</w:t>
      </w:r>
    </w:p>
    <w:p w:rsidR="00000000" w:rsidDel="00000000" w:rsidP="00000000" w:rsidRDefault="00000000" w:rsidRPr="00000000" w14:paraId="00000066">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Teaching and learning methods to consider:</w:t>
      </w:r>
    </w:p>
    <w:p w:rsidR="00000000" w:rsidDel="00000000" w:rsidP="00000000" w:rsidRDefault="00000000" w:rsidRPr="00000000" w14:paraId="00000068">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combination of teaching and learning methods could be examined in detail, addressing the critical incident involving Pupil A and their emotional response to the uniform discrepancy. Implementation of new approaches or scaffolding existing  support could ensure a more inclusive learning environment.</w:t>
      </w:r>
    </w:p>
    <w:p w:rsidR="00000000" w:rsidDel="00000000" w:rsidP="00000000" w:rsidRDefault="00000000" w:rsidRPr="00000000" w14:paraId="0000006A">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Teaching and learning method - Restorative Practice:</w:t>
      </w:r>
    </w:p>
    <w:p w:rsidR="00000000" w:rsidDel="00000000" w:rsidP="00000000" w:rsidRDefault="00000000" w:rsidRPr="00000000" w14:paraId="0000006C">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Implementing restorative practices could help pupils like Pupil A and subsequently the involved staff members, to understand the impact of the disciplinary incident on everyone involved. This method promotes open dialogue, empathy, and conflict resolution, fostering a sense of community and accountability through care and concern. (</w:t>
      </w:r>
      <w:r w:rsidDel="00000000" w:rsidR="00000000" w:rsidRPr="00000000">
        <w:rPr>
          <w:rFonts w:ascii="Arial" w:cs="Arial" w:eastAsia="Arial" w:hAnsi="Arial"/>
          <w:color w:val="222222"/>
          <w:sz w:val="24"/>
          <w:szCs w:val="24"/>
          <w:rtl w:val="0"/>
        </w:rPr>
        <w:t xml:space="preserve">Thorsborne, and Blood, 2013).</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McClusky, (2018) agrees and defines discipline through restorative practice, as a holistic approach and sense of teamwork and togetherness, to resolve conflict positively. However, McClusky argues that for restorative measures to work, all advocates for change must confront the pressing responsibility to address issues raised by conventional systems of discipline, for example uniform conformity, as well as the inequitable repercussions on individuals who are potentially struggling to conform to expectations for legitimate reasons.</w:t>
      </w:r>
    </w:p>
    <w:p w:rsidR="00000000" w:rsidDel="00000000" w:rsidP="00000000" w:rsidRDefault="00000000" w:rsidRPr="00000000" w14:paraId="0000006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Teaching and learning method - Social-Emotional Learning (SEL) Curriculum:</w:t>
      </w:r>
    </w:p>
    <w:p w:rsidR="00000000" w:rsidDel="00000000" w:rsidP="00000000" w:rsidRDefault="00000000" w:rsidRPr="00000000" w14:paraId="0000007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Social and Emotional Learning (SEL) refers to a set of skills that extend beyond traditional cognitive and academic abilities. These skills, such as self-awareness, motivation, self-control, social skills, and resilience, are not innate but can be developed throughout one's life. SEL is often associated with terms like non-cognitive skills, character, and grit, and there is ongoing debate about how to define, measure, and prioritise these skills. The term 'learning' is used to highlight that the focus is on skill development rather than static capabilities. While there is no universal framework, five key aspects of social and emotional capability are recognised: self-perceptions and self-awareness, motivation, self-control, social skills, and resilience. These dimensions are collectively referred to as 'social and emotional skills.' (Feinstein, 2015).</w:t>
      </w:r>
    </w:p>
    <w:p w:rsidR="00000000" w:rsidDel="00000000" w:rsidP="00000000" w:rsidRDefault="00000000" w:rsidRPr="00000000" w14:paraId="0000007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Donaldson, (2015) cites a report from OECD in 2013 highlighting how learning often goes beyond cognition, therefore suggesting teachers must also consider the emotions and conceptions of their students in order to achieve successful learning outcomes. The foundation of a positive emotional atmosphere is of utmost importance, and the pedagogical methods employed should encompass the social and emotional dimensions of the learning process, reflecting an integral part of the curriculum. Such instructional approaches foster the development of emotional intelligence and metacognition, thereby empowering students to contemplate their own learning experiences and comprehend the positive impact they have on the learning journeys of others.</w:t>
      </w:r>
    </w:p>
    <w:p w:rsidR="00000000" w:rsidDel="00000000" w:rsidP="00000000" w:rsidRDefault="00000000" w:rsidRPr="00000000" w14:paraId="00000075">
      <w:pPr>
        <w:spacing w:after="0" w:line="48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New curriculum for Wales uses (SEL) as an integral part of its implementation. Wales is built around four overarching purposes, These purposes explicitly acknowledge the importance of developing students' emotional and social well-being, in addition to academic knowledge and skills. An example of this would be linking (SEL) to the purpose “Healthy, Confident individuals” where the Welsh Government (2020) label social and emotional well-being as ‘fundamental’ in this area.</w:t>
      </w:r>
    </w:p>
    <w:p w:rsidR="00000000" w:rsidDel="00000000" w:rsidP="00000000" w:rsidRDefault="00000000" w:rsidRPr="00000000" w14:paraId="0000007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One aspect of the SEL curriculum focuses on self-regulation. This process could help all students, including Pupil A, develop the skills to manage their emotions and interact positively with others. (Gonzalez, 2020) Some techniques that could be beneficial would be:</w:t>
      </w:r>
    </w:p>
    <w:p w:rsidR="00000000" w:rsidDel="00000000" w:rsidP="00000000" w:rsidRDefault="00000000" w:rsidRPr="00000000" w14:paraId="0000007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Self-regulation: Mindfulness</w:t>
      </w:r>
    </w:p>
    <w:p w:rsidR="00000000" w:rsidDel="00000000" w:rsidP="00000000" w:rsidRDefault="00000000" w:rsidRPr="00000000" w14:paraId="0000007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Many educational institutions have adopted the inclusion of mindfulness practices as part of their daily schedules. (Sanger, Thierry, and Dorjee, 2018). These strategies aim to enhance students' emotional awareness and cultivate their capacity to remain fully engaged in the present moment. By incorporating techniques such as deep breathing exercises and brief mindfulness sessions into the school day, to enable students to cope more effectively with stress and anxiety. (Ulagammal, and Ramesh. 2023) </w:t>
      </w:r>
    </w:p>
    <w:p w:rsidR="00000000" w:rsidDel="00000000" w:rsidP="00000000" w:rsidRDefault="00000000" w:rsidRPr="00000000" w14:paraId="0000007D">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Within the incident, if Pupil A had been given time to adjust and regulate their emotions through mindfulness and support, disruption to learning may have been less impactful. </w:t>
      </w:r>
    </w:p>
    <w:p w:rsidR="00000000" w:rsidDel="00000000" w:rsidP="00000000" w:rsidRDefault="00000000" w:rsidRPr="00000000" w14:paraId="0000007E">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F">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Teacher Training on Student Well-Being:</w:t>
      </w:r>
    </w:p>
    <w:p w:rsidR="00000000" w:rsidDel="00000000" w:rsidP="00000000" w:rsidRDefault="00000000" w:rsidRPr="00000000" w14:paraId="0000008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After the critical incident was observed and in the days following I was able to view a copy of Pupil A’s one page profile through the class charts school software system. The highlighted area of need consisted of one phrase, ‘Social, Emotional and Behavioural Difficulties.’ (SEBD) Following this, the first bullet statement within the section named: ‘How to support me’ read; ‘Know that I have extremely low self esteem’ the second statement addressed how they struggle with peer relationships. The one page profile can be extremely helpful in terms of personalising each education experience by understanding each student's unique journey. (Foudová, and Slowík, 2017). </w:t>
      </w:r>
    </w:p>
    <w:p w:rsidR="00000000" w:rsidDel="00000000" w:rsidP="00000000" w:rsidRDefault="00000000" w:rsidRPr="00000000" w14:paraId="0000008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providing an informative tool that can save time, and allow for planned strategies to enable pupil centred support. (Welsh Government, 2015)</w:t>
      </w:r>
    </w:p>
    <w:p w:rsidR="00000000" w:rsidDel="00000000" w:rsidP="00000000" w:rsidRDefault="00000000" w:rsidRPr="00000000" w14:paraId="0000008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Some argue that one-page profiles may not adequately address the unique needs of every student, potentially leading to a one size fits all approach which contradicts the pupil centred values. If not done thoughtfully, one-page profiles may also inadvertently stereotype or limit students based on the information presented. (Michvocíková, and Sirotová, no date) Additionally, developing, updating, sharing and actively reading each pupils one-page profile could be time-consuming and unmanageable for educators.</w:t>
      </w:r>
    </w:p>
    <w:p w:rsidR="00000000" w:rsidDel="00000000" w:rsidP="00000000" w:rsidRDefault="00000000" w:rsidRPr="00000000" w14:paraId="0000008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It's important to note that the effectiveness and appropriateness of one-page profiles can vary depending on the context and the needs of individual students. Many of the potential drawbacks can be mitigated through thoughtful implementation and ongoing assessment and refinement of the process. Ultimately, whether one-page profiles are beneficial or not in a specific educational setting may depend on factors such as the school's philosophy, resources, and the needs of the student population.</w:t>
      </w:r>
    </w:p>
    <w:p w:rsidR="00000000" w:rsidDel="00000000" w:rsidP="00000000" w:rsidRDefault="00000000" w:rsidRPr="00000000" w14:paraId="0000008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My recommendation to relate teaching and learning, and how my reflection of the critical incident can be linked to  pedagogy, would be to provide professional development for teachers to recognise signs of emotional distress in students, implementing  effective strategies for supporting well-being and self-regulation.</w:t>
      </w:r>
    </w:p>
    <w:p w:rsidR="00000000" w:rsidDel="00000000" w:rsidP="00000000" w:rsidRDefault="00000000" w:rsidRPr="00000000" w14:paraId="00000089">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combination of these teaching and learning methods can help create a more empathetic, supportive, and inclusive school environment that addresses the critical incident involving Pupil A and promotes the emotional health and well-being of all students. </w:t>
      </w:r>
    </w:p>
    <w:p w:rsidR="00000000" w:rsidDel="00000000" w:rsidP="00000000" w:rsidRDefault="00000000" w:rsidRPr="00000000" w14:paraId="0000008A">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B">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Conclusion, </w:t>
      </w:r>
    </w:p>
    <w:p w:rsidR="00000000" w:rsidDel="00000000" w:rsidP="00000000" w:rsidRDefault="00000000" w:rsidRPr="00000000" w14:paraId="0000008C">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 critical incident involving 'Pupil A' serves as a lens through which we can examine the multifaceted relationship between school uniform policies, emotional well-being, and learning outcomes. Through a comprehensive literature review, we have explored the contrasting perspectives and the impact of uniform policies on students' behaviour, emotions, and academic performance. This review has revealed a complex reality where uniform policies can have both positive and negative consequences, contingent upon various factors and circumstances.</w:t>
      </w:r>
    </w:p>
    <w:p w:rsidR="00000000" w:rsidDel="00000000" w:rsidP="00000000" w:rsidRDefault="00000000" w:rsidRPr="00000000" w14:paraId="0000008E">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critical incident analysis has demonstrated that the enforcement of uniform policies can trigger a range of emotional responses in students, including distress, shame, and defiance. These emotions, as we have seen from the literature review, are intricately linked to physiological responses, which can significantly affect students' ability to engage in their learning environment. The incident of 'Pupil A' vividly illustrates how seemingly minor uniform discrepancies can escalate into significant disruptions to a student's educational experience.</w:t>
      </w:r>
    </w:p>
    <w:p w:rsidR="00000000" w:rsidDel="00000000" w:rsidP="00000000" w:rsidRDefault="00000000" w:rsidRPr="00000000" w14:paraId="0000009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address these issues and promote the emotional well-being of students, I propose a combination of teaching and learning methods, including restorative practices and the integration of Social and Emotional Learning (SEL) into the curriculum. These approaches aim to create a more empathetic and inclusive school environment, where both staff and students are equipped to understand, manage, and support emotional distress effectively.</w:t>
      </w:r>
    </w:p>
    <w:p w:rsidR="00000000" w:rsidDel="00000000" w:rsidP="00000000" w:rsidRDefault="00000000" w:rsidRPr="00000000" w14:paraId="00000092">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broader context, it is essential for schools and policymakers to consider the implications of uniform policies with children's rights at the centre, as highlighted by our literature review. Inconsistencies and ambiguities in these policies can create unnecessary distress and tensions, undermining the fundamental principles of respect, autonomy, and dignity.</w:t>
      </w:r>
    </w:p>
    <w:p w:rsidR="00000000" w:rsidDel="00000000" w:rsidP="00000000" w:rsidRDefault="00000000" w:rsidRPr="00000000" w14:paraId="00000094">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summary, the critical incident of 'Pupil A' sheds light on the intricate interplay between school uniform policies, emotions, and learning outcomes. This work underscores the importance of a holistic and student-centred approach to education, where emotional well-being is not a secondary concern but an integral part of the learning process. By implementing the proposed teaching and learning methods and reconsidering the enforcement of uniform policies, contributions can be made towards a more nurturing and supportive educational environment that empowers students to thrive academically and emotionally.</w:t>
      </w:r>
    </w:p>
    <w:p w:rsidR="00000000" w:rsidDel="00000000" w:rsidP="00000000" w:rsidRDefault="00000000" w:rsidRPr="00000000" w14:paraId="00000096">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sectPr>
      <w:headerReference r:id="rId6" w:type="default"/>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D">
    <w:pPr>
      <w:rPr>
        <w:rFonts w:ascii="Arial" w:cs="Arial" w:eastAsia="Arial" w:hAnsi="Arial"/>
        <w:sz w:val="24"/>
        <w:szCs w:val="24"/>
      </w:rPr>
    </w:pPr>
    <w:r w:rsidDel="00000000" w:rsidR="00000000" w:rsidRPr="00000000">
      <w:rPr>
        <w:rFonts w:ascii="Arial" w:cs="Arial" w:eastAsia="Arial" w:hAnsi="Arial"/>
        <w:sz w:val="24"/>
        <w:szCs w:val="24"/>
        <w:rtl w:val="0"/>
      </w:rPr>
      <w:t xml:space="preserve">Word Count: 4058</w:t>
      <w:tab/>
      <w:tab/>
      <w:tab/>
      <w:tab/>
      <w:tab/>
      <w:tab/>
      <w:tab/>
      <w:tab/>
      <w:tab/>
    </w:r>
    <w:r w:rsidDel="00000000" w:rsidR="00000000" w:rsidRPr="00000000">
      <w:rPr>
        <w:rFonts w:ascii="Arial" w:cs="Arial" w:eastAsia="Arial" w:hAnsi="Arial"/>
        <w:sz w:val="24"/>
        <w:szCs w:val="24"/>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B">
    <w:pPr>
      <w:spacing w:after="0" w:lineRule="auto"/>
      <w:jc w:val="right"/>
      <w:rPr>
        <w:rFonts w:ascii="Arial" w:cs="Arial" w:eastAsia="Arial" w:hAnsi="Arial"/>
        <w:sz w:val="24"/>
        <w:szCs w:val="24"/>
      </w:rPr>
    </w:pPr>
    <w:r w:rsidDel="00000000" w:rsidR="00000000" w:rsidRPr="00000000">
      <w:rPr>
        <w:rFonts w:ascii="Arial" w:cs="Arial" w:eastAsia="Arial" w:hAnsi="Arial"/>
        <w:sz w:val="24"/>
        <w:szCs w:val="24"/>
        <w:rtl w:val="0"/>
      </w:rPr>
      <w:t xml:space="preserve">ECAD6007</w:t>
    </w:r>
  </w:p>
  <w:p w:rsidR="00000000" w:rsidDel="00000000" w:rsidP="00000000" w:rsidRDefault="00000000" w:rsidRPr="00000000" w14:paraId="0000009C">
    <w:pPr>
      <w:spacing w:after="0" w:lineRule="auto"/>
      <w:jc w:val="right"/>
      <w:rPr>
        <w:rFonts w:ascii="Arial" w:cs="Arial" w:eastAsia="Arial" w:hAnsi="Arial"/>
        <w:sz w:val="24"/>
        <w:szCs w:val="24"/>
      </w:rPr>
    </w:pPr>
    <w:r w:rsidDel="00000000" w:rsidR="00000000" w:rsidRPr="00000000">
      <w:rPr>
        <w:rFonts w:ascii="Arial" w:cs="Arial" w:eastAsia="Arial" w:hAnsi="Arial"/>
        <w:sz w:val="24"/>
        <w:szCs w:val="24"/>
        <w:rtl w:val="0"/>
      </w:rPr>
      <w:t xml:space="preserve">2107703 - Hayley O’Malley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