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8969C9" w14:textId="5ED7420D" w:rsidR="00340C4C" w:rsidRPr="003731F0" w:rsidRDefault="00340C4C" w:rsidP="003731F0">
      <w:pPr>
        <w:pStyle w:val="TOCHeading"/>
        <w:jc w:val="center"/>
        <w:rPr>
          <w:rFonts w:ascii="Arial" w:hAnsi="Arial" w:cs="Arial"/>
          <w:sz w:val="22"/>
          <w:szCs w:val="22"/>
        </w:rPr>
      </w:pPr>
      <w:r w:rsidRPr="003731F0">
        <w:rPr>
          <w:rFonts w:ascii="Arial" w:hAnsi="Arial" w:cs="Arial"/>
          <w:noProof/>
          <w:sz w:val="22"/>
          <w:szCs w:val="22"/>
        </w:rPr>
        <w:drawing>
          <wp:anchor distT="0" distB="0" distL="114300" distR="114300" simplePos="0" relativeHeight="251658240" behindDoc="0" locked="0" layoutInCell="1" allowOverlap="1" wp14:anchorId="2B0121BF" wp14:editId="10D1DFB5">
            <wp:simplePos x="0" y="0"/>
            <wp:positionH relativeFrom="margin">
              <wp:posOffset>1483995</wp:posOffset>
            </wp:positionH>
            <wp:positionV relativeFrom="margin">
              <wp:posOffset>85725</wp:posOffset>
            </wp:positionV>
            <wp:extent cx="3172460" cy="1322705"/>
            <wp:effectExtent l="0" t="0" r="2540" b="0"/>
            <wp:wrapSquare wrapText="bothSides"/>
            <wp:docPr id="65065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54709" name="Picture 650654709"/>
                    <pic:cNvPicPr/>
                  </pic:nvPicPr>
                  <pic:blipFill>
                    <a:blip r:embed="rId8"/>
                    <a:stretch>
                      <a:fillRect/>
                    </a:stretch>
                  </pic:blipFill>
                  <pic:spPr>
                    <a:xfrm>
                      <a:off x="0" y="0"/>
                      <a:ext cx="3172460" cy="132270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7280"/>
        <w:tblW w:w="9534" w:type="dxa"/>
        <w:tblCellMar>
          <w:top w:w="108" w:type="dxa"/>
        </w:tblCellMar>
        <w:tblLook w:val="04A0" w:firstRow="1" w:lastRow="0" w:firstColumn="1" w:lastColumn="0" w:noHBand="0" w:noVBand="1"/>
      </w:tblPr>
      <w:tblGrid>
        <w:gridCol w:w="4767"/>
        <w:gridCol w:w="4767"/>
      </w:tblGrid>
      <w:tr w:rsidR="00340C4C" w:rsidRPr="00662C2A" w14:paraId="214C17C2" w14:textId="77777777" w:rsidTr="00A03BA6">
        <w:trPr>
          <w:trHeight w:val="747"/>
        </w:trPr>
        <w:tc>
          <w:tcPr>
            <w:tcW w:w="4767" w:type="dxa"/>
          </w:tcPr>
          <w:p w14:paraId="3A527D7E" w14:textId="77777777" w:rsidR="00340C4C" w:rsidRPr="00A03BA6" w:rsidRDefault="00340C4C" w:rsidP="00A03BA6">
            <w:pPr>
              <w:spacing w:after="200"/>
              <w:jc w:val="center"/>
              <w:rPr>
                <w:rFonts w:cs="Arial"/>
                <w:b/>
                <w:bCs/>
                <w:sz w:val="32"/>
                <w:szCs w:val="32"/>
              </w:rPr>
            </w:pPr>
            <w:r w:rsidRPr="00A03BA6">
              <w:rPr>
                <w:rFonts w:cs="Arial"/>
                <w:b/>
                <w:bCs/>
                <w:sz w:val="32"/>
                <w:szCs w:val="32"/>
              </w:rPr>
              <w:t>Name</w:t>
            </w:r>
          </w:p>
        </w:tc>
        <w:tc>
          <w:tcPr>
            <w:tcW w:w="4767" w:type="dxa"/>
          </w:tcPr>
          <w:p w14:paraId="09A530C1" w14:textId="77777777" w:rsidR="00340C4C" w:rsidRPr="00A03BA6" w:rsidRDefault="00340C4C" w:rsidP="00A03BA6">
            <w:pPr>
              <w:spacing w:after="200"/>
              <w:jc w:val="center"/>
              <w:rPr>
                <w:rFonts w:cs="Arial"/>
                <w:b/>
                <w:bCs/>
                <w:sz w:val="32"/>
                <w:szCs w:val="32"/>
              </w:rPr>
            </w:pPr>
            <w:r w:rsidRPr="00A03BA6">
              <w:rPr>
                <w:rFonts w:cs="Arial"/>
                <w:b/>
                <w:bCs/>
                <w:sz w:val="32"/>
                <w:szCs w:val="32"/>
              </w:rPr>
              <w:t>Dhruvi Maisuriya</w:t>
            </w:r>
          </w:p>
        </w:tc>
      </w:tr>
      <w:tr w:rsidR="00340C4C" w:rsidRPr="00662C2A" w14:paraId="3DCAA7CD" w14:textId="77777777" w:rsidTr="00A03BA6">
        <w:trPr>
          <w:trHeight w:val="747"/>
        </w:trPr>
        <w:tc>
          <w:tcPr>
            <w:tcW w:w="4767" w:type="dxa"/>
          </w:tcPr>
          <w:p w14:paraId="7F38376D" w14:textId="5D9197A5" w:rsidR="00340C4C" w:rsidRPr="00A03BA6" w:rsidRDefault="00340C4C" w:rsidP="00A03BA6">
            <w:pPr>
              <w:spacing w:after="200"/>
              <w:jc w:val="center"/>
              <w:rPr>
                <w:rFonts w:cs="Arial"/>
                <w:b/>
                <w:bCs/>
                <w:sz w:val="32"/>
                <w:szCs w:val="32"/>
              </w:rPr>
            </w:pPr>
            <w:r w:rsidRPr="00A03BA6">
              <w:rPr>
                <w:rFonts w:cs="Arial"/>
                <w:b/>
                <w:bCs/>
                <w:sz w:val="32"/>
                <w:szCs w:val="32"/>
              </w:rPr>
              <w:t>Student I’D</w:t>
            </w:r>
          </w:p>
        </w:tc>
        <w:tc>
          <w:tcPr>
            <w:tcW w:w="4767" w:type="dxa"/>
          </w:tcPr>
          <w:p w14:paraId="2AB35B84" w14:textId="1CA5C58B" w:rsidR="00340C4C" w:rsidRPr="00A03BA6" w:rsidRDefault="00584B76" w:rsidP="00A03BA6">
            <w:pPr>
              <w:spacing w:after="200"/>
              <w:jc w:val="center"/>
              <w:rPr>
                <w:rFonts w:cs="Arial"/>
                <w:b/>
                <w:bCs/>
                <w:sz w:val="32"/>
                <w:szCs w:val="32"/>
              </w:rPr>
            </w:pPr>
            <w:r w:rsidRPr="00A03BA6">
              <w:rPr>
                <w:rFonts w:cs="Arial"/>
                <w:b/>
                <w:bCs/>
                <w:sz w:val="32"/>
                <w:szCs w:val="32"/>
              </w:rPr>
              <w:t>2532720</w:t>
            </w:r>
          </w:p>
        </w:tc>
      </w:tr>
      <w:tr w:rsidR="00340C4C" w:rsidRPr="00662C2A" w14:paraId="14CCAF3C" w14:textId="77777777" w:rsidTr="00A03BA6">
        <w:trPr>
          <w:trHeight w:val="769"/>
        </w:trPr>
        <w:tc>
          <w:tcPr>
            <w:tcW w:w="4767" w:type="dxa"/>
          </w:tcPr>
          <w:p w14:paraId="22943CF0" w14:textId="77777777" w:rsidR="00340C4C" w:rsidRPr="00A03BA6" w:rsidRDefault="00340C4C" w:rsidP="00A03BA6">
            <w:pPr>
              <w:spacing w:after="200"/>
              <w:jc w:val="center"/>
              <w:rPr>
                <w:rFonts w:cs="Arial"/>
                <w:b/>
                <w:bCs/>
                <w:sz w:val="32"/>
                <w:szCs w:val="32"/>
              </w:rPr>
            </w:pPr>
            <w:r w:rsidRPr="00A03BA6">
              <w:rPr>
                <w:rFonts w:cs="Arial"/>
                <w:b/>
                <w:bCs/>
                <w:sz w:val="32"/>
                <w:szCs w:val="32"/>
              </w:rPr>
              <w:t>Lecturer Name</w:t>
            </w:r>
          </w:p>
        </w:tc>
        <w:tc>
          <w:tcPr>
            <w:tcW w:w="4767" w:type="dxa"/>
          </w:tcPr>
          <w:p w14:paraId="2BF29862" w14:textId="6F00CF60" w:rsidR="00340C4C" w:rsidRPr="00A03BA6" w:rsidRDefault="00444935" w:rsidP="00A03BA6">
            <w:pPr>
              <w:spacing w:after="200"/>
              <w:jc w:val="center"/>
              <w:rPr>
                <w:rFonts w:cs="Arial"/>
                <w:b/>
                <w:bCs/>
                <w:sz w:val="32"/>
                <w:szCs w:val="32"/>
              </w:rPr>
            </w:pPr>
            <w:r w:rsidRPr="00A03BA6">
              <w:rPr>
                <w:rFonts w:cs="Arial"/>
                <w:b/>
                <w:bCs/>
                <w:sz w:val="32"/>
                <w:szCs w:val="32"/>
              </w:rPr>
              <w:t>Muhammad Aliyu</w:t>
            </w:r>
          </w:p>
        </w:tc>
      </w:tr>
      <w:tr w:rsidR="00340C4C" w:rsidRPr="00662C2A" w14:paraId="50002989" w14:textId="77777777" w:rsidTr="00A03BA6">
        <w:trPr>
          <w:trHeight w:val="747"/>
        </w:trPr>
        <w:tc>
          <w:tcPr>
            <w:tcW w:w="4767" w:type="dxa"/>
          </w:tcPr>
          <w:p w14:paraId="0B6B5D27" w14:textId="29C368D5" w:rsidR="00340C4C" w:rsidRPr="00A03BA6" w:rsidRDefault="00340C4C" w:rsidP="00A03BA6">
            <w:pPr>
              <w:spacing w:after="200"/>
              <w:jc w:val="center"/>
              <w:rPr>
                <w:rFonts w:cs="Arial"/>
                <w:b/>
                <w:bCs/>
                <w:sz w:val="32"/>
                <w:szCs w:val="32"/>
              </w:rPr>
            </w:pPr>
            <w:r w:rsidRPr="00A03BA6">
              <w:rPr>
                <w:rFonts w:cs="Arial"/>
                <w:b/>
                <w:bCs/>
                <w:sz w:val="32"/>
                <w:szCs w:val="32"/>
              </w:rPr>
              <w:t>Module code</w:t>
            </w:r>
          </w:p>
        </w:tc>
        <w:tc>
          <w:tcPr>
            <w:tcW w:w="4767" w:type="dxa"/>
          </w:tcPr>
          <w:p w14:paraId="30E1582B" w14:textId="77777777" w:rsidR="00340C4C" w:rsidRPr="00A03BA6" w:rsidRDefault="00340C4C" w:rsidP="00A03BA6">
            <w:pPr>
              <w:spacing w:after="200"/>
              <w:jc w:val="center"/>
              <w:rPr>
                <w:rFonts w:cs="Arial"/>
                <w:b/>
                <w:bCs/>
                <w:sz w:val="32"/>
                <w:szCs w:val="32"/>
              </w:rPr>
            </w:pPr>
            <w:r w:rsidRPr="00A03BA6">
              <w:rPr>
                <w:rFonts w:cs="Arial"/>
                <w:b/>
                <w:bCs/>
                <w:sz w:val="32"/>
                <w:szCs w:val="32"/>
              </w:rPr>
              <w:t>LCHS7000</w:t>
            </w:r>
          </w:p>
        </w:tc>
      </w:tr>
      <w:tr w:rsidR="00340C4C" w:rsidRPr="00662C2A" w14:paraId="480056BF" w14:textId="77777777" w:rsidTr="00A03BA6">
        <w:trPr>
          <w:trHeight w:val="725"/>
        </w:trPr>
        <w:tc>
          <w:tcPr>
            <w:tcW w:w="4767" w:type="dxa"/>
          </w:tcPr>
          <w:p w14:paraId="31464449" w14:textId="77777777" w:rsidR="00340C4C" w:rsidRPr="00A03BA6" w:rsidRDefault="00340C4C" w:rsidP="00A03BA6">
            <w:pPr>
              <w:spacing w:after="200"/>
              <w:jc w:val="center"/>
              <w:rPr>
                <w:rFonts w:cs="Arial"/>
                <w:b/>
                <w:bCs/>
                <w:sz w:val="32"/>
                <w:szCs w:val="32"/>
              </w:rPr>
            </w:pPr>
            <w:r w:rsidRPr="00A03BA6">
              <w:rPr>
                <w:rFonts w:cs="Arial"/>
                <w:b/>
                <w:bCs/>
                <w:sz w:val="32"/>
                <w:szCs w:val="32"/>
              </w:rPr>
              <w:t>Module Title</w:t>
            </w:r>
          </w:p>
        </w:tc>
        <w:tc>
          <w:tcPr>
            <w:tcW w:w="4767" w:type="dxa"/>
          </w:tcPr>
          <w:p w14:paraId="6FB6845A" w14:textId="77777777" w:rsidR="00340C4C" w:rsidRPr="00A03BA6" w:rsidRDefault="00340C4C" w:rsidP="00A03BA6">
            <w:pPr>
              <w:spacing w:after="200"/>
              <w:jc w:val="center"/>
              <w:rPr>
                <w:rFonts w:cs="Arial"/>
                <w:b/>
                <w:bCs/>
                <w:sz w:val="32"/>
                <w:szCs w:val="32"/>
              </w:rPr>
            </w:pPr>
            <w:r w:rsidRPr="00A03BA6">
              <w:rPr>
                <w:rFonts w:cs="Arial"/>
                <w:b/>
                <w:bCs/>
                <w:sz w:val="32"/>
                <w:szCs w:val="32"/>
              </w:rPr>
              <w:t>Component 2 Analytical Report</w:t>
            </w:r>
          </w:p>
        </w:tc>
      </w:tr>
    </w:tbl>
    <w:p w14:paraId="2EA14508" w14:textId="3F3929E2" w:rsidR="00340C4C" w:rsidRPr="003731F0" w:rsidRDefault="00A03BA6" w:rsidP="00C0408D">
      <w:pPr>
        <w:pStyle w:val="NoSpacing"/>
        <w:rPr>
          <w:rFonts w:eastAsiaTheme="majorEastAsia"/>
          <w:b/>
          <w:bCs/>
          <w:color w:val="365F91" w:themeColor="accent1" w:themeShade="BF"/>
        </w:rPr>
      </w:pPr>
      <w:r>
        <w:rPr>
          <w:noProof/>
        </w:rPr>
        <mc:AlternateContent>
          <mc:Choice Requires="wps">
            <w:drawing>
              <wp:anchor distT="0" distB="0" distL="114300" distR="114300" simplePos="0" relativeHeight="251660288" behindDoc="0" locked="0" layoutInCell="1" allowOverlap="1" wp14:anchorId="0062E0FB" wp14:editId="073EFB4C">
                <wp:simplePos x="0" y="0"/>
                <wp:positionH relativeFrom="column">
                  <wp:posOffset>3033656</wp:posOffset>
                </wp:positionH>
                <wp:positionV relativeFrom="paragraph">
                  <wp:posOffset>1218789</wp:posOffset>
                </wp:positionV>
                <wp:extent cx="2623820" cy="2757245"/>
                <wp:effectExtent l="0" t="0" r="5080" b="0"/>
                <wp:wrapNone/>
                <wp:docPr id="1202265208" name="Text Box 2"/>
                <wp:cNvGraphicFramePr/>
                <a:graphic xmlns:a="http://schemas.openxmlformats.org/drawingml/2006/main">
                  <a:graphicData uri="http://schemas.microsoft.com/office/word/2010/wordprocessingShape">
                    <wps:wsp>
                      <wps:cNvSpPr txBox="1"/>
                      <wps:spPr>
                        <a:xfrm>
                          <a:off x="0" y="0"/>
                          <a:ext cx="2623820" cy="2757245"/>
                        </a:xfrm>
                        <a:prstGeom prst="rect">
                          <a:avLst/>
                        </a:prstGeom>
                        <a:solidFill>
                          <a:schemeClr val="lt1"/>
                        </a:solidFill>
                        <a:ln w="6350">
                          <a:noFill/>
                        </a:ln>
                      </wps:spPr>
                      <wps:txbx>
                        <w:txbxContent>
                          <w:p w14:paraId="7CDC9610" w14:textId="77777777" w:rsidR="00A03BA6" w:rsidRDefault="00A03BA6">
                            <w:pPr>
                              <w:rPr>
                                <w:rFonts w:ascii="Times New Roman" w:hAnsi="Times New Roman" w:cs="Times New Roman"/>
                                <w:b/>
                                <w:bCs/>
                                <w:color w:val="0F243E" w:themeColor="text2" w:themeShade="80"/>
                                <w:sz w:val="40"/>
                                <w:szCs w:val="40"/>
                              </w:rPr>
                            </w:pPr>
                          </w:p>
                          <w:p w14:paraId="6B017A62" w14:textId="163B529A" w:rsidR="00C0408D" w:rsidRPr="00C0408D" w:rsidRDefault="00C0408D">
                            <w:pPr>
                              <w:rPr>
                                <w:rFonts w:ascii="Times New Roman" w:hAnsi="Times New Roman" w:cs="Times New Roman"/>
                                <w:b/>
                                <w:bCs/>
                                <w:color w:val="0F243E" w:themeColor="text2" w:themeShade="80"/>
                                <w:sz w:val="40"/>
                                <w:szCs w:val="40"/>
                              </w:rPr>
                            </w:pPr>
                            <w:r w:rsidRPr="00C0408D">
                              <w:rPr>
                                <w:rFonts w:ascii="Times New Roman" w:hAnsi="Times New Roman" w:cs="Times New Roman"/>
                                <w:b/>
                                <w:bCs/>
                                <w:color w:val="0F243E" w:themeColor="text2" w:themeShade="80"/>
                                <w:sz w:val="40"/>
                                <w:szCs w:val="40"/>
                              </w:rPr>
                              <w:t>Social Epidemiology and Public Health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62E0FB" id="_x0000_t202" coordsize="21600,21600" o:spt="202" path="m,l,21600r21600,l21600,xe">
                <v:stroke joinstyle="miter"/>
                <v:path gradientshapeok="t" o:connecttype="rect"/>
              </v:shapetype>
              <v:shape id="Text Box 2" o:spid="_x0000_s1026" type="#_x0000_t202" style="position:absolute;margin-left:238.85pt;margin-top:95.95pt;width:206.6pt;height:2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" fillcolor="white [3201]" stroked="f" strokeweight=".5pt">
                <v:textbox>
                  <w:txbxContent>
                    <w:p w14:paraId="7CDC9610" w14:textId="77777777" w:rsidR="00A03BA6" w:rsidRDefault="00A03BA6">
                      <w:pPr>
                        <w:rPr>
                          <w:rFonts w:ascii="Times New Roman" w:hAnsi="Times New Roman" w:cs="Times New Roman"/>
                          <w:b/>
                          <w:bCs/>
                          <w:color w:val="0F243E" w:themeColor="text2" w:themeShade="80"/>
                          <w:sz w:val="40"/>
                          <w:szCs w:val="40"/>
                        </w:rPr>
                      </w:pPr>
                    </w:p>
                    <w:p w14:paraId="6B017A62" w14:textId="163B529A" w:rsidR="00C0408D" w:rsidRPr="00C0408D" w:rsidRDefault="00C0408D">
                      <w:pPr>
                        <w:rPr>
                          <w:rFonts w:ascii="Times New Roman" w:hAnsi="Times New Roman" w:cs="Times New Roman"/>
                          <w:b/>
                          <w:bCs/>
                          <w:color w:val="0F243E" w:themeColor="text2" w:themeShade="80"/>
                          <w:sz w:val="40"/>
                          <w:szCs w:val="40"/>
                        </w:rPr>
                      </w:pPr>
                      <w:r w:rsidRPr="00C0408D">
                        <w:rPr>
                          <w:rFonts w:ascii="Times New Roman" w:hAnsi="Times New Roman" w:cs="Times New Roman"/>
                          <w:b/>
                          <w:bCs/>
                          <w:color w:val="0F243E" w:themeColor="text2" w:themeShade="80"/>
                          <w:sz w:val="40"/>
                          <w:szCs w:val="40"/>
                        </w:rPr>
                        <w:t>Social Epidemiology and Public Health Development</w:t>
                      </w:r>
                    </w:p>
                  </w:txbxContent>
                </v:textbox>
              </v:shape>
            </w:pict>
          </mc:Fallback>
        </mc:AlternateContent>
      </w:r>
      <w:r w:rsidR="00C0408D">
        <w:rPr>
          <w:noProof/>
        </w:rPr>
        <mc:AlternateContent>
          <mc:Choice Requires="wps">
            <w:drawing>
              <wp:anchor distT="0" distB="0" distL="114300" distR="114300" simplePos="0" relativeHeight="251661312" behindDoc="0" locked="0" layoutInCell="1" allowOverlap="1" wp14:anchorId="0ADB21DC" wp14:editId="4BDC3D7A">
                <wp:simplePos x="0" y="0"/>
                <wp:positionH relativeFrom="column">
                  <wp:posOffset>2882900</wp:posOffset>
                </wp:positionH>
                <wp:positionV relativeFrom="paragraph">
                  <wp:posOffset>1217967</wp:posOffset>
                </wp:positionV>
                <wp:extent cx="0" cy="2753360"/>
                <wp:effectExtent l="50800" t="25400" r="63500" b="78740"/>
                <wp:wrapNone/>
                <wp:docPr id="1457248569" name="Straight Connector 3"/>
                <wp:cNvGraphicFramePr/>
                <a:graphic xmlns:a="http://schemas.openxmlformats.org/drawingml/2006/main">
                  <a:graphicData uri="http://schemas.microsoft.com/office/word/2010/wordprocessingShape">
                    <wps:wsp>
                      <wps:cNvCnPr/>
                      <wps:spPr>
                        <a:xfrm>
                          <a:off x="0" y="0"/>
                          <a:ext cx="0" cy="2753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22AAF6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7pt,95.9pt" to="227pt,31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" strokecolor="#4f81bd [3204]" strokeweight="2pt">
                <v:shadow on="t" color="black" opacity="24903f" origin=",.5" offset="0,.55556mm"/>
              </v:line>
            </w:pict>
          </mc:Fallback>
        </mc:AlternateContent>
      </w:r>
      <w:r w:rsidR="00C0408D">
        <w:rPr>
          <w:noProof/>
        </w:rPr>
        <w:drawing>
          <wp:anchor distT="0" distB="0" distL="114300" distR="114300" simplePos="0" relativeHeight="251659264" behindDoc="0" locked="0" layoutInCell="1" allowOverlap="1" wp14:anchorId="7B0FCD11" wp14:editId="444AE38D">
            <wp:simplePos x="0" y="0"/>
            <wp:positionH relativeFrom="margin">
              <wp:posOffset>538480</wp:posOffset>
            </wp:positionH>
            <wp:positionV relativeFrom="margin">
              <wp:posOffset>1764067</wp:posOffset>
            </wp:positionV>
            <wp:extent cx="1947545" cy="2753360"/>
            <wp:effectExtent l="0" t="0" r="0" b="2540"/>
            <wp:wrapSquare wrapText="bothSides"/>
            <wp:docPr id="14805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0323" name="Picture 148050323"/>
                    <pic:cNvPicPr/>
                  </pic:nvPicPr>
                  <pic:blipFill>
                    <a:blip r:embed="rId9"/>
                    <a:stretch>
                      <a:fillRect/>
                    </a:stretch>
                  </pic:blipFill>
                  <pic:spPr>
                    <a:xfrm>
                      <a:off x="0" y="0"/>
                      <a:ext cx="1947545" cy="2753360"/>
                    </a:xfrm>
                    <a:prstGeom prst="rect">
                      <a:avLst/>
                    </a:prstGeom>
                  </pic:spPr>
                </pic:pic>
              </a:graphicData>
            </a:graphic>
          </wp:anchor>
        </w:drawing>
      </w:r>
      <w:r w:rsidR="00340C4C" w:rsidRPr="003731F0">
        <w:br w:type="page"/>
      </w:r>
    </w:p>
    <w:sdt>
      <w:sdtPr>
        <w:rPr>
          <w:rFonts w:ascii="Arial" w:eastAsia="Arial" w:hAnsi="Arial" w:cs="Arial"/>
          <w:b w:val="0"/>
          <w:bCs w:val="0"/>
          <w:color w:val="auto"/>
          <w:sz w:val="22"/>
          <w:szCs w:val="22"/>
        </w:rPr>
        <w:id w:val="-2015985870"/>
        <w:docPartObj>
          <w:docPartGallery w:val="Table of Contents"/>
          <w:docPartUnique/>
        </w:docPartObj>
      </w:sdtPr>
      <w:sdtEndPr>
        <w:rPr>
          <w:b/>
          <w:bCs/>
          <w:noProof/>
        </w:rPr>
      </w:sdtEndPr>
      <w:sdtContent>
        <w:p w14:paraId="2C695B98" w14:textId="31AC00A3" w:rsidR="00DB6345" w:rsidRPr="00EA4169" w:rsidRDefault="00DB6345" w:rsidP="00EA4169">
          <w:pPr>
            <w:pStyle w:val="TOCHeading"/>
            <w:spacing w:line="276" w:lineRule="auto"/>
            <w:jc w:val="center"/>
            <w:rPr>
              <w:rFonts w:ascii="Arial" w:hAnsi="Arial" w:cs="Arial"/>
              <w:sz w:val="36"/>
              <w:szCs w:val="36"/>
            </w:rPr>
          </w:pPr>
          <w:r w:rsidRPr="00EA4169">
            <w:rPr>
              <w:rFonts w:ascii="Arial" w:hAnsi="Arial" w:cs="Arial"/>
              <w:sz w:val="36"/>
              <w:szCs w:val="36"/>
            </w:rPr>
            <w:t>Table of Contents</w:t>
          </w:r>
        </w:p>
        <w:p w14:paraId="021D87D2" w14:textId="437A724B" w:rsidR="00EA4169" w:rsidRPr="00EA4169" w:rsidRDefault="00DB6345" w:rsidP="00EA4169">
          <w:pPr>
            <w:pStyle w:val="TOC1"/>
            <w:spacing w:line="276" w:lineRule="auto"/>
            <w:rPr>
              <w:rFonts w:eastAsiaTheme="minorEastAsia"/>
              <w:i w:val="0"/>
              <w:iCs w:val="0"/>
              <w:noProof/>
              <w:kern w:val="2"/>
              <w:lang w:val="en-GB" w:eastAsia="en-GB"/>
              <w14:ligatures w14:val="standardContextual"/>
            </w:rPr>
          </w:pPr>
          <w:r w:rsidRPr="00EA4169">
            <w:rPr>
              <w:i w:val="0"/>
              <w:iCs w:val="0"/>
            </w:rPr>
            <w:fldChar w:fldCharType="begin"/>
          </w:r>
          <w:r w:rsidRPr="00EA4169">
            <w:rPr>
              <w:i w:val="0"/>
              <w:iCs w:val="0"/>
            </w:rPr>
            <w:instrText xml:space="preserve"> TOC \o "1-3" \h \z \u </w:instrText>
          </w:r>
          <w:r w:rsidRPr="00EA4169">
            <w:rPr>
              <w:i w:val="0"/>
              <w:iCs w:val="0"/>
            </w:rPr>
            <w:fldChar w:fldCharType="separate"/>
          </w:r>
          <w:hyperlink w:anchor="_Toc237995316" w:history="1">
            <w:r w:rsidR="00EA4169" w:rsidRPr="00EA4169">
              <w:rPr>
                <w:rStyle w:val="Hyperlink"/>
                <w:rFonts w:ascii="Arial" w:hAnsi="Arial" w:cs="Arial"/>
                <w:i w:val="0"/>
                <w:iCs w:val="0"/>
                <w:noProof/>
              </w:rPr>
              <w:t>TASK 1</w:t>
            </w:r>
            <w:r w:rsidR="00EA4169" w:rsidRPr="00EA4169">
              <w:rPr>
                <w:i w:val="0"/>
                <w:iCs w:val="0"/>
                <w:noProof/>
                <w:webHidden/>
              </w:rPr>
              <w:tab/>
            </w:r>
            <w:r w:rsidR="00EA4169" w:rsidRPr="00EA4169">
              <w:rPr>
                <w:i w:val="0"/>
                <w:iCs w:val="0"/>
                <w:noProof/>
                <w:webHidden/>
              </w:rPr>
              <w:fldChar w:fldCharType="begin"/>
            </w:r>
            <w:r w:rsidR="00EA4169" w:rsidRPr="00EA4169">
              <w:rPr>
                <w:i w:val="0"/>
                <w:iCs w:val="0"/>
                <w:noProof/>
                <w:webHidden/>
              </w:rPr>
              <w:instrText xml:space="preserve"> PAGEREF _Toc237995316 \h </w:instrText>
            </w:r>
            <w:r w:rsidR="00EA4169" w:rsidRPr="00EA4169">
              <w:rPr>
                <w:i w:val="0"/>
                <w:iCs w:val="0"/>
                <w:noProof/>
                <w:webHidden/>
              </w:rPr>
            </w:r>
            <w:r w:rsidR="00EA4169" w:rsidRPr="00EA4169">
              <w:rPr>
                <w:i w:val="0"/>
                <w:iCs w:val="0"/>
                <w:noProof/>
                <w:webHidden/>
              </w:rPr>
              <w:fldChar w:fldCharType="separate"/>
            </w:r>
            <w:r w:rsidR="00EA4169" w:rsidRPr="00EA4169">
              <w:rPr>
                <w:i w:val="0"/>
                <w:iCs w:val="0"/>
                <w:noProof/>
                <w:webHidden/>
              </w:rPr>
              <w:t>3</w:t>
            </w:r>
            <w:r w:rsidR="00EA4169" w:rsidRPr="00EA4169">
              <w:rPr>
                <w:i w:val="0"/>
                <w:iCs w:val="0"/>
                <w:noProof/>
                <w:webHidden/>
              </w:rPr>
              <w:fldChar w:fldCharType="end"/>
            </w:r>
          </w:hyperlink>
        </w:p>
        <w:p w14:paraId="41F03245" w14:textId="778D6362"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17" w:history="1">
            <w:r w:rsidRPr="00EA4169">
              <w:rPr>
                <w:rStyle w:val="Hyperlink"/>
                <w:rFonts w:ascii="Arial" w:hAnsi="Arial" w:cs="Arial"/>
                <w:i w:val="0"/>
                <w:iCs w:val="0"/>
                <w:noProof/>
              </w:rPr>
              <w:t>DISABILITY AND HEALTH INEQUALITY IN THE UK: A SOCIAL EPIDEMIOLOGICAL ANALYSIS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_Toc237995317 \h </w:instrText>
            </w:r>
            <w:r w:rsidRPr="00EA4169">
              <w:rPr>
                <w:i w:val="0"/>
                <w:iCs w:val="0"/>
                <w:noProof/>
                <w:webHidden/>
              </w:rPr>
            </w:r>
            <w:r w:rsidRPr="00EA4169">
              <w:rPr>
                <w:i w:val="0"/>
                <w:iCs w:val="0"/>
                <w:noProof/>
                <w:webHidden/>
              </w:rPr>
              <w:fldChar w:fldCharType="separate"/>
            </w:r>
            <w:r w:rsidRPr="00EA4169">
              <w:rPr>
                <w:i w:val="0"/>
                <w:iCs w:val="0"/>
                <w:noProof/>
                <w:webHidden/>
              </w:rPr>
              <w:t>3</w:t>
            </w:r>
            <w:r w:rsidRPr="00EA4169">
              <w:rPr>
                <w:i w:val="0"/>
                <w:iCs w:val="0"/>
                <w:noProof/>
                <w:webHidden/>
              </w:rPr>
              <w:fldChar w:fldCharType="end"/>
            </w:r>
          </w:hyperlink>
        </w:p>
        <w:p w14:paraId="36C556A3" w14:textId="2B4E559B"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18" w:history="1">
            <w:r w:rsidRPr="00EA4169">
              <w:rPr>
                <w:rStyle w:val="Hyperlink"/>
                <w:noProof/>
              </w:rPr>
              <w:t>1.1 INTRODUCTION</w:t>
            </w:r>
            <w:r w:rsidRPr="00EA4169">
              <w:rPr>
                <w:noProof/>
                <w:webHidden/>
              </w:rPr>
              <w:tab/>
            </w:r>
            <w:r w:rsidRPr="00EA4169">
              <w:rPr>
                <w:noProof/>
                <w:webHidden/>
              </w:rPr>
              <w:fldChar w:fldCharType="begin"/>
            </w:r>
            <w:r w:rsidRPr="00EA4169">
              <w:rPr>
                <w:noProof/>
                <w:webHidden/>
              </w:rPr>
              <w:instrText xml:space="preserve"> PAGEREF _Toc237995318 \h </w:instrText>
            </w:r>
            <w:r w:rsidRPr="00EA4169">
              <w:rPr>
                <w:noProof/>
                <w:webHidden/>
              </w:rPr>
            </w:r>
            <w:r w:rsidRPr="00EA4169">
              <w:rPr>
                <w:noProof/>
                <w:webHidden/>
              </w:rPr>
              <w:fldChar w:fldCharType="separate"/>
            </w:r>
            <w:r w:rsidRPr="00EA4169">
              <w:rPr>
                <w:noProof/>
                <w:webHidden/>
              </w:rPr>
              <w:t>3</w:t>
            </w:r>
            <w:r w:rsidRPr="00EA4169">
              <w:rPr>
                <w:noProof/>
                <w:webHidden/>
              </w:rPr>
              <w:fldChar w:fldCharType="end"/>
            </w:r>
          </w:hyperlink>
        </w:p>
        <w:p w14:paraId="4B998654" w14:textId="0E54136D"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19" w:history="1">
            <w:r w:rsidRPr="00EA4169">
              <w:rPr>
                <w:rStyle w:val="Hyperlink"/>
                <w:noProof/>
              </w:rPr>
              <w:t>1.2 Contextual Background and Underlying Factors</w:t>
            </w:r>
            <w:r w:rsidRPr="00EA4169">
              <w:rPr>
                <w:noProof/>
                <w:webHidden/>
              </w:rPr>
              <w:tab/>
            </w:r>
            <w:r w:rsidRPr="00EA4169">
              <w:rPr>
                <w:noProof/>
                <w:webHidden/>
              </w:rPr>
              <w:fldChar w:fldCharType="begin"/>
            </w:r>
            <w:r w:rsidRPr="00EA4169">
              <w:rPr>
                <w:noProof/>
                <w:webHidden/>
              </w:rPr>
              <w:instrText xml:space="preserve"> PAGEREF _Toc237995319 \h </w:instrText>
            </w:r>
            <w:r w:rsidRPr="00EA4169">
              <w:rPr>
                <w:noProof/>
                <w:webHidden/>
              </w:rPr>
            </w:r>
            <w:r w:rsidRPr="00EA4169">
              <w:rPr>
                <w:noProof/>
                <w:webHidden/>
              </w:rPr>
              <w:fldChar w:fldCharType="separate"/>
            </w:r>
            <w:r w:rsidRPr="00EA4169">
              <w:rPr>
                <w:noProof/>
                <w:webHidden/>
              </w:rPr>
              <w:t>3</w:t>
            </w:r>
            <w:r w:rsidRPr="00EA4169">
              <w:rPr>
                <w:noProof/>
                <w:webHidden/>
              </w:rPr>
              <w:fldChar w:fldCharType="end"/>
            </w:r>
          </w:hyperlink>
        </w:p>
        <w:p w14:paraId="5BC3198F" w14:textId="42E4DB9C" w:rsidR="00EA4169" w:rsidRPr="00EA4169" w:rsidRDefault="00EA4169" w:rsidP="00EA4169">
          <w:pPr>
            <w:pStyle w:val="TOC3"/>
            <w:tabs>
              <w:tab w:val="right" w:leader="dot" w:pos="9350"/>
            </w:tabs>
            <w:spacing w:line="276" w:lineRule="auto"/>
            <w:rPr>
              <w:rFonts w:eastAsiaTheme="minorEastAsia"/>
              <w:b/>
              <w:bCs/>
              <w:noProof/>
              <w:kern w:val="2"/>
              <w:sz w:val="24"/>
              <w:szCs w:val="24"/>
              <w:lang w:val="en-GB" w:eastAsia="en-GB"/>
              <w14:ligatures w14:val="standardContextual"/>
            </w:rPr>
          </w:pPr>
          <w:hyperlink w:anchor="_Toc237995320" w:history="1">
            <w:r w:rsidRPr="00EA4169">
              <w:rPr>
                <w:rStyle w:val="Hyperlink"/>
                <w:b/>
                <w:bCs/>
                <w:noProof/>
              </w:rPr>
              <w:t>1.2.1 Health issues</w:t>
            </w:r>
            <w:r w:rsidRPr="00EA4169">
              <w:rPr>
                <w:b/>
                <w:bCs/>
                <w:noProof/>
                <w:webHidden/>
              </w:rPr>
              <w:tab/>
            </w:r>
            <w:r w:rsidRPr="00EA4169">
              <w:rPr>
                <w:b/>
                <w:bCs/>
                <w:noProof/>
                <w:webHidden/>
              </w:rPr>
              <w:fldChar w:fldCharType="begin"/>
            </w:r>
            <w:r w:rsidRPr="00EA4169">
              <w:rPr>
                <w:b/>
                <w:bCs/>
                <w:noProof/>
                <w:webHidden/>
              </w:rPr>
              <w:instrText xml:space="preserve"> PAGEREF _Toc237995320 \h </w:instrText>
            </w:r>
            <w:r w:rsidRPr="00EA4169">
              <w:rPr>
                <w:b/>
                <w:bCs/>
                <w:noProof/>
                <w:webHidden/>
              </w:rPr>
            </w:r>
            <w:r w:rsidRPr="00EA4169">
              <w:rPr>
                <w:b/>
                <w:bCs/>
                <w:noProof/>
                <w:webHidden/>
              </w:rPr>
              <w:fldChar w:fldCharType="separate"/>
            </w:r>
            <w:r w:rsidRPr="00EA4169">
              <w:rPr>
                <w:b/>
                <w:bCs/>
                <w:noProof/>
                <w:webHidden/>
              </w:rPr>
              <w:t>4</w:t>
            </w:r>
            <w:r w:rsidRPr="00EA4169">
              <w:rPr>
                <w:b/>
                <w:bCs/>
                <w:noProof/>
                <w:webHidden/>
              </w:rPr>
              <w:fldChar w:fldCharType="end"/>
            </w:r>
          </w:hyperlink>
        </w:p>
        <w:p w14:paraId="66B86301" w14:textId="3764425A" w:rsidR="00EA4169" w:rsidRPr="00EA4169" w:rsidRDefault="00EA4169" w:rsidP="00EA4169">
          <w:pPr>
            <w:pStyle w:val="TOC3"/>
            <w:tabs>
              <w:tab w:val="right" w:leader="dot" w:pos="9350"/>
            </w:tabs>
            <w:spacing w:line="276" w:lineRule="auto"/>
            <w:rPr>
              <w:rFonts w:eastAsiaTheme="minorEastAsia"/>
              <w:b/>
              <w:bCs/>
              <w:noProof/>
              <w:kern w:val="2"/>
              <w:sz w:val="24"/>
              <w:szCs w:val="24"/>
              <w:lang w:val="en-GB" w:eastAsia="en-GB"/>
              <w14:ligatures w14:val="standardContextual"/>
            </w:rPr>
          </w:pPr>
          <w:hyperlink w:anchor="_Toc237995321" w:history="1">
            <w:r w:rsidRPr="00EA4169">
              <w:rPr>
                <w:rStyle w:val="Hyperlink"/>
                <w:b/>
                <w:bCs/>
                <w:noProof/>
              </w:rPr>
              <w:t>1.2.2 Social issues</w:t>
            </w:r>
            <w:r w:rsidRPr="00EA4169">
              <w:rPr>
                <w:b/>
                <w:bCs/>
                <w:noProof/>
                <w:webHidden/>
              </w:rPr>
              <w:tab/>
            </w:r>
            <w:r w:rsidRPr="00EA4169">
              <w:rPr>
                <w:b/>
                <w:bCs/>
                <w:noProof/>
                <w:webHidden/>
              </w:rPr>
              <w:fldChar w:fldCharType="begin"/>
            </w:r>
            <w:r w:rsidRPr="00EA4169">
              <w:rPr>
                <w:b/>
                <w:bCs/>
                <w:noProof/>
                <w:webHidden/>
              </w:rPr>
              <w:instrText xml:space="preserve"> PAGEREF _Toc237995321 \h </w:instrText>
            </w:r>
            <w:r w:rsidRPr="00EA4169">
              <w:rPr>
                <w:b/>
                <w:bCs/>
                <w:noProof/>
                <w:webHidden/>
              </w:rPr>
            </w:r>
            <w:r w:rsidRPr="00EA4169">
              <w:rPr>
                <w:b/>
                <w:bCs/>
                <w:noProof/>
                <w:webHidden/>
              </w:rPr>
              <w:fldChar w:fldCharType="separate"/>
            </w:r>
            <w:r w:rsidRPr="00EA4169">
              <w:rPr>
                <w:b/>
                <w:bCs/>
                <w:noProof/>
                <w:webHidden/>
              </w:rPr>
              <w:t>5</w:t>
            </w:r>
            <w:r w:rsidRPr="00EA4169">
              <w:rPr>
                <w:b/>
                <w:bCs/>
                <w:noProof/>
                <w:webHidden/>
              </w:rPr>
              <w:fldChar w:fldCharType="end"/>
            </w:r>
          </w:hyperlink>
        </w:p>
        <w:p w14:paraId="4ABB1852" w14:textId="19451358"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22" w:history="1">
            <w:r w:rsidRPr="00EA4169">
              <w:rPr>
                <w:rStyle w:val="Hyperlink"/>
                <w:noProof/>
              </w:rPr>
              <w:t>1.3 National Response to Reduce Health Inequalities</w:t>
            </w:r>
            <w:r w:rsidRPr="00EA4169">
              <w:rPr>
                <w:noProof/>
                <w:webHidden/>
              </w:rPr>
              <w:tab/>
            </w:r>
            <w:r w:rsidRPr="00EA4169">
              <w:rPr>
                <w:noProof/>
                <w:webHidden/>
              </w:rPr>
              <w:fldChar w:fldCharType="begin"/>
            </w:r>
            <w:r w:rsidRPr="00EA4169">
              <w:rPr>
                <w:noProof/>
                <w:webHidden/>
              </w:rPr>
              <w:instrText xml:space="preserve"> PAGEREF _Toc237995322 \h </w:instrText>
            </w:r>
            <w:r w:rsidRPr="00EA4169">
              <w:rPr>
                <w:noProof/>
                <w:webHidden/>
              </w:rPr>
            </w:r>
            <w:r w:rsidRPr="00EA4169">
              <w:rPr>
                <w:noProof/>
                <w:webHidden/>
              </w:rPr>
              <w:fldChar w:fldCharType="separate"/>
            </w:r>
            <w:r w:rsidRPr="00EA4169">
              <w:rPr>
                <w:noProof/>
                <w:webHidden/>
              </w:rPr>
              <w:t>6</w:t>
            </w:r>
            <w:r w:rsidRPr="00EA4169">
              <w:rPr>
                <w:noProof/>
                <w:webHidden/>
              </w:rPr>
              <w:fldChar w:fldCharType="end"/>
            </w:r>
          </w:hyperlink>
        </w:p>
        <w:p w14:paraId="06A0DE67" w14:textId="53095494"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23" w:history="1">
            <w:r w:rsidRPr="00EA4169">
              <w:rPr>
                <w:rStyle w:val="Hyperlink"/>
                <w:rFonts w:ascii="Arial" w:hAnsi="Arial" w:cs="Arial"/>
                <w:noProof/>
              </w:rPr>
              <w:t>1.4 National Response – NHS Core20PLUS5</w:t>
            </w:r>
            <w:r w:rsidRPr="00EA4169">
              <w:rPr>
                <w:noProof/>
                <w:webHidden/>
              </w:rPr>
              <w:tab/>
            </w:r>
            <w:r w:rsidRPr="00EA4169">
              <w:rPr>
                <w:noProof/>
                <w:webHidden/>
              </w:rPr>
              <w:fldChar w:fldCharType="begin"/>
            </w:r>
            <w:r w:rsidRPr="00EA4169">
              <w:rPr>
                <w:noProof/>
                <w:webHidden/>
              </w:rPr>
              <w:instrText xml:space="preserve"> PAGEREF _Toc237995323 \h </w:instrText>
            </w:r>
            <w:r w:rsidRPr="00EA4169">
              <w:rPr>
                <w:noProof/>
                <w:webHidden/>
              </w:rPr>
            </w:r>
            <w:r w:rsidRPr="00EA4169">
              <w:rPr>
                <w:noProof/>
                <w:webHidden/>
              </w:rPr>
              <w:fldChar w:fldCharType="separate"/>
            </w:r>
            <w:r w:rsidRPr="00EA4169">
              <w:rPr>
                <w:noProof/>
                <w:webHidden/>
              </w:rPr>
              <w:t>6</w:t>
            </w:r>
            <w:r w:rsidRPr="00EA4169">
              <w:rPr>
                <w:noProof/>
                <w:webHidden/>
              </w:rPr>
              <w:fldChar w:fldCharType="end"/>
            </w:r>
          </w:hyperlink>
        </w:p>
        <w:p w14:paraId="6480DC60" w14:textId="6D667226"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24" w:history="1">
            <w:r w:rsidRPr="00EA4169">
              <w:rPr>
                <w:rStyle w:val="Hyperlink"/>
                <w:rFonts w:ascii="Arial" w:hAnsi="Arial" w:cs="Arial"/>
                <w:noProof/>
              </w:rPr>
              <w:t>1.5 Organizations that Support the Chosen Group</w:t>
            </w:r>
            <w:r w:rsidRPr="00EA4169">
              <w:rPr>
                <w:noProof/>
                <w:webHidden/>
              </w:rPr>
              <w:tab/>
            </w:r>
            <w:r w:rsidRPr="00EA4169">
              <w:rPr>
                <w:noProof/>
                <w:webHidden/>
              </w:rPr>
              <w:fldChar w:fldCharType="begin"/>
            </w:r>
            <w:r w:rsidRPr="00EA4169">
              <w:rPr>
                <w:noProof/>
                <w:webHidden/>
              </w:rPr>
              <w:instrText xml:space="preserve"> PAGEREF _Toc237995324 \h </w:instrText>
            </w:r>
            <w:r w:rsidRPr="00EA4169">
              <w:rPr>
                <w:noProof/>
                <w:webHidden/>
              </w:rPr>
            </w:r>
            <w:r w:rsidRPr="00EA4169">
              <w:rPr>
                <w:noProof/>
                <w:webHidden/>
              </w:rPr>
              <w:fldChar w:fldCharType="separate"/>
            </w:r>
            <w:r w:rsidRPr="00EA4169">
              <w:rPr>
                <w:noProof/>
                <w:webHidden/>
              </w:rPr>
              <w:t>7</w:t>
            </w:r>
            <w:r w:rsidRPr="00EA4169">
              <w:rPr>
                <w:noProof/>
                <w:webHidden/>
              </w:rPr>
              <w:fldChar w:fldCharType="end"/>
            </w:r>
          </w:hyperlink>
        </w:p>
        <w:p w14:paraId="3E93293D" w14:textId="493434A2"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25" w:history="1">
            <w:r w:rsidRPr="00EA4169">
              <w:rPr>
                <w:rStyle w:val="Hyperlink"/>
                <w:noProof/>
              </w:rPr>
              <w:t>1.6 Conclusion</w:t>
            </w:r>
            <w:r w:rsidRPr="00EA4169">
              <w:rPr>
                <w:noProof/>
                <w:webHidden/>
              </w:rPr>
              <w:tab/>
            </w:r>
            <w:r w:rsidRPr="00EA4169">
              <w:rPr>
                <w:noProof/>
                <w:webHidden/>
              </w:rPr>
              <w:fldChar w:fldCharType="begin"/>
            </w:r>
            <w:r w:rsidRPr="00EA4169">
              <w:rPr>
                <w:noProof/>
                <w:webHidden/>
              </w:rPr>
              <w:instrText xml:space="preserve"> PAGEREF _Toc237995325 \h </w:instrText>
            </w:r>
            <w:r w:rsidRPr="00EA4169">
              <w:rPr>
                <w:noProof/>
                <w:webHidden/>
              </w:rPr>
            </w:r>
            <w:r w:rsidRPr="00EA4169">
              <w:rPr>
                <w:noProof/>
                <w:webHidden/>
              </w:rPr>
              <w:fldChar w:fldCharType="separate"/>
            </w:r>
            <w:r w:rsidRPr="00EA4169">
              <w:rPr>
                <w:noProof/>
                <w:webHidden/>
              </w:rPr>
              <w:t>7</w:t>
            </w:r>
            <w:r w:rsidRPr="00EA4169">
              <w:rPr>
                <w:noProof/>
                <w:webHidden/>
              </w:rPr>
              <w:fldChar w:fldCharType="end"/>
            </w:r>
          </w:hyperlink>
        </w:p>
        <w:p w14:paraId="2EA1E540" w14:textId="4BDB9F6D"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26" w:history="1">
            <w:r w:rsidRPr="00EA4169">
              <w:rPr>
                <w:rStyle w:val="Hyperlink"/>
                <w:rFonts w:ascii="Arial" w:hAnsi="Arial" w:cs="Arial"/>
                <w:i w:val="0"/>
                <w:iCs w:val="0"/>
                <w:noProof/>
              </w:rPr>
              <w:t>TASK 2</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_Toc237995326 \h </w:instrText>
            </w:r>
            <w:r w:rsidRPr="00EA4169">
              <w:rPr>
                <w:i w:val="0"/>
                <w:iCs w:val="0"/>
                <w:noProof/>
                <w:webHidden/>
              </w:rPr>
            </w:r>
            <w:r w:rsidRPr="00EA4169">
              <w:rPr>
                <w:i w:val="0"/>
                <w:iCs w:val="0"/>
                <w:noProof/>
                <w:webHidden/>
              </w:rPr>
              <w:fldChar w:fldCharType="separate"/>
            </w:r>
            <w:r w:rsidRPr="00EA4169">
              <w:rPr>
                <w:i w:val="0"/>
                <w:iCs w:val="0"/>
                <w:noProof/>
                <w:webHidden/>
              </w:rPr>
              <w:t>8</w:t>
            </w:r>
            <w:r w:rsidRPr="00EA4169">
              <w:rPr>
                <w:i w:val="0"/>
                <w:iCs w:val="0"/>
                <w:noProof/>
                <w:webHidden/>
              </w:rPr>
              <w:fldChar w:fldCharType="end"/>
            </w:r>
          </w:hyperlink>
        </w:p>
        <w:p w14:paraId="13E484CC" w14:textId="21CBDE99"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27" w:history="1">
            <w:r w:rsidRPr="00EA4169">
              <w:rPr>
                <w:rStyle w:val="Hyperlink"/>
                <w:rFonts w:ascii="Arial" w:hAnsi="Arial" w:cs="Arial"/>
                <w:i w:val="0"/>
                <w:iCs w:val="0"/>
                <w:noProof/>
              </w:rPr>
              <w:t>EPIDEMIOLOGICAL ANALYSIS -PSYCHOSIS AND SCHIZOPHRENIA IN THE LONDON BOROUGH OF NEWHAM</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_Toc237995327 \h </w:instrText>
            </w:r>
            <w:r w:rsidRPr="00EA4169">
              <w:rPr>
                <w:i w:val="0"/>
                <w:iCs w:val="0"/>
                <w:noProof/>
                <w:webHidden/>
              </w:rPr>
            </w:r>
            <w:r w:rsidRPr="00EA4169">
              <w:rPr>
                <w:i w:val="0"/>
                <w:iCs w:val="0"/>
                <w:noProof/>
                <w:webHidden/>
              </w:rPr>
              <w:fldChar w:fldCharType="separate"/>
            </w:r>
            <w:r w:rsidRPr="00EA4169">
              <w:rPr>
                <w:i w:val="0"/>
                <w:iCs w:val="0"/>
                <w:noProof/>
                <w:webHidden/>
              </w:rPr>
              <w:t>8</w:t>
            </w:r>
            <w:r w:rsidRPr="00EA4169">
              <w:rPr>
                <w:i w:val="0"/>
                <w:iCs w:val="0"/>
                <w:noProof/>
                <w:webHidden/>
              </w:rPr>
              <w:fldChar w:fldCharType="end"/>
            </w:r>
          </w:hyperlink>
        </w:p>
        <w:p w14:paraId="40C73098" w14:textId="726FF2FE"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28" w:history="1">
            <w:r w:rsidRPr="00EA4169">
              <w:rPr>
                <w:rStyle w:val="Hyperlink"/>
                <w:rFonts w:ascii="Arial" w:hAnsi="Arial" w:cs="Arial"/>
                <w:i w:val="0"/>
                <w:iCs w:val="0"/>
                <w:noProof/>
              </w:rPr>
              <w:t>2.1 INTRODUCTION</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_Toc237995328 \h </w:instrText>
            </w:r>
            <w:r w:rsidRPr="00EA4169">
              <w:rPr>
                <w:i w:val="0"/>
                <w:iCs w:val="0"/>
                <w:noProof/>
                <w:webHidden/>
              </w:rPr>
            </w:r>
            <w:r w:rsidRPr="00EA4169">
              <w:rPr>
                <w:i w:val="0"/>
                <w:iCs w:val="0"/>
                <w:noProof/>
                <w:webHidden/>
              </w:rPr>
              <w:fldChar w:fldCharType="separate"/>
            </w:r>
            <w:r w:rsidRPr="00EA4169">
              <w:rPr>
                <w:i w:val="0"/>
                <w:iCs w:val="0"/>
                <w:noProof/>
                <w:webHidden/>
              </w:rPr>
              <w:t>8</w:t>
            </w:r>
            <w:r w:rsidRPr="00EA4169">
              <w:rPr>
                <w:i w:val="0"/>
                <w:iCs w:val="0"/>
                <w:noProof/>
                <w:webHidden/>
              </w:rPr>
              <w:fldChar w:fldCharType="end"/>
            </w:r>
          </w:hyperlink>
        </w:p>
        <w:p w14:paraId="34A010AF" w14:textId="1D9DF773"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29" w:history="1">
            <w:r w:rsidRPr="00EA4169">
              <w:rPr>
                <w:rStyle w:val="Hyperlink"/>
                <w:rFonts w:ascii="Arial" w:hAnsi="Arial" w:cs="Arial"/>
                <w:noProof/>
              </w:rPr>
              <w:t>2.1.1 Definition</w:t>
            </w:r>
            <w:r w:rsidRPr="00EA4169">
              <w:rPr>
                <w:noProof/>
                <w:webHidden/>
              </w:rPr>
              <w:tab/>
            </w:r>
            <w:r w:rsidRPr="00EA4169">
              <w:rPr>
                <w:noProof/>
                <w:webHidden/>
              </w:rPr>
              <w:fldChar w:fldCharType="begin"/>
            </w:r>
            <w:r w:rsidRPr="00EA4169">
              <w:rPr>
                <w:noProof/>
                <w:webHidden/>
              </w:rPr>
              <w:instrText xml:space="preserve"> PAGEREF _Toc237995329 \h </w:instrText>
            </w:r>
            <w:r w:rsidRPr="00EA4169">
              <w:rPr>
                <w:noProof/>
                <w:webHidden/>
              </w:rPr>
            </w:r>
            <w:r w:rsidRPr="00EA4169">
              <w:rPr>
                <w:noProof/>
                <w:webHidden/>
              </w:rPr>
              <w:fldChar w:fldCharType="separate"/>
            </w:r>
            <w:r w:rsidRPr="00EA4169">
              <w:rPr>
                <w:noProof/>
                <w:webHidden/>
              </w:rPr>
              <w:t>9</w:t>
            </w:r>
            <w:r w:rsidRPr="00EA4169">
              <w:rPr>
                <w:noProof/>
                <w:webHidden/>
              </w:rPr>
              <w:fldChar w:fldCharType="end"/>
            </w:r>
          </w:hyperlink>
        </w:p>
        <w:p w14:paraId="7BACDEC4" w14:textId="13674809"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30" w:history="1">
            <w:r w:rsidRPr="00EA4169">
              <w:rPr>
                <w:rStyle w:val="Hyperlink"/>
                <w:rFonts w:ascii="Arial" w:hAnsi="Arial" w:cs="Arial"/>
                <w:noProof/>
              </w:rPr>
              <w:t>2.1.2 UK and Worldwide Statistics</w:t>
            </w:r>
            <w:r w:rsidRPr="00EA4169">
              <w:rPr>
                <w:noProof/>
                <w:webHidden/>
              </w:rPr>
              <w:tab/>
            </w:r>
            <w:r w:rsidRPr="00EA4169">
              <w:rPr>
                <w:noProof/>
                <w:webHidden/>
              </w:rPr>
              <w:fldChar w:fldCharType="begin"/>
            </w:r>
            <w:r w:rsidRPr="00EA4169">
              <w:rPr>
                <w:noProof/>
                <w:webHidden/>
              </w:rPr>
              <w:instrText xml:space="preserve"> PAGEREF _Toc237995330 \h </w:instrText>
            </w:r>
            <w:r w:rsidRPr="00EA4169">
              <w:rPr>
                <w:noProof/>
                <w:webHidden/>
              </w:rPr>
            </w:r>
            <w:r w:rsidRPr="00EA4169">
              <w:rPr>
                <w:noProof/>
                <w:webHidden/>
              </w:rPr>
              <w:fldChar w:fldCharType="separate"/>
            </w:r>
            <w:r w:rsidRPr="00EA4169">
              <w:rPr>
                <w:noProof/>
                <w:webHidden/>
              </w:rPr>
              <w:t>9</w:t>
            </w:r>
            <w:r w:rsidRPr="00EA4169">
              <w:rPr>
                <w:noProof/>
                <w:webHidden/>
              </w:rPr>
              <w:fldChar w:fldCharType="end"/>
            </w:r>
          </w:hyperlink>
        </w:p>
        <w:p w14:paraId="31EAF333" w14:textId="37B0478E"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1" w:history="1">
            <w:r w:rsidRPr="00EA4169">
              <w:rPr>
                <w:rStyle w:val="Hyperlink"/>
                <w:i w:val="0"/>
                <w:iCs w:val="0"/>
                <w:noProof/>
              </w:rPr>
              <w:t>2.2 PUBLIC HEALTH MEASURES: THE 3 P'S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_Toc237995331 \h </w:instrText>
            </w:r>
            <w:r w:rsidRPr="00EA4169">
              <w:rPr>
                <w:i w:val="0"/>
                <w:iCs w:val="0"/>
                <w:noProof/>
                <w:webHidden/>
              </w:rPr>
            </w:r>
            <w:r w:rsidRPr="00EA4169">
              <w:rPr>
                <w:i w:val="0"/>
                <w:iCs w:val="0"/>
                <w:noProof/>
                <w:webHidden/>
              </w:rPr>
              <w:fldChar w:fldCharType="separate"/>
            </w:r>
            <w:r w:rsidRPr="00EA4169">
              <w:rPr>
                <w:i w:val="0"/>
                <w:iCs w:val="0"/>
                <w:noProof/>
                <w:webHidden/>
              </w:rPr>
              <w:t>9</w:t>
            </w:r>
            <w:r w:rsidRPr="00EA4169">
              <w:rPr>
                <w:i w:val="0"/>
                <w:iCs w:val="0"/>
                <w:noProof/>
                <w:webHidden/>
              </w:rPr>
              <w:fldChar w:fldCharType="end"/>
            </w:r>
          </w:hyperlink>
        </w:p>
        <w:p w14:paraId="1D80B7E2" w14:textId="5A818E34"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2" w:history="1">
            <w:r w:rsidRPr="00EA4169">
              <w:rPr>
                <w:rStyle w:val="Hyperlink"/>
                <w:i w:val="0"/>
                <w:iCs w:val="0"/>
                <w:noProof/>
              </w:rPr>
              <w:t>2.3 RISK FACTORS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_Toc237995332 \h </w:instrText>
            </w:r>
            <w:r w:rsidRPr="00EA4169">
              <w:rPr>
                <w:i w:val="0"/>
                <w:iCs w:val="0"/>
                <w:noProof/>
                <w:webHidden/>
              </w:rPr>
            </w:r>
            <w:r w:rsidRPr="00EA4169">
              <w:rPr>
                <w:i w:val="0"/>
                <w:iCs w:val="0"/>
                <w:noProof/>
                <w:webHidden/>
              </w:rPr>
              <w:fldChar w:fldCharType="separate"/>
            </w:r>
            <w:r w:rsidRPr="00EA4169">
              <w:rPr>
                <w:i w:val="0"/>
                <w:iCs w:val="0"/>
                <w:noProof/>
                <w:webHidden/>
              </w:rPr>
              <w:t>10</w:t>
            </w:r>
            <w:r w:rsidRPr="00EA4169">
              <w:rPr>
                <w:i w:val="0"/>
                <w:iCs w:val="0"/>
                <w:noProof/>
                <w:webHidden/>
              </w:rPr>
              <w:fldChar w:fldCharType="end"/>
            </w:r>
          </w:hyperlink>
        </w:p>
        <w:p w14:paraId="6E1B1019" w14:textId="2D4F09E0"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3" w:history="1">
            <w:r w:rsidRPr="00EA4169">
              <w:rPr>
                <w:rStyle w:val="Hyperlink"/>
                <w:i w:val="0"/>
                <w:iCs w:val="0"/>
                <w:noProof/>
              </w:rPr>
              <w:t>2.4 EPIDEMIOLOGICAL STUDIES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_Toc237995333 \h </w:instrText>
            </w:r>
            <w:r w:rsidRPr="00EA4169">
              <w:rPr>
                <w:i w:val="0"/>
                <w:iCs w:val="0"/>
                <w:noProof/>
                <w:webHidden/>
              </w:rPr>
            </w:r>
            <w:r w:rsidRPr="00EA4169">
              <w:rPr>
                <w:i w:val="0"/>
                <w:iCs w:val="0"/>
                <w:noProof/>
                <w:webHidden/>
              </w:rPr>
              <w:fldChar w:fldCharType="separate"/>
            </w:r>
            <w:r w:rsidRPr="00EA4169">
              <w:rPr>
                <w:i w:val="0"/>
                <w:iCs w:val="0"/>
                <w:noProof/>
                <w:webHidden/>
              </w:rPr>
              <w:t>10</w:t>
            </w:r>
            <w:r w:rsidRPr="00EA4169">
              <w:rPr>
                <w:i w:val="0"/>
                <w:iCs w:val="0"/>
                <w:noProof/>
                <w:webHidden/>
              </w:rPr>
              <w:fldChar w:fldCharType="end"/>
            </w:r>
          </w:hyperlink>
        </w:p>
        <w:p w14:paraId="1F45755D" w14:textId="01F46641"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34" w:history="1">
            <w:r w:rsidRPr="00EA4169">
              <w:rPr>
                <w:rStyle w:val="Hyperlink"/>
                <w:rFonts w:ascii="Arial" w:hAnsi="Arial" w:cs="Arial"/>
                <w:noProof/>
              </w:rPr>
              <w:t>2.4.1 Population Health Approaches and Strategies</w:t>
            </w:r>
            <w:r w:rsidRPr="00EA4169">
              <w:rPr>
                <w:noProof/>
                <w:webHidden/>
              </w:rPr>
              <w:tab/>
            </w:r>
            <w:r w:rsidRPr="00EA4169">
              <w:rPr>
                <w:noProof/>
                <w:webHidden/>
              </w:rPr>
              <w:fldChar w:fldCharType="begin"/>
            </w:r>
            <w:r w:rsidRPr="00EA4169">
              <w:rPr>
                <w:noProof/>
                <w:webHidden/>
              </w:rPr>
              <w:instrText xml:space="preserve"> PAGEREF _Toc237995334 \h </w:instrText>
            </w:r>
            <w:r w:rsidRPr="00EA4169">
              <w:rPr>
                <w:noProof/>
                <w:webHidden/>
              </w:rPr>
            </w:r>
            <w:r w:rsidRPr="00EA4169">
              <w:rPr>
                <w:noProof/>
                <w:webHidden/>
              </w:rPr>
              <w:fldChar w:fldCharType="separate"/>
            </w:r>
            <w:r w:rsidRPr="00EA4169">
              <w:rPr>
                <w:noProof/>
                <w:webHidden/>
              </w:rPr>
              <w:t>11</w:t>
            </w:r>
            <w:r w:rsidRPr="00EA4169">
              <w:rPr>
                <w:noProof/>
                <w:webHidden/>
              </w:rPr>
              <w:fldChar w:fldCharType="end"/>
            </w:r>
          </w:hyperlink>
        </w:p>
        <w:p w14:paraId="46B42203" w14:textId="561EAA56"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5" w:history="1">
            <w:r w:rsidRPr="00EA4169">
              <w:rPr>
                <w:rStyle w:val="Hyperlink"/>
                <w:i w:val="0"/>
                <w:iCs w:val="0"/>
                <w:noProof/>
              </w:rPr>
              <w:t>2.5 MONITORING AND SURVEILLANCE SYSTEMS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_Toc237995335 \h </w:instrText>
            </w:r>
            <w:r w:rsidRPr="00EA4169">
              <w:rPr>
                <w:i w:val="0"/>
                <w:iCs w:val="0"/>
                <w:noProof/>
                <w:webHidden/>
              </w:rPr>
            </w:r>
            <w:r w:rsidRPr="00EA4169">
              <w:rPr>
                <w:i w:val="0"/>
                <w:iCs w:val="0"/>
                <w:noProof/>
                <w:webHidden/>
              </w:rPr>
              <w:fldChar w:fldCharType="separate"/>
            </w:r>
            <w:r w:rsidRPr="00EA4169">
              <w:rPr>
                <w:i w:val="0"/>
                <w:iCs w:val="0"/>
                <w:noProof/>
                <w:webHidden/>
              </w:rPr>
              <w:t>11</w:t>
            </w:r>
            <w:r w:rsidRPr="00EA4169">
              <w:rPr>
                <w:i w:val="0"/>
                <w:iCs w:val="0"/>
                <w:noProof/>
                <w:webHidden/>
              </w:rPr>
              <w:fldChar w:fldCharType="end"/>
            </w:r>
          </w:hyperlink>
        </w:p>
        <w:p w14:paraId="0789B3E5" w14:textId="5C8E9FFD"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6" w:history="1">
            <w:r w:rsidRPr="00EA4169">
              <w:rPr>
                <w:rStyle w:val="Hyperlink"/>
                <w:rFonts w:ascii="Arial" w:hAnsi="Arial" w:cs="Arial"/>
                <w:i w:val="0"/>
                <w:iCs w:val="0"/>
                <w:noProof/>
              </w:rPr>
              <w:t>2.6 PUBLIC HEALTH IMPACT: SHORT- AND LONG-TERM CONSEQUENCES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_Toc237995336 \h </w:instrText>
            </w:r>
            <w:r w:rsidRPr="00EA4169">
              <w:rPr>
                <w:i w:val="0"/>
                <w:iCs w:val="0"/>
                <w:noProof/>
                <w:webHidden/>
              </w:rPr>
            </w:r>
            <w:r w:rsidRPr="00EA4169">
              <w:rPr>
                <w:i w:val="0"/>
                <w:iCs w:val="0"/>
                <w:noProof/>
                <w:webHidden/>
              </w:rPr>
              <w:fldChar w:fldCharType="separate"/>
            </w:r>
            <w:r w:rsidRPr="00EA4169">
              <w:rPr>
                <w:i w:val="0"/>
                <w:iCs w:val="0"/>
                <w:noProof/>
                <w:webHidden/>
              </w:rPr>
              <w:t>12</w:t>
            </w:r>
            <w:r w:rsidRPr="00EA4169">
              <w:rPr>
                <w:i w:val="0"/>
                <w:iCs w:val="0"/>
                <w:noProof/>
                <w:webHidden/>
              </w:rPr>
              <w:fldChar w:fldCharType="end"/>
            </w:r>
          </w:hyperlink>
        </w:p>
        <w:p w14:paraId="48C713C2" w14:textId="220C15D5" w:rsidR="00EA4169" w:rsidRPr="00EA4169" w:rsidRDefault="00EA4169" w:rsidP="00EA4169">
          <w:pPr>
            <w:pStyle w:val="TOC2"/>
            <w:tabs>
              <w:tab w:val="right" w:leader="dot" w:pos="9350"/>
            </w:tabs>
            <w:spacing w:line="276" w:lineRule="auto"/>
            <w:rPr>
              <w:rFonts w:eastAsiaTheme="minorEastAsia"/>
              <w:noProof/>
              <w:kern w:val="2"/>
              <w:sz w:val="24"/>
              <w:szCs w:val="24"/>
              <w:lang w:val="en-GB" w:eastAsia="en-GB"/>
              <w14:ligatures w14:val="standardContextual"/>
            </w:rPr>
          </w:pPr>
          <w:hyperlink w:anchor="_Toc237995337" w:history="1">
            <w:r w:rsidRPr="00EA4169">
              <w:rPr>
                <w:rStyle w:val="Hyperlink"/>
                <w:rFonts w:ascii="Arial" w:hAnsi="Arial" w:cs="Arial"/>
                <w:noProof/>
              </w:rPr>
              <w:t>2.6.1 Design and Evaluation of a Health Intervention Programme</w:t>
            </w:r>
            <w:r w:rsidRPr="00EA4169">
              <w:rPr>
                <w:noProof/>
                <w:webHidden/>
              </w:rPr>
              <w:tab/>
            </w:r>
            <w:r w:rsidRPr="00EA4169">
              <w:rPr>
                <w:noProof/>
                <w:webHidden/>
              </w:rPr>
              <w:fldChar w:fldCharType="begin"/>
            </w:r>
            <w:r w:rsidRPr="00EA4169">
              <w:rPr>
                <w:noProof/>
                <w:webHidden/>
              </w:rPr>
              <w:instrText xml:space="preserve"> PAGEREF _Toc237995337 \h </w:instrText>
            </w:r>
            <w:r w:rsidRPr="00EA4169">
              <w:rPr>
                <w:noProof/>
                <w:webHidden/>
              </w:rPr>
            </w:r>
            <w:r w:rsidRPr="00EA4169">
              <w:rPr>
                <w:noProof/>
                <w:webHidden/>
              </w:rPr>
              <w:fldChar w:fldCharType="separate"/>
            </w:r>
            <w:r w:rsidRPr="00EA4169">
              <w:rPr>
                <w:noProof/>
                <w:webHidden/>
              </w:rPr>
              <w:t>12</w:t>
            </w:r>
            <w:r w:rsidRPr="00EA4169">
              <w:rPr>
                <w:noProof/>
                <w:webHidden/>
              </w:rPr>
              <w:fldChar w:fldCharType="end"/>
            </w:r>
          </w:hyperlink>
        </w:p>
        <w:p w14:paraId="184DE2D4" w14:textId="6E7527F7"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8" w:history="1">
            <w:r w:rsidRPr="00EA4169">
              <w:rPr>
                <w:rStyle w:val="Hyperlink"/>
                <w:i w:val="0"/>
                <w:iCs w:val="0"/>
                <w:noProof/>
              </w:rPr>
              <w:t>2.7 STRENGTHS AND WEAKNESSES OF THE EPIDEMIOLOGICAL APPROACH</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_Toc237995338 \h </w:instrText>
            </w:r>
            <w:r w:rsidRPr="00EA4169">
              <w:rPr>
                <w:i w:val="0"/>
                <w:iCs w:val="0"/>
                <w:noProof/>
                <w:webHidden/>
              </w:rPr>
            </w:r>
            <w:r w:rsidRPr="00EA4169">
              <w:rPr>
                <w:i w:val="0"/>
                <w:iCs w:val="0"/>
                <w:noProof/>
                <w:webHidden/>
              </w:rPr>
              <w:fldChar w:fldCharType="separate"/>
            </w:r>
            <w:r w:rsidRPr="00EA4169">
              <w:rPr>
                <w:i w:val="0"/>
                <w:iCs w:val="0"/>
                <w:noProof/>
                <w:webHidden/>
              </w:rPr>
              <w:t>13</w:t>
            </w:r>
            <w:r w:rsidRPr="00EA4169">
              <w:rPr>
                <w:i w:val="0"/>
                <w:iCs w:val="0"/>
                <w:noProof/>
                <w:webHidden/>
              </w:rPr>
              <w:fldChar w:fldCharType="end"/>
            </w:r>
          </w:hyperlink>
        </w:p>
        <w:p w14:paraId="7F03A153" w14:textId="38B9E267"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39" w:history="1">
            <w:r w:rsidRPr="00EA4169">
              <w:rPr>
                <w:rStyle w:val="Hyperlink"/>
                <w:i w:val="0"/>
                <w:iCs w:val="0"/>
                <w:noProof/>
              </w:rPr>
              <w:t>2.8 CONCLUSION</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_Toc237995339 \h </w:instrText>
            </w:r>
            <w:r w:rsidRPr="00EA4169">
              <w:rPr>
                <w:i w:val="0"/>
                <w:iCs w:val="0"/>
                <w:noProof/>
                <w:webHidden/>
              </w:rPr>
            </w:r>
            <w:r w:rsidRPr="00EA4169">
              <w:rPr>
                <w:i w:val="0"/>
                <w:iCs w:val="0"/>
                <w:noProof/>
                <w:webHidden/>
              </w:rPr>
              <w:fldChar w:fldCharType="separate"/>
            </w:r>
            <w:r w:rsidRPr="00EA4169">
              <w:rPr>
                <w:i w:val="0"/>
                <w:iCs w:val="0"/>
                <w:noProof/>
                <w:webHidden/>
              </w:rPr>
              <w:t>13</w:t>
            </w:r>
            <w:r w:rsidRPr="00EA4169">
              <w:rPr>
                <w:i w:val="0"/>
                <w:iCs w:val="0"/>
                <w:noProof/>
                <w:webHidden/>
              </w:rPr>
              <w:fldChar w:fldCharType="end"/>
            </w:r>
          </w:hyperlink>
        </w:p>
        <w:p w14:paraId="4950E3D7" w14:textId="072B78C1" w:rsidR="00EA4169" w:rsidRPr="00EA4169" w:rsidRDefault="00EA4169" w:rsidP="00EA4169">
          <w:pPr>
            <w:pStyle w:val="TOC1"/>
            <w:spacing w:line="276" w:lineRule="auto"/>
            <w:rPr>
              <w:rFonts w:eastAsiaTheme="minorEastAsia"/>
              <w:i w:val="0"/>
              <w:iCs w:val="0"/>
              <w:noProof/>
              <w:kern w:val="2"/>
              <w:lang w:val="en-GB" w:eastAsia="en-GB"/>
              <w14:ligatures w14:val="standardContextual"/>
            </w:rPr>
          </w:pPr>
          <w:hyperlink w:anchor="_Toc237995340" w:history="1">
            <w:r w:rsidRPr="00EA4169">
              <w:rPr>
                <w:rStyle w:val="Hyperlink"/>
                <w:i w:val="0"/>
                <w:iCs w:val="0"/>
                <w:noProof/>
              </w:rPr>
              <w:t>REFERENCES</w:t>
            </w:r>
            <w:r w:rsidRPr="00EA4169">
              <w:rPr>
                <w:i w:val="0"/>
                <w:iCs w:val="0"/>
                <w:noProof/>
                <w:webHidden/>
              </w:rPr>
              <w:tab/>
            </w:r>
            <w:r w:rsidRPr="00EA4169">
              <w:rPr>
                <w:i w:val="0"/>
                <w:iCs w:val="0"/>
                <w:noProof/>
                <w:webHidden/>
              </w:rPr>
              <w:fldChar w:fldCharType="begin"/>
            </w:r>
            <w:r w:rsidRPr="00EA4169">
              <w:rPr>
                <w:i w:val="0"/>
                <w:iCs w:val="0"/>
                <w:noProof/>
                <w:webHidden/>
              </w:rPr>
              <w:instrText xml:space="preserve"> PAGEREF _Toc237995340 \h </w:instrText>
            </w:r>
            <w:r w:rsidRPr="00EA4169">
              <w:rPr>
                <w:i w:val="0"/>
                <w:iCs w:val="0"/>
                <w:noProof/>
                <w:webHidden/>
              </w:rPr>
            </w:r>
            <w:r w:rsidRPr="00EA4169">
              <w:rPr>
                <w:i w:val="0"/>
                <w:iCs w:val="0"/>
                <w:noProof/>
                <w:webHidden/>
              </w:rPr>
              <w:fldChar w:fldCharType="separate"/>
            </w:r>
            <w:r w:rsidRPr="00EA4169">
              <w:rPr>
                <w:i w:val="0"/>
                <w:iCs w:val="0"/>
                <w:noProof/>
                <w:webHidden/>
              </w:rPr>
              <w:t>14</w:t>
            </w:r>
            <w:r w:rsidRPr="00EA4169">
              <w:rPr>
                <w:i w:val="0"/>
                <w:iCs w:val="0"/>
                <w:noProof/>
                <w:webHidden/>
              </w:rPr>
              <w:fldChar w:fldCharType="end"/>
            </w:r>
          </w:hyperlink>
        </w:p>
        <w:p w14:paraId="60EB8F3D" w14:textId="3F417E28" w:rsidR="00DB6345" w:rsidRPr="003731F0" w:rsidRDefault="00DB6345" w:rsidP="00EA4169">
          <w:pPr>
            <w:spacing w:line="276" w:lineRule="auto"/>
            <w:rPr>
              <w:rFonts w:cs="Arial"/>
            </w:rPr>
          </w:pPr>
          <w:r w:rsidRPr="00EA4169">
            <w:rPr>
              <w:rFonts w:cs="Arial"/>
              <w:b/>
              <w:bCs/>
              <w:noProof/>
            </w:rPr>
            <w:fldChar w:fldCharType="end"/>
          </w:r>
        </w:p>
      </w:sdtContent>
    </w:sdt>
    <w:p w14:paraId="662A1707" w14:textId="669EA422" w:rsidR="00B32682" w:rsidRPr="00584B76" w:rsidRDefault="00603DED" w:rsidP="00584B76">
      <w:pPr>
        <w:pStyle w:val="Heading1"/>
        <w:jc w:val="center"/>
        <w:rPr>
          <w:rFonts w:ascii="Arial" w:hAnsi="Arial" w:cs="Arial"/>
        </w:rPr>
      </w:pPr>
      <w:bookmarkStart w:id="0" w:name="_Toc237995316"/>
      <w:r w:rsidRPr="00584B76">
        <w:rPr>
          <w:rFonts w:ascii="Arial" w:hAnsi="Arial" w:cs="Arial"/>
        </w:rPr>
        <w:lastRenderedPageBreak/>
        <w:t>TASK 1</w:t>
      </w:r>
      <w:bookmarkEnd w:id="0"/>
    </w:p>
    <w:p w14:paraId="3F7A0E71" w14:textId="08ECA6E8" w:rsidR="009F70BB" w:rsidRPr="00584B76" w:rsidRDefault="00864A8B" w:rsidP="00584B76">
      <w:pPr>
        <w:pStyle w:val="Heading1"/>
        <w:jc w:val="center"/>
        <w:rPr>
          <w:rFonts w:ascii="Arial" w:hAnsi="Arial" w:cs="Arial"/>
        </w:rPr>
      </w:pPr>
      <w:bookmarkStart w:id="1" w:name="_Toc237995317"/>
      <w:r w:rsidRPr="00584B76">
        <w:rPr>
          <w:rFonts w:ascii="Arial" w:hAnsi="Arial" w:cs="Arial"/>
        </w:rPr>
        <w:t>DISABILITY AND HEALTH INEQUALITY IN THE UK: A SOCIAL EPIDEMIOLOGICAL ANALYSIS</w:t>
      </w:r>
      <w:bookmarkEnd w:id="1"/>
    </w:p>
    <w:p w14:paraId="4888D932" w14:textId="146EA2EB" w:rsidR="009F70BB" w:rsidRPr="00584B76" w:rsidRDefault="009F70BB" w:rsidP="00584B76">
      <w:pPr>
        <w:jc w:val="both"/>
        <w:rPr>
          <w:rFonts w:cs="Arial"/>
        </w:rPr>
      </w:pPr>
    </w:p>
    <w:p w14:paraId="261163CC" w14:textId="580F988B" w:rsidR="003731F0" w:rsidRPr="00584B76" w:rsidRDefault="002A59AD" w:rsidP="00584B76">
      <w:pPr>
        <w:pStyle w:val="Heading2"/>
        <w:jc w:val="both"/>
        <w:rPr>
          <w:sz w:val="28"/>
          <w:szCs w:val="28"/>
        </w:rPr>
      </w:pPr>
      <w:bookmarkStart w:id="2" w:name="_Toc237995318"/>
      <w:r w:rsidRPr="00584B76">
        <w:rPr>
          <w:sz w:val="28"/>
          <w:szCs w:val="28"/>
        </w:rPr>
        <w:t xml:space="preserve">1.1 </w:t>
      </w:r>
      <w:r w:rsidR="00B32682" w:rsidRPr="00584B76">
        <w:rPr>
          <w:sz w:val="28"/>
          <w:szCs w:val="28"/>
        </w:rPr>
        <w:t>INTRODUCTION</w:t>
      </w:r>
      <w:bookmarkEnd w:id="2"/>
    </w:p>
    <w:p w14:paraId="40A01D60" w14:textId="1067784C" w:rsidR="00E179EA" w:rsidRPr="00584B76" w:rsidRDefault="00E179EA" w:rsidP="00584B76">
      <w:pPr>
        <w:jc w:val="both"/>
        <w:rPr>
          <w:rFonts w:eastAsiaTheme="majorEastAsia"/>
          <w:color w:val="365F91" w:themeColor="accent1" w:themeShade="BF"/>
        </w:rPr>
      </w:pPr>
      <w:r w:rsidRPr="00584B76">
        <w:t xml:space="preserve">Disability is a major public health, </w:t>
      </w:r>
      <w:r w:rsidR="003731F0" w:rsidRPr="00584B76">
        <w:t>and</w:t>
      </w:r>
      <w:r w:rsidRPr="00584B76">
        <w:t xml:space="preserve"> a health inequality issue, across the United Kingdom. The Equality Act 2010 says disability is a physical or mental impairment that has a substantial and long-term adverse effect on a person’s ability to carry out normal day to day activities (UK Government, 2010). More recently, the Family Resources Survey estimated 16.8 million </w:t>
      </w:r>
      <w:r w:rsidR="003731F0" w:rsidRPr="00584B76">
        <w:t>people,</w:t>
      </w:r>
      <w:r w:rsidRPr="00584B76">
        <w:t xml:space="preserve"> which is about one quarter of the UK population, were disabled in 2023–2024 (DWP, 2025). In that same report, disability prevalence was roughly 24% for working-age adults, about 45% among adults at State Pension age, and around 12% for children (DWP, 2025). It’s also important not to see disability as only an individual medical condition. </w:t>
      </w:r>
    </w:p>
    <w:p w14:paraId="1A3FE6A5" w14:textId="3FE7F49E" w:rsidR="009F70BB" w:rsidRPr="00584B76" w:rsidRDefault="00B32682" w:rsidP="00584B76">
      <w:pPr>
        <w:pStyle w:val="Heading2"/>
        <w:jc w:val="both"/>
        <w:rPr>
          <w:sz w:val="28"/>
          <w:szCs w:val="28"/>
        </w:rPr>
      </w:pPr>
      <w:bookmarkStart w:id="3" w:name="_Toc237995319"/>
      <w:r w:rsidRPr="00584B76">
        <w:rPr>
          <w:sz w:val="28"/>
          <w:szCs w:val="28"/>
        </w:rPr>
        <w:t xml:space="preserve">1.2 </w:t>
      </w:r>
      <w:r w:rsidR="009F70BB" w:rsidRPr="00584B76">
        <w:rPr>
          <w:sz w:val="28"/>
          <w:szCs w:val="28"/>
        </w:rPr>
        <w:t>Contextual Background and Underlying Factors</w:t>
      </w:r>
      <w:bookmarkEnd w:id="3"/>
    </w:p>
    <w:p w14:paraId="154F061F" w14:textId="7FD99BD7" w:rsidR="00E179EA" w:rsidRPr="00584B76" w:rsidRDefault="00E179EA" w:rsidP="00584B76">
      <w:pPr>
        <w:jc w:val="both"/>
      </w:pPr>
      <w:r w:rsidRPr="00584B76">
        <w:t>The following six issues show, in a kind of tangled way, how disability intersects with disease burden as well as wider social determinants. The distinction is important, but not because it’s neat</w:t>
      </w:r>
      <w:r w:rsidR="002A59AD" w:rsidRPr="00584B76">
        <w:t>-</w:t>
      </w:r>
      <w:r w:rsidRPr="00584B76">
        <w:t>health inequalities are not just about differences in how often a disease shows up, no. They also pop up when there is unequal exposure to risk, when prevention and treatment aren’t reachable in the same way for everyone, and when participation in society is affected in unequal ways.</w:t>
      </w:r>
    </w:p>
    <w:p w14:paraId="63802E7D" w14:textId="06D43056" w:rsidR="00B32682" w:rsidRPr="00584B76" w:rsidRDefault="00B32682" w:rsidP="00584B76">
      <w:pPr>
        <w:pStyle w:val="Heading3"/>
        <w:jc w:val="both"/>
        <w:rPr>
          <w:sz w:val="28"/>
          <w:szCs w:val="28"/>
        </w:rPr>
      </w:pPr>
      <w:bookmarkStart w:id="4" w:name="_Toc237995320"/>
      <w:r w:rsidRPr="00584B76">
        <w:rPr>
          <w:sz w:val="28"/>
          <w:szCs w:val="28"/>
        </w:rPr>
        <w:t xml:space="preserve">1.2.1 </w:t>
      </w:r>
      <w:r w:rsidR="00864A8B" w:rsidRPr="00584B76">
        <w:rPr>
          <w:sz w:val="28"/>
          <w:szCs w:val="28"/>
        </w:rPr>
        <w:t>H</w:t>
      </w:r>
      <w:r w:rsidRPr="00584B76">
        <w:rPr>
          <w:sz w:val="28"/>
          <w:szCs w:val="28"/>
        </w:rPr>
        <w:t>ealth issues</w:t>
      </w:r>
      <w:bookmarkEnd w:id="4"/>
    </w:p>
    <w:p w14:paraId="6C5DE131" w14:textId="77777777" w:rsidR="009F70BB" w:rsidRPr="00584B76" w:rsidRDefault="009F70BB" w:rsidP="00584B76">
      <w:pPr>
        <w:pStyle w:val="Heading4"/>
        <w:jc w:val="both"/>
        <w:rPr>
          <w:i w:val="0"/>
          <w:iCs w:val="0"/>
          <w:sz w:val="24"/>
          <w:szCs w:val="24"/>
        </w:rPr>
      </w:pPr>
      <w:r w:rsidRPr="00584B76">
        <w:rPr>
          <w:i w:val="0"/>
          <w:iCs w:val="0"/>
          <w:sz w:val="24"/>
          <w:szCs w:val="24"/>
        </w:rPr>
        <w:t>1. Higher Rates of Mental Illness</w:t>
      </w:r>
    </w:p>
    <w:p w14:paraId="037EB7A2" w14:textId="0DA1B9F4" w:rsidR="00E179EA" w:rsidRPr="00584B76" w:rsidRDefault="00E179EA" w:rsidP="00584B76">
      <w:pPr>
        <w:jc w:val="both"/>
        <w:rPr>
          <w:rFonts w:cs="Arial"/>
        </w:rPr>
      </w:pPr>
      <w:r w:rsidRPr="00584B76">
        <w:rPr>
          <w:rFonts w:cs="Arial"/>
        </w:rPr>
        <w:t xml:space="preserve">Disabled people, for one, seem to face major gaps in mental wellbeing. An ONS (OFFICE FOR NATIONAL ANALYSIS) breakdown showed that 15.1% of disabled people in England said they felt lonely “often or always”, whereas the figure was 3.6% for non-disabled people (ONS, 2021). On top of that, disabled people tend to report worse personal wellbeing and more anxiety than non-disabled people. It is possible these differences, come from things like social exclusion, discrimination, worries about money, unemployment and fewer chances to take part in everyday social life, rather than disability itself, even though it can be hard to separate what causes what. </w:t>
      </w:r>
    </w:p>
    <w:p w14:paraId="374B7C07" w14:textId="45A91B07" w:rsidR="009F70BB" w:rsidRPr="00584B76" w:rsidRDefault="009F70BB" w:rsidP="00584B76">
      <w:pPr>
        <w:pStyle w:val="Heading4"/>
        <w:jc w:val="both"/>
        <w:rPr>
          <w:i w:val="0"/>
          <w:iCs w:val="0"/>
          <w:sz w:val="24"/>
          <w:szCs w:val="24"/>
        </w:rPr>
      </w:pPr>
      <w:r w:rsidRPr="00584B76">
        <w:rPr>
          <w:i w:val="0"/>
          <w:iCs w:val="0"/>
          <w:sz w:val="24"/>
          <w:szCs w:val="24"/>
        </w:rPr>
        <w:lastRenderedPageBreak/>
        <w:t>2. Higher Rates of Obesity and Cardiovascular Risk</w:t>
      </w:r>
    </w:p>
    <w:p w14:paraId="742EE5B3" w14:textId="1EC5C072" w:rsidR="00E179EA" w:rsidRPr="00584B76" w:rsidRDefault="00E179EA" w:rsidP="00584B76">
      <w:pPr>
        <w:jc w:val="both"/>
        <w:rPr>
          <w:rFonts w:cs="Arial"/>
        </w:rPr>
      </w:pPr>
      <w:r w:rsidRPr="00584B76">
        <w:rPr>
          <w:rFonts w:cs="Arial"/>
        </w:rPr>
        <w:t xml:space="preserve">Disabled people often face a higher exposure to risk factors tied to </w:t>
      </w:r>
      <w:r w:rsidR="003731F0" w:rsidRPr="00584B76">
        <w:rPr>
          <w:rFonts w:cs="Arial"/>
        </w:rPr>
        <w:t>non-communicable</w:t>
      </w:r>
      <w:r w:rsidRPr="00584B76">
        <w:rPr>
          <w:rFonts w:cs="Arial"/>
        </w:rPr>
        <w:t xml:space="preserve"> disease stuff. WHO (2023) says that people living with disabilities can have more chance of conditions like obesity, diabetes, stroke and depression, and it’s partly because public health interventions are still too often not properly reachable, or not inclusive enough in practice. In England, ONS analysis has shown big differences in obesity and hypertension depending on disability limitation (ONS, 2022). </w:t>
      </w:r>
    </w:p>
    <w:p w14:paraId="171D8F66" w14:textId="77777777" w:rsidR="003731F0" w:rsidRPr="00584B76" w:rsidRDefault="009F70BB" w:rsidP="00584B76">
      <w:pPr>
        <w:pStyle w:val="Heading4"/>
        <w:jc w:val="both"/>
        <w:rPr>
          <w:i w:val="0"/>
          <w:iCs w:val="0"/>
          <w:sz w:val="24"/>
          <w:szCs w:val="24"/>
        </w:rPr>
      </w:pPr>
      <w:r w:rsidRPr="00584B76">
        <w:rPr>
          <w:i w:val="0"/>
          <w:iCs w:val="0"/>
          <w:sz w:val="24"/>
          <w:szCs w:val="24"/>
        </w:rPr>
        <w:t>3. Premature Mortality and Multimorbidity</w:t>
      </w:r>
    </w:p>
    <w:p w14:paraId="3B2D7864" w14:textId="309CE248" w:rsidR="00E179EA" w:rsidRPr="00584B76" w:rsidRDefault="00E179EA" w:rsidP="00584B76">
      <w:pPr>
        <w:jc w:val="both"/>
        <w:rPr>
          <w:rFonts w:cs="Arial"/>
        </w:rPr>
      </w:pPr>
      <w:r w:rsidRPr="00584B76">
        <w:rPr>
          <w:rFonts w:cs="Arial"/>
        </w:rPr>
        <w:t xml:space="preserve">Premature mortality counts as a serious kind of disability related health inequality. In a systematic review and </w:t>
      </w:r>
      <w:r w:rsidR="003731F0" w:rsidRPr="00584B76">
        <w:rPr>
          <w:rFonts w:cs="Arial"/>
        </w:rPr>
        <w:t>meta-analysis</w:t>
      </w:r>
      <w:r w:rsidRPr="00584B76">
        <w:rPr>
          <w:rFonts w:cs="Arial"/>
        </w:rPr>
        <w:t xml:space="preserve"> in The Lancet Public Health there was a </w:t>
      </w:r>
      <w:r w:rsidR="003731F0" w:rsidRPr="00584B76">
        <w:rPr>
          <w:rFonts w:cs="Arial"/>
        </w:rPr>
        <w:t>clear</w:t>
      </w:r>
      <w:r w:rsidRPr="00584B76">
        <w:rPr>
          <w:rFonts w:cs="Arial"/>
        </w:rPr>
        <w:t xml:space="preserve"> link between disability and higher mortality risk, showing that disabled people face an important disadvantage in dying sooner (Kuper et al., 2024). WHO (2022) also notes that people with disabilities can die well earlier than people without </w:t>
      </w:r>
      <w:r w:rsidR="003731F0" w:rsidRPr="00584B76">
        <w:rPr>
          <w:rFonts w:cs="Arial"/>
        </w:rPr>
        <w:t>disabilities,</w:t>
      </w:r>
      <w:r w:rsidRPr="00584B76">
        <w:rPr>
          <w:rFonts w:cs="Arial"/>
        </w:rPr>
        <w:t xml:space="preserve"> and they may have a larger danger of chronic disease. In England, people with learning disabilities see especially striking gaps in preventive </w:t>
      </w:r>
      <w:r w:rsidR="003731F0" w:rsidRPr="00584B76">
        <w:rPr>
          <w:rFonts w:cs="Arial"/>
        </w:rPr>
        <w:t>healthcare,</w:t>
      </w:r>
      <w:r w:rsidRPr="00584B76">
        <w:rPr>
          <w:rFonts w:cs="Arial"/>
        </w:rPr>
        <w:t xml:space="preserve"> like cancer screening, the handling of obesity, mental healthcare and early diagnosis (Nuffield Trust, 2026). </w:t>
      </w:r>
    </w:p>
    <w:p w14:paraId="763C0448" w14:textId="51C9862E" w:rsidR="00603DED" w:rsidRPr="00584B76" w:rsidRDefault="00603DED" w:rsidP="00584B76">
      <w:pPr>
        <w:pStyle w:val="Heading3"/>
        <w:jc w:val="both"/>
        <w:rPr>
          <w:sz w:val="28"/>
          <w:szCs w:val="28"/>
        </w:rPr>
      </w:pPr>
      <w:bookmarkStart w:id="5" w:name="_Toc237995321"/>
      <w:r w:rsidRPr="00584B76">
        <w:rPr>
          <w:sz w:val="28"/>
          <w:szCs w:val="28"/>
        </w:rPr>
        <w:t xml:space="preserve">1.2.2 </w:t>
      </w:r>
      <w:r w:rsidR="00864A8B" w:rsidRPr="00584B76">
        <w:rPr>
          <w:sz w:val="28"/>
          <w:szCs w:val="28"/>
        </w:rPr>
        <w:t>S</w:t>
      </w:r>
      <w:r w:rsidRPr="00584B76">
        <w:rPr>
          <w:sz w:val="28"/>
          <w:szCs w:val="28"/>
        </w:rPr>
        <w:t>ocial issues</w:t>
      </w:r>
      <w:bookmarkEnd w:id="5"/>
    </w:p>
    <w:p w14:paraId="5D41698F" w14:textId="59C0D6F6" w:rsidR="009F70BB" w:rsidRPr="00584B76" w:rsidRDefault="00603DED" w:rsidP="00584B76">
      <w:pPr>
        <w:pStyle w:val="Heading4"/>
        <w:jc w:val="both"/>
        <w:rPr>
          <w:i w:val="0"/>
          <w:iCs w:val="0"/>
          <w:sz w:val="24"/>
          <w:szCs w:val="24"/>
        </w:rPr>
      </w:pPr>
      <w:r w:rsidRPr="00584B76">
        <w:rPr>
          <w:i w:val="0"/>
          <w:iCs w:val="0"/>
          <w:sz w:val="24"/>
          <w:szCs w:val="24"/>
        </w:rPr>
        <w:t>1.</w:t>
      </w:r>
      <w:r w:rsidR="009F70BB" w:rsidRPr="00584B76">
        <w:rPr>
          <w:i w:val="0"/>
          <w:iCs w:val="0"/>
          <w:sz w:val="24"/>
          <w:szCs w:val="24"/>
        </w:rPr>
        <w:t xml:space="preserve"> Poverty and the Additional Cost of Disability</w:t>
      </w:r>
    </w:p>
    <w:p w14:paraId="51FDC1AF" w14:textId="546FFBF3" w:rsidR="002C3984" w:rsidRPr="00584B76" w:rsidRDefault="002C3984" w:rsidP="00584B76">
      <w:pPr>
        <w:jc w:val="both"/>
        <w:rPr>
          <w:rFonts w:cs="Arial"/>
        </w:rPr>
      </w:pPr>
      <w:r w:rsidRPr="00584B76">
        <w:rPr>
          <w:rFonts w:cs="Arial"/>
        </w:rPr>
        <w:t xml:space="preserve">Economic inequality is a </w:t>
      </w:r>
      <w:r w:rsidR="003731F0" w:rsidRPr="00584B76">
        <w:rPr>
          <w:rFonts w:cs="Arial"/>
        </w:rPr>
        <w:t>major</w:t>
      </w:r>
      <w:r w:rsidRPr="00584B76">
        <w:rPr>
          <w:rFonts w:cs="Arial"/>
        </w:rPr>
        <w:t xml:space="preserve"> social determinant when it comes to disability related health. Scope’s Disability Price Tag 2025 says that disabled households typically need about £1,095 per month extra on average </w:t>
      </w:r>
      <w:r w:rsidR="003731F0" w:rsidRPr="00584B76">
        <w:rPr>
          <w:rFonts w:cs="Arial"/>
        </w:rPr>
        <w:t>to</w:t>
      </w:r>
      <w:r w:rsidRPr="00584B76">
        <w:rPr>
          <w:rFonts w:cs="Arial"/>
        </w:rPr>
        <w:t xml:space="preserve"> reach the same kind of standard of living as households without a disability (Scope, 2025). Those added costs can cover specialist tools, travel, energy, therapies </w:t>
      </w:r>
      <w:r w:rsidR="003731F0" w:rsidRPr="00584B76">
        <w:rPr>
          <w:rFonts w:cs="Arial"/>
        </w:rPr>
        <w:t>and</w:t>
      </w:r>
      <w:r w:rsidRPr="00584B76">
        <w:rPr>
          <w:rFonts w:cs="Arial"/>
        </w:rPr>
        <w:t xml:space="preserve"> day to day support. Scope also notes that disabled adults of working age are much more likely to end up living in poverty than non-disabled people (Scope, 2026).</w:t>
      </w:r>
    </w:p>
    <w:p w14:paraId="69B29467" w14:textId="7846DF9F" w:rsidR="009F70BB" w:rsidRPr="00584B76" w:rsidRDefault="00603DED" w:rsidP="00584B76">
      <w:pPr>
        <w:pStyle w:val="Heading4"/>
        <w:jc w:val="both"/>
        <w:rPr>
          <w:i w:val="0"/>
          <w:iCs w:val="0"/>
          <w:sz w:val="24"/>
          <w:szCs w:val="24"/>
        </w:rPr>
      </w:pPr>
      <w:r w:rsidRPr="00584B76">
        <w:rPr>
          <w:i w:val="0"/>
          <w:iCs w:val="0"/>
          <w:sz w:val="24"/>
          <w:szCs w:val="24"/>
        </w:rPr>
        <w:t xml:space="preserve">2. </w:t>
      </w:r>
      <w:r w:rsidR="009F70BB" w:rsidRPr="00584B76">
        <w:rPr>
          <w:i w:val="0"/>
          <w:iCs w:val="0"/>
          <w:sz w:val="24"/>
          <w:szCs w:val="24"/>
        </w:rPr>
        <w:t>Employment Inequality</w:t>
      </w:r>
    </w:p>
    <w:p w14:paraId="5D54F08B" w14:textId="6047143A" w:rsidR="002C3984" w:rsidRPr="00584B76" w:rsidRDefault="002C3984" w:rsidP="00584B76">
      <w:pPr>
        <w:jc w:val="both"/>
        <w:rPr>
          <w:rFonts w:cs="Arial"/>
        </w:rPr>
      </w:pPr>
      <w:r w:rsidRPr="00584B76">
        <w:rPr>
          <w:rFonts w:cs="Arial"/>
        </w:rPr>
        <w:t xml:space="preserve">Employment is another big social determinant, and it’s </w:t>
      </w:r>
      <w:r w:rsidR="003731F0" w:rsidRPr="00584B76">
        <w:rPr>
          <w:rFonts w:cs="Arial"/>
        </w:rPr>
        <w:t>kind of</w:t>
      </w:r>
      <w:r w:rsidRPr="00584B76">
        <w:rPr>
          <w:rFonts w:cs="Arial"/>
        </w:rPr>
        <w:t xml:space="preserve"> linked to everything else really. The most recent DWP numbers suggest that in April–June 2025 there were 5.5 million disabled people in work, yet the employment rate sat at 52.8</w:t>
      </w:r>
      <w:r w:rsidR="003731F0" w:rsidRPr="00584B76">
        <w:rPr>
          <w:rFonts w:cs="Arial"/>
        </w:rPr>
        <w:t>%.</w:t>
      </w:r>
      <w:r w:rsidRPr="00584B76">
        <w:rPr>
          <w:rFonts w:cs="Arial"/>
        </w:rPr>
        <w:t xml:space="preserve"> That’s contrasted with 82.5% for non-disabled people. So overall, there’s a disability employment gap of 29.7 percentage points (DWP, 2026). This gap matters a lot for health too, because work shapes income, housing </w:t>
      </w:r>
      <w:r w:rsidR="003731F0" w:rsidRPr="00584B76">
        <w:rPr>
          <w:rFonts w:cs="Arial"/>
        </w:rPr>
        <w:t>security,</w:t>
      </w:r>
      <w:r w:rsidRPr="00584B76">
        <w:rPr>
          <w:rFonts w:cs="Arial"/>
        </w:rPr>
        <w:t xml:space="preserve"> social participation and even psychological wellbeing. In addition, disabled workers were more likely to face underemployment, low pay, and job instability, aka insecure employment (DWP, 2026). </w:t>
      </w:r>
    </w:p>
    <w:p w14:paraId="49FE67AF" w14:textId="77777777" w:rsidR="003731F0" w:rsidRPr="00584B76" w:rsidRDefault="00603DED" w:rsidP="00584B76">
      <w:pPr>
        <w:pStyle w:val="Heading4"/>
        <w:jc w:val="both"/>
        <w:rPr>
          <w:i w:val="0"/>
          <w:iCs w:val="0"/>
          <w:sz w:val="24"/>
          <w:szCs w:val="24"/>
        </w:rPr>
      </w:pPr>
      <w:r w:rsidRPr="00584B76">
        <w:rPr>
          <w:i w:val="0"/>
          <w:iCs w:val="0"/>
          <w:sz w:val="24"/>
          <w:szCs w:val="24"/>
        </w:rPr>
        <w:lastRenderedPageBreak/>
        <w:t xml:space="preserve">3. </w:t>
      </w:r>
      <w:r w:rsidR="009F70BB" w:rsidRPr="00584B76">
        <w:rPr>
          <w:i w:val="0"/>
          <w:iCs w:val="0"/>
          <w:sz w:val="24"/>
          <w:szCs w:val="24"/>
        </w:rPr>
        <w:t>Social Isolation and Barriers to Healthcare</w:t>
      </w:r>
    </w:p>
    <w:p w14:paraId="5A063B5A" w14:textId="734B738D" w:rsidR="002C3984" w:rsidRPr="00584B76" w:rsidRDefault="002C3984" w:rsidP="00584B76">
      <w:pPr>
        <w:jc w:val="both"/>
        <w:rPr>
          <w:rFonts w:cs="Arial"/>
        </w:rPr>
      </w:pPr>
      <w:r w:rsidRPr="00584B76">
        <w:rPr>
          <w:rFonts w:cs="Arial"/>
        </w:rPr>
        <w:t xml:space="preserve">Social isolation and healthcare that just isn’t accessible can end </w:t>
      </w:r>
      <w:r w:rsidR="003731F0" w:rsidRPr="00584B76">
        <w:rPr>
          <w:rFonts w:cs="Arial"/>
        </w:rPr>
        <w:t>up making</w:t>
      </w:r>
      <w:r w:rsidRPr="00584B76">
        <w:rPr>
          <w:rFonts w:cs="Arial"/>
        </w:rPr>
        <w:t xml:space="preserve"> other inequalities </w:t>
      </w:r>
      <w:r w:rsidR="003731F0" w:rsidRPr="00584B76">
        <w:rPr>
          <w:rFonts w:cs="Arial"/>
        </w:rPr>
        <w:t>stick</w:t>
      </w:r>
      <w:r w:rsidRPr="00584B76">
        <w:rPr>
          <w:rFonts w:cs="Arial"/>
        </w:rPr>
        <w:t xml:space="preserve">. ONS reported that disabled people who were limited a lot in what they could do were more than twice as likely to say they felt lonely very </w:t>
      </w:r>
      <w:r w:rsidR="003731F0" w:rsidRPr="00584B76">
        <w:rPr>
          <w:rFonts w:cs="Arial"/>
        </w:rPr>
        <w:t>often,</w:t>
      </w:r>
      <w:r w:rsidRPr="00584B76">
        <w:rPr>
          <w:rFonts w:cs="Arial"/>
        </w:rPr>
        <w:t xml:space="preserve"> compared with those limited only a little. They were also, roughly seven times as likely as non-disabled people (ONS, 2021). The WHO (2022) points out that places which are hard to use, information barriers and inadequate health worker knowledge are key drivers behind health inequity, and not something “small”. </w:t>
      </w:r>
    </w:p>
    <w:p w14:paraId="127C0BD8" w14:textId="6EDE1CDD" w:rsidR="009F70BB" w:rsidRPr="00584B76" w:rsidRDefault="00603DED" w:rsidP="00584B76">
      <w:pPr>
        <w:pStyle w:val="Heading2"/>
        <w:jc w:val="both"/>
      </w:pPr>
      <w:bookmarkStart w:id="6" w:name="_Toc237995322"/>
      <w:r w:rsidRPr="00584B76">
        <w:t xml:space="preserve">1.3 </w:t>
      </w:r>
      <w:r w:rsidR="009F70BB" w:rsidRPr="00584B76">
        <w:t>National Response to Reduce Health Inequalities</w:t>
      </w:r>
      <w:bookmarkEnd w:id="6"/>
    </w:p>
    <w:p w14:paraId="267402A1" w14:textId="18761782" w:rsidR="002C3984" w:rsidRPr="00584B76" w:rsidRDefault="002C3984" w:rsidP="00584B76">
      <w:pPr>
        <w:jc w:val="both"/>
      </w:pPr>
      <w:r w:rsidRPr="00584B76">
        <w:t xml:space="preserve">The UK has developed a few policy and legal responses really. First, the Equality Act 2010, provides legal protection against disability discrimination, and it also asks for reasonable adjustments in the relevant circumstances (UK Government, 2010). The public sector equality duties matter a lot because they kind of put a nudge on </w:t>
      </w:r>
      <w:r w:rsidR="003731F0" w:rsidRPr="00584B76">
        <w:t>organizations</w:t>
      </w:r>
      <w:r w:rsidRPr="00584B76">
        <w:t xml:space="preserve"> to consider equality when services are </w:t>
      </w:r>
      <w:r w:rsidR="003731F0" w:rsidRPr="00584B76">
        <w:t>designed or</w:t>
      </w:r>
      <w:r w:rsidRPr="00584B76">
        <w:t xml:space="preserve"> </w:t>
      </w:r>
      <w:r w:rsidR="003731F0" w:rsidRPr="00584B76">
        <w:t>delivered</w:t>
      </w:r>
      <w:r w:rsidRPr="00584B76">
        <w:t xml:space="preserve">. </w:t>
      </w:r>
    </w:p>
    <w:p w14:paraId="7A96832F" w14:textId="5F33A26D" w:rsidR="009F70BB" w:rsidRPr="00584B76" w:rsidRDefault="002A59AD" w:rsidP="00584B76">
      <w:pPr>
        <w:pStyle w:val="Heading2"/>
        <w:jc w:val="both"/>
        <w:rPr>
          <w:rFonts w:ascii="Arial" w:hAnsi="Arial" w:cs="Arial"/>
          <w:sz w:val="22"/>
          <w:szCs w:val="22"/>
        </w:rPr>
      </w:pPr>
      <w:bookmarkStart w:id="7" w:name="_Toc237995323"/>
      <w:r w:rsidRPr="00584B76">
        <w:rPr>
          <w:rFonts w:ascii="Arial" w:hAnsi="Arial" w:cs="Arial"/>
          <w:sz w:val="22"/>
          <w:szCs w:val="22"/>
        </w:rPr>
        <w:t xml:space="preserve">1.4 </w:t>
      </w:r>
      <w:r w:rsidR="009F70BB" w:rsidRPr="00584B76">
        <w:rPr>
          <w:rFonts w:ascii="Arial" w:hAnsi="Arial" w:cs="Arial"/>
          <w:sz w:val="22"/>
          <w:szCs w:val="22"/>
        </w:rPr>
        <w:t>National Response – NHS Core20PLUS5</w:t>
      </w:r>
      <w:bookmarkEnd w:id="7"/>
    </w:p>
    <w:p w14:paraId="73DFBF90" w14:textId="05708F7A" w:rsidR="002C3984" w:rsidRPr="00584B76" w:rsidRDefault="003731F0" w:rsidP="00584B76">
      <w:pPr>
        <w:jc w:val="both"/>
      </w:pPr>
      <w:r w:rsidRPr="00584B76">
        <w:t>Second,</w:t>
      </w:r>
      <w:r w:rsidR="002C3984" w:rsidRPr="00584B76">
        <w:t xml:space="preserve"> NHS England’s Core20PLUS5 framework gives something of a national approach for reducing healthcare inequalities, kind of a consistent direction but still flexible. It is aimed at the most deprived 20% of the population, and then it points to locally relevant “PLUS” groups </w:t>
      </w:r>
      <w:r w:rsidRPr="00584B76">
        <w:t>too,</w:t>
      </w:r>
      <w:r w:rsidR="002C3984" w:rsidRPr="00584B76">
        <w:t xml:space="preserve"> for instance people with learning disabilities and autistic people, people with several </w:t>
      </w:r>
      <w:r w:rsidRPr="00584B76">
        <w:t>long-term</w:t>
      </w:r>
      <w:r w:rsidR="002C3984" w:rsidRPr="00584B76">
        <w:t xml:space="preserve"> conditions </w:t>
      </w:r>
      <w:r w:rsidRPr="00584B76">
        <w:t>and</w:t>
      </w:r>
      <w:r w:rsidR="002C3984" w:rsidRPr="00584B76">
        <w:t xml:space="preserve"> other groups facing social exclusion (NHS England, 2026). This matters because it pushes health systems away from a one-size-fits-all model and more toward focused, almost tailored action. On top of that, NHS England also highlights annual learning disability health checks as a key measurable marker for progress (NHS England, 2025). </w:t>
      </w:r>
    </w:p>
    <w:p w14:paraId="0386F657" w14:textId="085402A7" w:rsidR="009F70BB" w:rsidRPr="00584B76" w:rsidRDefault="00603DED" w:rsidP="00584B76">
      <w:pPr>
        <w:pStyle w:val="Heading2"/>
        <w:jc w:val="both"/>
        <w:rPr>
          <w:rFonts w:ascii="Arial" w:hAnsi="Arial" w:cs="Arial"/>
          <w:sz w:val="22"/>
          <w:szCs w:val="22"/>
        </w:rPr>
      </w:pPr>
      <w:bookmarkStart w:id="8" w:name="_Toc237995324"/>
      <w:r w:rsidRPr="00584B76">
        <w:rPr>
          <w:rFonts w:ascii="Arial" w:hAnsi="Arial" w:cs="Arial"/>
          <w:sz w:val="22"/>
          <w:szCs w:val="22"/>
        </w:rPr>
        <w:t>1.</w:t>
      </w:r>
      <w:r w:rsidR="002A59AD" w:rsidRPr="00584B76">
        <w:rPr>
          <w:rFonts w:ascii="Arial" w:hAnsi="Arial" w:cs="Arial"/>
          <w:sz w:val="22"/>
          <w:szCs w:val="22"/>
        </w:rPr>
        <w:t>5</w:t>
      </w:r>
      <w:r w:rsidRPr="00584B76">
        <w:rPr>
          <w:rFonts w:ascii="Arial" w:hAnsi="Arial" w:cs="Arial"/>
          <w:sz w:val="22"/>
          <w:szCs w:val="22"/>
        </w:rPr>
        <w:t xml:space="preserve"> Organizations</w:t>
      </w:r>
      <w:r w:rsidR="009F70BB" w:rsidRPr="00584B76">
        <w:rPr>
          <w:rFonts w:ascii="Arial" w:hAnsi="Arial" w:cs="Arial"/>
          <w:sz w:val="22"/>
          <w:szCs w:val="22"/>
        </w:rPr>
        <w:t xml:space="preserve"> that Support the Chosen Group</w:t>
      </w:r>
      <w:bookmarkEnd w:id="8"/>
    </w:p>
    <w:p w14:paraId="2668D373" w14:textId="477CEE10" w:rsidR="002C3984" w:rsidRPr="00584B76" w:rsidRDefault="002C3984" w:rsidP="00584B76">
      <w:pPr>
        <w:jc w:val="both"/>
        <w:rPr>
          <w:rFonts w:cs="Arial"/>
        </w:rPr>
      </w:pPr>
      <w:r w:rsidRPr="00584B76">
        <w:rPr>
          <w:rFonts w:cs="Arial"/>
        </w:rPr>
        <w:t xml:space="preserve">Scope is one of the leading UK disability equality charity types, and it mixes hands-on direct support with research work, campaigning, and policy advocacy, </w:t>
      </w:r>
      <w:r w:rsidR="003731F0" w:rsidRPr="00584B76">
        <w:rPr>
          <w:rFonts w:cs="Arial"/>
        </w:rPr>
        <w:t>kind of</w:t>
      </w:r>
      <w:r w:rsidRPr="00584B76">
        <w:rPr>
          <w:rFonts w:cs="Arial"/>
        </w:rPr>
        <w:t xml:space="preserve"> in the same breath. What that means for wider public health matters quite a bit, because it gently shifts disability inequality into something social and structural, not just an individual medical issue. </w:t>
      </w:r>
    </w:p>
    <w:p w14:paraId="3A572BEB" w14:textId="7C8571B9" w:rsidR="009F70BB" w:rsidRPr="00584B76" w:rsidRDefault="009F70BB" w:rsidP="00584B76">
      <w:pPr>
        <w:jc w:val="both"/>
        <w:rPr>
          <w:rFonts w:cs="Arial"/>
          <w:b/>
          <w:bCs/>
        </w:rPr>
      </w:pPr>
      <w:r w:rsidRPr="00584B76">
        <w:rPr>
          <w:rFonts w:cs="Arial"/>
          <w:b/>
          <w:bCs/>
        </w:rPr>
        <w:t>Scope’s Goals and Contribution</w:t>
      </w:r>
    </w:p>
    <w:p w14:paraId="3D25D189" w14:textId="4A3CE61B" w:rsidR="002C3984" w:rsidRPr="00584B76" w:rsidRDefault="002C3984" w:rsidP="00584B76">
      <w:pPr>
        <w:jc w:val="both"/>
        <w:rPr>
          <w:rFonts w:cs="Arial"/>
        </w:rPr>
      </w:pPr>
      <w:r w:rsidRPr="00584B76">
        <w:rPr>
          <w:rFonts w:cs="Arial"/>
        </w:rPr>
        <w:t xml:space="preserve">Scope’s work includes practical information and advice about benefits, employment, housing, social care and </w:t>
      </w:r>
      <w:r w:rsidR="003731F0" w:rsidRPr="00584B76">
        <w:rPr>
          <w:rFonts w:cs="Arial"/>
        </w:rPr>
        <w:t>accessibility,</w:t>
      </w:r>
      <w:r w:rsidRPr="00584B76">
        <w:rPr>
          <w:rFonts w:cs="Arial"/>
        </w:rPr>
        <w:t xml:space="preserve"> plus campaigning for more structural change. Its current strategy, An Equal Future, is aimed at cutting the extra costs that come with disability, closing the disability employment gap, and shifting the pretty negative attitudes towards disabled people (Scope, 2026</w:t>
      </w:r>
      <w:r w:rsidR="003731F0" w:rsidRPr="00584B76">
        <w:rPr>
          <w:rFonts w:cs="Arial"/>
        </w:rPr>
        <w:t>).</w:t>
      </w:r>
      <w:r w:rsidRPr="00584B76">
        <w:rPr>
          <w:rFonts w:cs="Arial"/>
        </w:rPr>
        <w:t xml:space="preserve"> </w:t>
      </w:r>
    </w:p>
    <w:p w14:paraId="3A7564C4" w14:textId="1FA177CE" w:rsidR="009F70BB" w:rsidRPr="00584B76" w:rsidRDefault="00603DED" w:rsidP="00584B76">
      <w:pPr>
        <w:pStyle w:val="Heading2"/>
        <w:jc w:val="both"/>
      </w:pPr>
      <w:bookmarkStart w:id="9" w:name="_Toc237995325"/>
      <w:r w:rsidRPr="00584B76">
        <w:lastRenderedPageBreak/>
        <w:t>1.</w:t>
      </w:r>
      <w:r w:rsidR="002A59AD" w:rsidRPr="00584B76">
        <w:t>6</w:t>
      </w:r>
      <w:r w:rsidRPr="00584B76">
        <w:t xml:space="preserve"> </w:t>
      </w:r>
      <w:r w:rsidR="009F70BB" w:rsidRPr="00584B76">
        <w:t>Conclusion</w:t>
      </w:r>
      <w:bookmarkEnd w:id="9"/>
    </w:p>
    <w:p w14:paraId="69DF1356" w14:textId="4A44ABBA" w:rsidR="00421AD4" w:rsidRPr="00584B76" w:rsidRDefault="002C3984" w:rsidP="00584B76">
      <w:pPr>
        <w:jc w:val="both"/>
        <w:rPr>
          <w:rFonts w:cs="Arial"/>
        </w:rPr>
      </w:pPr>
      <w:r w:rsidRPr="00584B76">
        <w:rPr>
          <w:rFonts w:cs="Arial"/>
        </w:rPr>
        <w:t xml:space="preserve">In the UK, disability related health inequality sort of happens through the way impairment meets wider social and structural </w:t>
      </w:r>
      <w:r w:rsidR="003731F0" w:rsidRPr="00584B76">
        <w:rPr>
          <w:rFonts w:cs="Arial"/>
        </w:rPr>
        <w:t>determinants.</w:t>
      </w:r>
      <w:r w:rsidRPr="00584B76">
        <w:rPr>
          <w:rFonts w:cs="Arial"/>
        </w:rPr>
        <w:t xml:space="preserve"> Taken </w:t>
      </w:r>
      <w:r w:rsidR="003731F0" w:rsidRPr="00584B76">
        <w:rPr>
          <w:rFonts w:cs="Arial"/>
        </w:rPr>
        <w:t>together,</w:t>
      </w:r>
      <w:r w:rsidRPr="00584B76">
        <w:rPr>
          <w:rFonts w:cs="Arial"/>
        </w:rPr>
        <w:t xml:space="preserve"> these patterns help explain why disability shouldn’t be handled only as clinical treatment, but more as a public health and health equity matter. The Equality Act 2010 offers a solid legal basis, while NHS England’s Core20PLUS5 and the annual health checks give practical routes for targeted healthcare </w:t>
      </w:r>
      <w:r w:rsidR="003731F0" w:rsidRPr="00584B76">
        <w:rPr>
          <w:rFonts w:cs="Arial"/>
        </w:rPr>
        <w:t>improvement.</w:t>
      </w:r>
      <w:r w:rsidRPr="00584B76">
        <w:rPr>
          <w:rFonts w:cs="Arial"/>
        </w:rPr>
        <w:t xml:space="preserve"> Charities like Scope also add value through research, advocacy, empowerment and hands on practical </w:t>
      </w:r>
      <w:r w:rsidR="003731F0" w:rsidRPr="00584B76">
        <w:rPr>
          <w:rFonts w:cs="Arial"/>
        </w:rPr>
        <w:t>support,</w:t>
      </w:r>
      <w:r w:rsidRPr="00584B76">
        <w:rPr>
          <w:rFonts w:cs="Arial"/>
        </w:rPr>
        <w:t xml:space="preserve"> not just advice in theory. Overall, to lower disability related health inequalities you need proportionate and accessible healthcare, plus action on income, </w:t>
      </w:r>
      <w:r w:rsidR="003731F0" w:rsidRPr="00584B76">
        <w:rPr>
          <w:rFonts w:cs="Arial"/>
        </w:rPr>
        <w:t>work,</w:t>
      </w:r>
      <w:r w:rsidRPr="00584B76">
        <w:rPr>
          <w:rFonts w:cs="Arial"/>
        </w:rPr>
        <w:t xml:space="preserve"> housing, transport, discrimination and social participation. </w:t>
      </w:r>
    </w:p>
    <w:p w14:paraId="48253771" w14:textId="77777777" w:rsidR="00421AD4" w:rsidRPr="00584B76" w:rsidRDefault="00421AD4" w:rsidP="00584B76">
      <w:pPr>
        <w:jc w:val="both"/>
        <w:rPr>
          <w:rFonts w:cs="Arial"/>
        </w:rPr>
      </w:pPr>
    </w:p>
    <w:p w14:paraId="69E7047F" w14:textId="77777777" w:rsidR="00662C2A" w:rsidRDefault="00662C2A">
      <w:pPr>
        <w:spacing w:after="200" w:line="276" w:lineRule="auto"/>
        <w:rPr>
          <w:rFonts w:eastAsiaTheme="majorEastAsia" w:cs="Arial"/>
          <w:b/>
          <w:bCs/>
          <w:color w:val="365F91" w:themeColor="accent1" w:themeShade="BF"/>
          <w:sz w:val="28"/>
          <w:szCs w:val="28"/>
        </w:rPr>
      </w:pPr>
      <w:bookmarkStart w:id="10" w:name="_Toc237995326"/>
      <w:r>
        <w:rPr>
          <w:rFonts w:cs="Arial"/>
        </w:rPr>
        <w:br w:type="page"/>
      </w:r>
    </w:p>
    <w:p w14:paraId="001D5A9B" w14:textId="2952D5F6" w:rsidR="00603DED" w:rsidRPr="00C0408D" w:rsidRDefault="00864A8B" w:rsidP="00584B76">
      <w:pPr>
        <w:pStyle w:val="Heading1"/>
        <w:jc w:val="center"/>
        <w:rPr>
          <w:rFonts w:ascii="Arial" w:hAnsi="Arial" w:cs="Arial"/>
        </w:rPr>
      </w:pPr>
      <w:r w:rsidRPr="00C0408D">
        <w:rPr>
          <w:rFonts w:ascii="Arial" w:hAnsi="Arial" w:cs="Arial"/>
        </w:rPr>
        <w:lastRenderedPageBreak/>
        <w:t>TASK 2</w:t>
      </w:r>
      <w:bookmarkEnd w:id="10"/>
    </w:p>
    <w:p w14:paraId="52CA00D2" w14:textId="78DD28A0" w:rsidR="00603DED" w:rsidRPr="00C0408D" w:rsidRDefault="00864A8B" w:rsidP="00584B76">
      <w:pPr>
        <w:pStyle w:val="Heading1"/>
        <w:jc w:val="center"/>
        <w:rPr>
          <w:rFonts w:ascii="Arial" w:hAnsi="Arial" w:cs="Arial"/>
        </w:rPr>
      </w:pPr>
      <w:bookmarkStart w:id="11" w:name="_Toc237995327"/>
      <w:r w:rsidRPr="00C0408D">
        <w:rPr>
          <w:rFonts w:ascii="Arial" w:hAnsi="Arial" w:cs="Arial"/>
        </w:rPr>
        <w:t>EPIDEMIOLOGICAL ANALYSIS -PSYCHOSIS AND SCHIZOPHRENIA IN THE LONDON BOROUGH OF NEWHAM</w:t>
      </w:r>
      <w:bookmarkEnd w:id="11"/>
    </w:p>
    <w:p w14:paraId="3C86B46E" w14:textId="77777777" w:rsidR="00EA4169" w:rsidRPr="00584B76" w:rsidRDefault="00EA4169" w:rsidP="00584B76">
      <w:pPr>
        <w:jc w:val="both"/>
      </w:pPr>
    </w:p>
    <w:p w14:paraId="2BF16554" w14:textId="1F37D8D9" w:rsidR="002C3984" w:rsidRPr="00584B76" w:rsidRDefault="002C3984" w:rsidP="00584B76">
      <w:pPr>
        <w:jc w:val="both"/>
      </w:pPr>
      <w:r w:rsidRPr="00584B76">
        <w:t>This report sort of addresses psychosis and schizophrenia, a non-communicable severe mental illness, as the chosen health problem. The specific defined population is the London Borough of Newham -the same East London boroughs analyses, alongside Tower Hamlets and City &amp; Hackney, in that landmark East London First Episode Psychosis (ELFEP) study, which basically gives this area an unusually strong local epidemiological evidence base (Coid et al., 2008).</w:t>
      </w:r>
    </w:p>
    <w:p w14:paraId="4D9998FF" w14:textId="62D8A2FB" w:rsidR="00472A81" w:rsidRPr="00584B76" w:rsidRDefault="00603DED" w:rsidP="00584B76">
      <w:pPr>
        <w:pStyle w:val="Heading1"/>
        <w:jc w:val="both"/>
        <w:rPr>
          <w:rFonts w:ascii="Arial" w:hAnsi="Arial" w:cs="Arial"/>
          <w:sz w:val="22"/>
          <w:szCs w:val="22"/>
        </w:rPr>
      </w:pPr>
      <w:bookmarkStart w:id="12" w:name="_Toc237995328"/>
      <w:r w:rsidRPr="00584B76">
        <w:rPr>
          <w:rFonts w:ascii="Arial" w:hAnsi="Arial" w:cs="Arial"/>
          <w:sz w:val="22"/>
          <w:szCs w:val="22"/>
        </w:rPr>
        <w:t>2.1 INTRODUCTION</w:t>
      </w:r>
      <w:bookmarkEnd w:id="12"/>
    </w:p>
    <w:p w14:paraId="0AEAF6F1" w14:textId="77777777" w:rsidR="002C3984" w:rsidRPr="00584B76" w:rsidRDefault="002C3984" w:rsidP="00584B76">
      <w:pPr>
        <w:jc w:val="both"/>
      </w:pPr>
      <w:r w:rsidRPr="00584B76">
        <w:t xml:space="preserve">As Regional Epidemiologist, this report looks at psychosis and schizophrenia as a big public health issue, using the London Borough of Newham as the specific defined population. Newham seems like a good scale for this analysis: large enough for solid surveillance, and for resourcing, but also small enough to keep it locally manageable. It also has a bit of an unusually strong evidence base, because it was one of the three East London boroughs directly sampled in the landmark East London First Episode Psychosis (ELFEP) study (Coid et al., 2008).  </w:t>
      </w:r>
    </w:p>
    <w:p w14:paraId="29DAC745" w14:textId="6C7EA6FE" w:rsidR="002C3984" w:rsidRPr="00584B76" w:rsidRDefault="002C3984" w:rsidP="00584B76">
      <w:pPr>
        <w:jc w:val="both"/>
      </w:pPr>
      <w:r w:rsidRPr="00584B76">
        <w:t xml:space="preserve">The report basically walks through what the illness means, and what it does to people and services, then moves on to how common it is worldwide and in the UK. After that, it covers the public health response across prevention, protection and promotion, then goes into the determinants of risk, and the epidemiological, plus needs-assessment evidence, showing who is affected. </w:t>
      </w:r>
    </w:p>
    <w:p w14:paraId="42B63692" w14:textId="77777777" w:rsidR="003731F0" w:rsidRPr="00584B76" w:rsidRDefault="00DB6345" w:rsidP="00584B76">
      <w:pPr>
        <w:pStyle w:val="Heading2"/>
        <w:jc w:val="both"/>
        <w:rPr>
          <w:rFonts w:ascii="Arial" w:hAnsi="Arial" w:cs="Arial"/>
          <w:sz w:val="22"/>
          <w:szCs w:val="22"/>
        </w:rPr>
      </w:pPr>
      <w:bookmarkStart w:id="13" w:name="_Toc237995329"/>
      <w:r w:rsidRPr="00584B76">
        <w:rPr>
          <w:rFonts w:ascii="Arial" w:hAnsi="Arial" w:cs="Arial"/>
          <w:sz w:val="22"/>
          <w:szCs w:val="22"/>
        </w:rPr>
        <w:t>2.1.1 Definitio</w:t>
      </w:r>
      <w:r w:rsidR="003731F0" w:rsidRPr="00584B76">
        <w:rPr>
          <w:rFonts w:ascii="Arial" w:hAnsi="Arial" w:cs="Arial"/>
          <w:sz w:val="22"/>
          <w:szCs w:val="22"/>
        </w:rPr>
        <w:t>n</w:t>
      </w:r>
      <w:bookmarkEnd w:id="13"/>
    </w:p>
    <w:p w14:paraId="4ADAFB3F" w14:textId="23E48D1B" w:rsidR="002C3984" w:rsidRPr="00584B76" w:rsidRDefault="002C3984" w:rsidP="00584B76">
      <w:pPr>
        <w:jc w:val="both"/>
        <w:rPr>
          <w:rFonts w:eastAsiaTheme="majorEastAsia"/>
          <w:color w:val="4F81BD" w:themeColor="accent1"/>
        </w:rPr>
      </w:pPr>
      <w:r w:rsidRPr="00584B76">
        <w:t xml:space="preserve">Psychosis is a syndrome, sort of, </w:t>
      </w:r>
      <w:r w:rsidR="003731F0" w:rsidRPr="00584B76">
        <w:t>characterized</w:t>
      </w:r>
      <w:r w:rsidRPr="00584B76">
        <w:t xml:space="preserve"> by hallucinations, delusions, and thinking that gets all scrambled, which ends up distorting a person’s perception of reality; meanwhile schizophrenia is its most researched and severe diagnostic category, and it usually shows up in late adolescence or early adulthood (World Health Organization, 2022). The social and cultural consequences are big, in practice: affected people can face high levels of stigma, family disruption, unemployment and, for some ethnic groups in the UK, there is disproportionate contact with police along with compulsory detention during the route into care, rather than being directed through primary care (Morgan et al., 2005). </w:t>
      </w:r>
    </w:p>
    <w:p w14:paraId="20087B78" w14:textId="77777777" w:rsidR="003731F0" w:rsidRPr="00584B76" w:rsidRDefault="00DB6345" w:rsidP="00584B76">
      <w:pPr>
        <w:pStyle w:val="Heading2"/>
        <w:spacing w:before="240" w:after="120"/>
        <w:jc w:val="both"/>
        <w:rPr>
          <w:rFonts w:ascii="Arial" w:hAnsi="Arial" w:cs="Arial"/>
          <w:sz w:val="22"/>
          <w:szCs w:val="22"/>
        </w:rPr>
      </w:pPr>
      <w:bookmarkStart w:id="14" w:name="_Toc237995330"/>
      <w:r w:rsidRPr="00584B76">
        <w:rPr>
          <w:rFonts w:ascii="Arial" w:hAnsi="Arial" w:cs="Arial"/>
          <w:sz w:val="22"/>
          <w:szCs w:val="22"/>
        </w:rPr>
        <w:lastRenderedPageBreak/>
        <w:t xml:space="preserve">2.1.2 </w:t>
      </w:r>
      <w:r w:rsidR="00472A81" w:rsidRPr="00584B76">
        <w:rPr>
          <w:rFonts w:ascii="Arial" w:hAnsi="Arial" w:cs="Arial"/>
          <w:sz w:val="22"/>
          <w:szCs w:val="22"/>
        </w:rPr>
        <w:t>UK and Worldwide Statistics</w:t>
      </w:r>
      <w:bookmarkEnd w:id="14"/>
    </w:p>
    <w:p w14:paraId="44F0BC9F" w14:textId="77777777" w:rsidR="003731F0" w:rsidRPr="00584B76" w:rsidRDefault="003731F0" w:rsidP="00584B76">
      <w:pPr>
        <w:jc w:val="both"/>
      </w:pPr>
      <w:r w:rsidRPr="00584B76">
        <w:t>Globally, the 2021 Global Burden of Disease work estimated around 13.6–23.2 million people living with schizophrenia, with an age standardized prevalence at 275.8 per 100,000 and 14.8 million DALYs (Frontiers in Psychiatry, 2025; WHO, 2022). In the UK, the ÆSOP project said psychosis incidence was 49.4 per 100,000, and then it went up to 63.1 about a decade later. The ELFEP investigation in Newham, Tower Hamlets and City &amp; Hackney, also pointed to noticeably higher psychosis incidence among Black Caribbean, Black African, and some South Asian communities, compared with White British residents (Fearon et al., 2006; Coid et al., 2008).</w:t>
      </w:r>
      <w:r w:rsidR="00DB6345" w:rsidRPr="00584B76">
        <w:t xml:space="preserve">2.2 </w:t>
      </w:r>
    </w:p>
    <w:p w14:paraId="159DA632" w14:textId="6EF18502" w:rsidR="003731F0" w:rsidRPr="00584B76" w:rsidRDefault="009C04E8" w:rsidP="00584B76">
      <w:pPr>
        <w:pStyle w:val="Heading1"/>
        <w:jc w:val="both"/>
      </w:pPr>
      <w:bookmarkStart w:id="15" w:name="_Toc237995331"/>
      <w:r w:rsidRPr="00584B76">
        <w:t xml:space="preserve">2.2 </w:t>
      </w:r>
      <w:r w:rsidR="00DB6345" w:rsidRPr="00584B76">
        <w:t>PUBLIC HEALTH MEASURES: THE 3 P'S</w:t>
      </w:r>
      <w:bookmarkEnd w:id="15"/>
    </w:p>
    <w:p w14:paraId="2F02DA81" w14:textId="77777777" w:rsidR="003731F0" w:rsidRPr="00584B76" w:rsidRDefault="00F5655E" w:rsidP="00584B76">
      <w:pPr>
        <w:jc w:val="both"/>
      </w:pPr>
      <w:r w:rsidRPr="00584B76">
        <w:t xml:space="preserve">Prevention in Newham runs via At-Risk Mental State (ARMS) or the Clinical High-Risk clinics, they spot young people showing attenuated psychotic symptoms before a </w:t>
      </w:r>
      <w:r w:rsidR="003731F0" w:rsidRPr="00584B76">
        <w:t>full-blown</w:t>
      </w:r>
      <w:r w:rsidRPr="00584B76">
        <w:t xml:space="preserve"> illness takes hold and then provide psychological help, intended to slow down or stop the move into psychosis, alongside wider public health messaging about cannabis and other substances as risk drivers that can actually be changed.  </w:t>
      </w:r>
    </w:p>
    <w:p w14:paraId="347F53D4" w14:textId="77777777" w:rsidR="003731F0" w:rsidRPr="00584B76" w:rsidRDefault="00F5655E" w:rsidP="00584B76">
      <w:pPr>
        <w:jc w:val="both"/>
      </w:pPr>
      <w:r w:rsidRPr="00584B76">
        <w:t xml:space="preserve">Protection tends to be done mainly through East London NHS Foundation Trust’s Early Intervention in Psychosis (EIP) service, plus crisis resolution and home treatment teams, and when things are more serious, by using powers under the Mental Health Act. NICE Quality Standard QS80 and the NHS Long Term Plan also frame the national expectation so that at least 60% of people with first episode psychosis should begin a NICE recommended care package within two weeks of being referred (NICE, 2015; NHS England, 2016).  </w:t>
      </w:r>
    </w:p>
    <w:p w14:paraId="67ACDC08" w14:textId="77777777" w:rsidR="003731F0" w:rsidRPr="00584B76" w:rsidRDefault="00F5655E" w:rsidP="00584B76">
      <w:pPr>
        <w:jc w:val="both"/>
      </w:pPr>
      <w:r w:rsidRPr="00584B76">
        <w:t>Promotion is more about lessening stigma through anti stigma campaigning and doing community engagement in ways that fit different cultures, and in Newham this matters a lot, because there has been documented mistrust of services among Black British communities, tied to routes into care that feel coercive rather than supportive (Morgan et al., 2005).</w:t>
      </w:r>
    </w:p>
    <w:p w14:paraId="76C5E849" w14:textId="77777777" w:rsidR="003731F0" w:rsidRPr="00584B76" w:rsidRDefault="00DB6345" w:rsidP="00584B76">
      <w:pPr>
        <w:pStyle w:val="Heading1"/>
        <w:jc w:val="both"/>
      </w:pPr>
      <w:bookmarkStart w:id="16" w:name="_Toc237995332"/>
      <w:r w:rsidRPr="00584B76">
        <w:t>2.3 RISK FACTORS</w:t>
      </w:r>
      <w:bookmarkEnd w:id="16"/>
    </w:p>
    <w:p w14:paraId="1CDC19B4" w14:textId="77777777" w:rsidR="003731F0" w:rsidRPr="00584B76" w:rsidRDefault="00F5655E" w:rsidP="00584B76">
      <w:pPr>
        <w:jc w:val="both"/>
      </w:pPr>
      <w:r w:rsidRPr="00584B76">
        <w:t xml:space="preserve">Psychosis risk seems to come from some combination of genetic vulnerability with all sorts of environmental exposures, like cannabis use, city life, birth related problems, early life adversity and migration. There’s this main, tested kind of conceptual scheme that tries to tie several of those exposures together, it is Selten and Cantor-Graae’s (2005) social defeat hypothesis. It basically says that the </w:t>
      </w:r>
      <w:r w:rsidR="003731F0" w:rsidRPr="00584B76">
        <w:t>long-term</w:t>
      </w:r>
      <w:r w:rsidRPr="00584B76">
        <w:t xml:space="preserve"> feeling of being pushed out, made lower status, or treated like a stranger-which shows up for migrants, some ethnic minority communities, and people with lower </w:t>
      </w:r>
      <w:r w:rsidRPr="00584B76">
        <w:lastRenderedPageBreak/>
        <w:t xml:space="preserve">socioeconomic standing -gets the mesolimbic dopamine system more ready, and that increases psychosis risk. </w:t>
      </w:r>
      <w:r w:rsidR="003731F0" w:rsidRPr="00584B76">
        <w:t>Later</w:t>
      </w:r>
      <w:r w:rsidRPr="00584B76">
        <w:t xml:space="preserve">, there was an update, extended in Selten, van der Ven, Rutten and Cantor-Graae (2013), where the same kind of logic was applied to unemployment, childhood trauma and ethnic density.  </w:t>
      </w:r>
    </w:p>
    <w:p w14:paraId="6D3D0257" w14:textId="0FD60B51" w:rsidR="00472A81" w:rsidRPr="00584B76" w:rsidRDefault="00DB6345" w:rsidP="00584B76">
      <w:pPr>
        <w:pStyle w:val="Heading1"/>
        <w:jc w:val="both"/>
        <w:rPr>
          <w:rFonts w:eastAsia="Arial"/>
          <w:color w:val="auto"/>
        </w:rPr>
      </w:pPr>
      <w:bookmarkStart w:id="17" w:name="_Toc237995333"/>
      <w:r w:rsidRPr="00584B76">
        <w:t>2.4 EPIDEMIOLOGICAL STUDIES</w:t>
      </w:r>
      <w:bookmarkEnd w:id="17"/>
    </w:p>
    <w:p w14:paraId="5FFDDCA6" w14:textId="3CE1AC68" w:rsidR="00F5655E" w:rsidRPr="00584B76" w:rsidRDefault="00F5655E" w:rsidP="00584B76">
      <w:pPr>
        <w:jc w:val="both"/>
      </w:pPr>
      <w:r w:rsidRPr="00584B76">
        <w:t xml:space="preserve">The ELFEP study still feels like the base line local evidence, it’s basically sampling Newham directly and it shows much higher incidence rate ratios for non-affective and also affective psychosis among Black Caribbean, Black African and South Asian residents, compared with White British residents (Coid et al., 2008), and this same pattern gets picked up again in the broader ÆSOP study and then in later meta-analyses (Fearon et al., 2006; Kirkbride et al., </w:t>
      </w:r>
    </w:p>
    <w:p w14:paraId="5D57053B" w14:textId="77777777" w:rsidR="003731F0" w:rsidRPr="00584B76" w:rsidRDefault="00DB6345" w:rsidP="00584B76">
      <w:pPr>
        <w:pStyle w:val="Heading2"/>
        <w:jc w:val="both"/>
        <w:rPr>
          <w:rFonts w:ascii="Arial" w:hAnsi="Arial" w:cs="Arial"/>
          <w:sz w:val="22"/>
          <w:szCs w:val="22"/>
        </w:rPr>
      </w:pPr>
      <w:bookmarkStart w:id="18" w:name="_Toc237995334"/>
      <w:r w:rsidRPr="00584B76">
        <w:rPr>
          <w:rFonts w:ascii="Arial" w:hAnsi="Arial" w:cs="Arial"/>
          <w:sz w:val="22"/>
          <w:szCs w:val="22"/>
        </w:rPr>
        <w:t xml:space="preserve">2.4.1 </w:t>
      </w:r>
      <w:r w:rsidR="00472A81" w:rsidRPr="00584B76">
        <w:rPr>
          <w:rFonts w:ascii="Arial" w:hAnsi="Arial" w:cs="Arial"/>
          <w:sz w:val="22"/>
          <w:szCs w:val="22"/>
        </w:rPr>
        <w:t>Population Health Approaches and Strategies</w:t>
      </w:r>
      <w:bookmarkEnd w:id="18"/>
    </w:p>
    <w:p w14:paraId="7FDB7D99" w14:textId="51D93EA1" w:rsidR="003731F0" w:rsidRPr="00584B76" w:rsidRDefault="00F5655E" w:rsidP="00584B76">
      <w:pPr>
        <w:jc w:val="both"/>
      </w:pPr>
      <w:r w:rsidRPr="00584B76">
        <w:t xml:space="preserve">Beyond individual clinical care, Newham’s response is </w:t>
      </w:r>
      <w:r w:rsidR="003731F0" w:rsidRPr="00584B76">
        <w:t>organized</w:t>
      </w:r>
      <w:r w:rsidRPr="00584B76">
        <w:t xml:space="preserve"> around a population health, stepped care model, you know. East London NHS Foundation Trust delivers a biopsychosocial approach- combining pharmacological treatment, psychological therapy (notably cognitive behavioral therapy for psychosis) and social interventions like supported housing and employment. It sort of reflects the </w:t>
      </w:r>
      <w:r w:rsidR="003731F0" w:rsidRPr="00584B76">
        <w:t>long-standing</w:t>
      </w:r>
      <w:r w:rsidRPr="00584B76">
        <w:t xml:space="preserve"> idea that biological, psychological and social factors </w:t>
      </w:r>
      <w:r w:rsidR="003731F0" w:rsidRPr="00584B76">
        <w:t>must</w:t>
      </w:r>
      <w:r w:rsidRPr="00584B76">
        <w:t xml:space="preserve"> be addressed together, instead of treating mental illness as purely biomedical (Engel, 1977). </w:t>
      </w:r>
    </w:p>
    <w:p w14:paraId="71AD63A4" w14:textId="77777777" w:rsidR="003731F0" w:rsidRPr="00584B76" w:rsidRDefault="00DB6345" w:rsidP="00584B76">
      <w:pPr>
        <w:pStyle w:val="Heading1"/>
        <w:jc w:val="both"/>
      </w:pPr>
      <w:bookmarkStart w:id="19" w:name="_Toc237995335"/>
      <w:r w:rsidRPr="00584B76">
        <w:t>2.5 MONITORING AND SURVEILLANCE SYSTEMS</w:t>
      </w:r>
      <w:bookmarkEnd w:id="19"/>
    </w:p>
    <w:p w14:paraId="3C8094F8" w14:textId="7FB58F68" w:rsidR="00F5655E" w:rsidRPr="00584B76" w:rsidRDefault="00F5655E" w:rsidP="00584B76">
      <w:pPr>
        <w:jc w:val="both"/>
        <w:rPr>
          <w:rFonts w:eastAsiaTheme="majorEastAsia"/>
          <w:color w:val="4F81BD" w:themeColor="accent1"/>
        </w:rPr>
      </w:pPr>
      <w:r w:rsidRPr="00584B76">
        <w:t>Routine national surveillance is delivered through NHS Digital’s Mental Health Services Data Set (MHSDS), which captures service contacts, diagnoses and NICE-recommended treatments using SNOMED CT codes, then feeds the National Clinical Audit of Psychosis (NCAP), an annual clinical audit comparing EIP teams including ELFT against access, waiting time and treatment quality benchmarks (NHS England, 2019; Healthcare Quality Improvement Partnership, 2020). This is also supported by periodic academic case-register cohort studies</w:t>
      </w:r>
      <w:r w:rsidR="002A59AD" w:rsidRPr="00584B76">
        <w:t>-</w:t>
      </w:r>
      <w:r w:rsidR="00662C2A">
        <w:t>AESOP</w:t>
      </w:r>
      <w:r w:rsidRPr="00584B76">
        <w:t xml:space="preserve">, ELFEP and the Clinical Record Interactive Search (CRIS)-FEP study </w:t>
      </w:r>
      <w:r w:rsidR="002A59AD" w:rsidRPr="00584B76">
        <w:t>-</w:t>
      </w:r>
      <w:r w:rsidRPr="00584B76">
        <w:t xml:space="preserve"> which draw on several overlapping referral streams (inpatient, community, criminal justice, primary care</w:t>
      </w:r>
      <w:r w:rsidR="003731F0" w:rsidRPr="00584B76">
        <w:t>),</w:t>
      </w:r>
      <w:r w:rsidRPr="00584B76">
        <w:t xml:space="preserve"> so they can catch people cases that would be overlooked by the administrative data that comes just from secondary mental health services (Coid et al., 2008).</w:t>
      </w:r>
    </w:p>
    <w:p w14:paraId="500F0400" w14:textId="63548509" w:rsidR="00472A81" w:rsidRPr="00584B76" w:rsidRDefault="00DB6345" w:rsidP="00584B76">
      <w:pPr>
        <w:pStyle w:val="Heading1"/>
        <w:jc w:val="both"/>
        <w:rPr>
          <w:rFonts w:ascii="Arial" w:hAnsi="Arial" w:cs="Arial"/>
          <w:sz w:val="22"/>
          <w:szCs w:val="22"/>
        </w:rPr>
      </w:pPr>
      <w:bookmarkStart w:id="20" w:name="_Toc237995336"/>
      <w:r w:rsidRPr="00584B76">
        <w:rPr>
          <w:rFonts w:ascii="Arial" w:hAnsi="Arial" w:cs="Arial"/>
          <w:sz w:val="22"/>
          <w:szCs w:val="22"/>
        </w:rPr>
        <w:lastRenderedPageBreak/>
        <w:t>2.6 PUBLIC HEALTH IMPACT: SHORT- AND LONG-TERM CONSEQUENCES</w:t>
      </w:r>
      <w:bookmarkEnd w:id="20"/>
    </w:p>
    <w:p w14:paraId="6324052E" w14:textId="44789D9D" w:rsidR="00F5655E" w:rsidRPr="00584B76" w:rsidRDefault="00F5655E" w:rsidP="00584B76">
      <w:pPr>
        <w:jc w:val="both"/>
      </w:pPr>
      <w:r w:rsidRPr="00584B76">
        <w:t xml:space="preserve">In the short </w:t>
      </w:r>
      <w:r w:rsidR="003731F0" w:rsidRPr="00584B76">
        <w:t>term,</w:t>
      </w:r>
      <w:r w:rsidRPr="00584B76">
        <w:t xml:space="preserve"> first episode psychosis can so often kick off a mental health crisis, risk of harm to self or others, disrupted education or employment, and for some people an involuntary hospital admission under the Mental Health Act, which is not exactly a small thing.  </w:t>
      </w:r>
    </w:p>
    <w:p w14:paraId="39EC5456" w14:textId="323C4C6B" w:rsidR="00F5655E" w:rsidRPr="00584B76" w:rsidRDefault="00F5655E" w:rsidP="00584B76">
      <w:pPr>
        <w:jc w:val="both"/>
      </w:pPr>
      <w:r w:rsidRPr="00584B76">
        <w:t xml:space="preserve">In the longer </w:t>
      </w:r>
      <w:r w:rsidR="003731F0" w:rsidRPr="00584B76">
        <w:t>term,</w:t>
      </w:r>
      <w:r w:rsidRPr="00584B76">
        <w:t xml:space="preserve"> the 15–</w:t>
      </w:r>
      <w:r w:rsidR="003731F0" w:rsidRPr="00584B76">
        <w:t>20-year</w:t>
      </w:r>
      <w:r w:rsidRPr="00584B76">
        <w:t xml:space="preserve"> mortality gap highlighted by Correll et al. (2022) seems to carry the weight of cardiovascular </w:t>
      </w:r>
      <w:r w:rsidR="003731F0" w:rsidRPr="00584B76">
        <w:t>disease,</w:t>
      </w:r>
      <w:r w:rsidRPr="00584B76">
        <w:t xml:space="preserve"> suicide and antipsychotic-related metabolic injury, but </w:t>
      </w:r>
      <w:r w:rsidR="003731F0" w:rsidRPr="00584B76">
        <w:t>also,</w:t>
      </w:r>
      <w:r w:rsidRPr="00584B76">
        <w:t xml:space="preserve"> it’s not only </w:t>
      </w:r>
      <w:r w:rsidR="003731F0" w:rsidRPr="00584B76">
        <w:t>that,</w:t>
      </w:r>
      <w:r w:rsidRPr="00584B76">
        <w:t xml:space="preserve"> because there’s substantial disability too. </w:t>
      </w:r>
    </w:p>
    <w:p w14:paraId="1E334848" w14:textId="77777777" w:rsidR="003731F0" w:rsidRPr="00584B76" w:rsidRDefault="00DB6345" w:rsidP="00584B76">
      <w:pPr>
        <w:pStyle w:val="Heading2"/>
        <w:jc w:val="both"/>
        <w:rPr>
          <w:rFonts w:ascii="Arial" w:hAnsi="Arial" w:cs="Arial"/>
          <w:sz w:val="22"/>
          <w:szCs w:val="22"/>
        </w:rPr>
      </w:pPr>
      <w:bookmarkStart w:id="21" w:name="_Toc237995337"/>
      <w:r w:rsidRPr="00584B76">
        <w:rPr>
          <w:rFonts w:ascii="Arial" w:hAnsi="Arial" w:cs="Arial"/>
          <w:sz w:val="22"/>
          <w:szCs w:val="22"/>
        </w:rPr>
        <w:t xml:space="preserve">2.6.1 </w:t>
      </w:r>
      <w:r w:rsidR="00472A81" w:rsidRPr="00584B76">
        <w:rPr>
          <w:rFonts w:ascii="Arial" w:hAnsi="Arial" w:cs="Arial"/>
          <w:sz w:val="22"/>
          <w:szCs w:val="22"/>
        </w:rPr>
        <w:t>Design and Evaluation of a Health Intervention Programme</w:t>
      </w:r>
      <w:bookmarkEnd w:id="21"/>
    </w:p>
    <w:p w14:paraId="4E648489" w14:textId="77777777" w:rsidR="003731F0" w:rsidRPr="00584B76" w:rsidRDefault="00F5655E" w:rsidP="00584B76">
      <w:pPr>
        <w:jc w:val="both"/>
      </w:pPr>
      <w:r w:rsidRPr="00584B76">
        <w:t xml:space="preserve">For Newham, a targeted intervention might work as this </w:t>
      </w:r>
      <w:r w:rsidR="003731F0" w:rsidRPr="00584B76">
        <w:t>kind of</w:t>
      </w:r>
      <w:r w:rsidRPr="00584B76">
        <w:t xml:space="preserve"> combined, not just one thing approach: broaden the EIP outreach team, making it culturally competent, and recruit peer support workers directly from the boroughs Black African, Black Caribbean and South Asian communities, so that reliance on police initiated routes into care gets pulled down; add school and college based ARMS screening plus psychoeducation, done in a way that feels familiar to students and staff; and then build a </w:t>
      </w:r>
      <w:r w:rsidR="003731F0" w:rsidRPr="00584B76">
        <w:t>co-produced</w:t>
      </w:r>
      <w:r w:rsidRPr="00584B76">
        <w:t xml:space="preserve"> anti stigma campaign with local voluntary groups and faith </w:t>
      </w:r>
      <w:r w:rsidR="003731F0" w:rsidRPr="00584B76">
        <w:t>organizations</w:t>
      </w:r>
      <w:r w:rsidRPr="00584B76">
        <w:t xml:space="preserve">, rather than something “imported” from outside.  </w:t>
      </w:r>
    </w:p>
    <w:p w14:paraId="4F6DE5B4" w14:textId="27BE032A" w:rsidR="00472A81" w:rsidRPr="00584B76" w:rsidRDefault="00DB6345" w:rsidP="00584B76">
      <w:pPr>
        <w:pStyle w:val="Heading1"/>
        <w:jc w:val="both"/>
      </w:pPr>
      <w:bookmarkStart w:id="22" w:name="_Toc237995338"/>
      <w:r w:rsidRPr="00584B76">
        <w:t>2.7 STRENGTHS AND WEAKNESSES OF THE EPIDEMIOLOGICAL APPROACH</w:t>
      </w:r>
      <w:bookmarkEnd w:id="22"/>
    </w:p>
    <w:p w14:paraId="78970930" w14:textId="1644971C" w:rsidR="003731F0" w:rsidRPr="00584B76" w:rsidRDefault="003731F0" w:rsidP="00584B76">
      <w:pPr>
        <w:jc w:val="both"/>
      </w:pPr>
      <w:r w:rsidRPr="00584B76">
        <w:t>So,</w:t>
      </w:r>
      <w:r w:rsidR="00F5655E" w:rsidRPr="00584B76">
        <w:t xml:space="preserve"> this epidemiological approach has real strengths, like the ÆSOP/ELFEP methodology, that uses multiple overlapping sources to find cases</w:t>
      </w:r>
      <w:r w:rsidR="002A59AD" w:rsidRPr="00584B76">
        <w:t>-</w:t>
      </w:r>
      <w:r w:rsidR="00F5655E" w:rsidRPr="00584B76">
        <w:t xml:space="preserve">this really cuts down under-ascertainment bias that can show up when you only use one type of administrative data. Still, the weaknesses are more structural than people might think. For one, when you link area level ethnic density or deprivation figures to individual psychosis risk you get a genuine ecological fallacy risk. That is not some hidden gotcha, it’s basically acknowledged even by the folks who push the social defeat hypothesis (Selten, van Os and Cantor-Graae, 2016). </w:t>
      </w:r>
    </w:p>
    <w:p w14:paraId="6F64C2D1" w14:textId="77777777" w:rsidR="003731F0" w:rsidRPr="00584B76" w:rsidRDefault="00DB6345" w:rsidP="00584B76">
      <w:pPr>
        <w:pStyle w:val="Heading1"/>
        <w:jc w:val="both"/>
        <w:rPr>
          <w:rFonts w:eastAsia="Arial"/>
          <w:color w:val="auto"/>
        </w:rPr>
      </w:pPr>
      <w:bookmarkStart w:id="23" w:name="_Toc237995339"/>
      <w:r w:rsidRPr="00584B76">
        <w:t>2.8 CONCLUSION</w:t>
      </w:r>
      <w:bookmarkEnd w:id="23"/>
    </w:p>
    <w:p w14:paraId="1EF8AC6A" w14:textId="1EF02C51" w:rsidR="000105BC" w:rsidRPr="00584B76" w:rsidRDefault="00F5655E" w:rsidP="00584B76">
      <w:pPr>
        <w:jc w:val="both"/>
      </w:pPr>
      <w:r w:rsidRPr="00584B76">
        <w:t xml:space="preserve">This report has shown that psychosis and schizophrenia are a </w:t>
      </w:r>
      <w:r w:rsidR="003731F0" w:rsidRPr="00584B76">
        <w:t>severe,</w:t>
      </w:r>
      <w:r w:rsidRPr="00584B76">
        <w:t xml:space="preserve"> disabling, unevenly distributed public health concern in Newham, where the borough own founding epidemiological study (ELFEP) found a substantially higher incidence among Black Caribbean, Black African and South Asian residents. The social defeat hypothesis provides a sort of coherent theoretical account for this pattern, tying migration, discrimination and socioeconomic hardship to biological vulnerability, while the national system -the EIP access </w:t>
      </w:r>
      <w:r w:rsidR="003731F0" w:rsidRPr="00584B76">
        <w:t>standard,</w:t>
      </w:r>
      <w:r w:rsidRPr="00584B76">
        <w:t xml:space="preserve"> MHSDS and NCAP- gives a </w:t>
      </w:r>
      <w:r w:rsidR="003731F0" w:rsidRPr="00584B76">
        <w:t>strong</w:t>
      </w:r>
      <w:r w:rsidRPr="00584B76">
        <w:t xml:space="preserve"> structure for tracking and improving support. Still, the epidemiological evidence has a key </w:t>
      </w:r>
      <w:r w:rsidRPr="00584B76">
        <w:lastRenderedPageBreak/>
        <w:t xml:space="preserve">boundary we </w:t>
      </w:r>
      <w:r w:rsidR="003731F0" w:rsidRPr="00584B76">
        <w:t>must</w:t>
      </w:r>
      <w:r w:rsidRPr="00584B76">
        <w:t xml:space="preserve"> respect when designing any intervention: because the routes into diagnosis are themselves unequal, with Black British residents more likely to be funneled into services through police involvement and compulsory detention, rather than via primary care. </w:t>
      </w:r>
    </w:p>
    <w:p w14:paraId="3970CA4D" w14:textId="77777777" w:rsidR="00A03BA6" w:rsidRDefault="00A03BA6" w:rsidP="00EA4169">
      <w:pPr>
        <w:pStyle w:val="Heading1"/>
      </w:pPr>
      <w:bookmarkStart w:id="24" w:name="_Toc237995340"/>
    </w:p>
    <w:p w14:paraId="254B1B2B" w14:textId="77777777" w:rsidR="00A03BA6" w:rsidRDefault="00A03BA6" w:rsidP="00EA4169">
      <w:pPr>
        <w:pStyle w:val="Heading1"/>
      </w:pPr>
    </w:p>
    <w:p w14:paraId="2C9D4463" w14:textId="77777777" w:rsidR="00A03BA6" w:rsidRDefault="00A03BA6" w:rsidP="00EA4169">
      <w:pPr>
        <w:pStyle w:val="Heading1"/>
      </w:pPr>
    </w:p>
    <w:p w14:paraId="6DCEB3EC" w14:textId="77777777" w:rsidR="00A03BA6" w:rsidRDefault="00A03BA6" w:rsidP="00EA4169">
      <w:pPr>
        <w:pStyle w:val="Heading1"/>
      </w:pPr>
    </w:p>
    <w:p w14:paraId="03FD0B3D" w14:textId="77777777" w:rsidR="00A03BA6" w:rsidRDefault="00A03BA6" w:rsidP="00EA4169">
      <w:pPr>
        <w:pStyle w:val="Heading1"/>
      </w:pPr>
    </w:p>
    <w:p w14:paraId="55A5F596" w14:textId="77777777" w:rsidR="00A03BA6" w:rsidRDefault="00A03BA6" w:rsidP="00EA4169">
      <w:pPr>
        <w:pStyle w:val="Heading1"/>
      </w:pPr>
    </w:p>
    <w:p w14:paraId="487DEE0E" w14:textId="77777777" w:rsidR="00A03BA6" w:rsidRDefault="00A03BA6" w:rsidP="00EA4169">
      <w:pPr>
        <w:pStyle w:val="Heading1"/>
      </w:pPr>
    </w:p>
    <w:p w14:paraId="1E1472C7" w14:textId="77777777" w:rsidR="00A03BA6" w:rsidRDefault="00A03BA6" w:rsidP="00EA4169">
      <w:pPr>
        <w:pStyle w:val="Heading1"/>
      </w:pPr>
    </w:p>
    <w:p w14:paraId="12801178" w14:textId="77777777" w:rsidR="00A03BA6" w:rsidRDefault="00A03BA6" w:rsidP="00EA4169">
      <w:pPr>
        <w:pStyle w:val="Heading1"/>
      </w:pPr>
    </w:p>
    <w:p w14:paraId="28222CCF" w14:textId="77777777" w:rsidR="00A03BA6" w:rsidRDefault="00A03BA6" w:rsidP="00EA4169">
      <w:pPr>
        <w:pStyle w:val="Heading1"/>
      </w:pPr>
    </w:p>
    <w:p w14:paraId="0E0A0493" w14:textId="77777777" w:rsidR="00A03BA6" w:rsidRPr="00A03BA6" w:rsidRDefault="00A03BA6" w:rsidP="00A03BA6"/>
    <w:p w14:paraId="0641215A" w14:textId="3274064B" w:rsidR="000105BC" w:rsidRPr="00EA4169" w:rsidRDefault="00DB6345" w:rsidP="00EA4169">
      <w:pPr>
        <w:pStyle w:val="Heading1"/>
      </w:pPr>
      <w:r w:rsidRPr="003731F0">
        <w:lastRenderedPageBreak/>
        <w:t>REFERENCES</w:t>
      </w:r>
      <w:bookmarkEnd w:id="24"/>
    </w:p>
    <w:p w14:paraId="0BA91DAA"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Coid, J.W., Kirkbride, J.B., Barker, D., Cowden, F., Stamps, R., Yang, M. and Jones, P.B. (2008) ‘Raised incidence rates of all psychoses among migrant groups: findings from the East London first episode psychosis study’, </w:t>
      </w:r>
      <w:r w:rsidRPr="003731F0">
        <w:rPr>
          <w:rStyle w:val="Emphasis"/>
          <w:rFonts w:ascii="Arial" w:hAnsi="Arial" w:cs="Arial"/>
          <w:sz w:val="22"/>
          <w:szCs w:val="22"/>
        </w:rPr>
        <w:t>Archives of General Psychiatry</w:t>
      </w:r>
      <w:r w:rsidRPr="003731F0">
        <w:rPr>
          <w:rFonts w:ascii="Arial" w:hAnsi="Arial" w:cs="Arial"/>
          <w:sz w:val="22"/>
          <w:szCs w:val="22"/>
        </w:rPr>
        <w:t>, 65(11), pp. 1250–1258.</w:t>
      </w:r>
    </w:p>
    <w:p w14:paraId="71E3BD6D"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Correll, C.U., Solmi, M., Croatto, G., Schneider, L.K., Rohani-Montez, S.C., Fairley, L. and Tiihonen, J. (2022) ‘Mortality in people with schizophrenia: a systematic review and meta-analysis of relative risk and aggravating or attenuating factors’, </w:t>
      </w:r>
      <w:r w:rsidRPr="003731F0">
        <w:rPr>
          <w:rStyle w:val="Emphasis"/>
          <w:rFonts w:ascii="Arial" w:hAnsi="Arial" w:cs="Arial"/>
          <w:sz w:val="22"/>
          <w:szCs w:val="22"/>
        </w:rPr>
        <w:t>World Psychiatry</w:t>
      </w:r>
      <w:r w:rsidRPr="003731F0">
        <w:rPr>
          <w:rFonts w:ascii="Arial" w:hAnsi="Arial" w:cs="Arial"/>
          <w:sz w:val="22"/>
          <w:szCs w:val="22"/>
        </w:rPr>
        <w:t>, 21(2), pp. 248–271.</w:t>
      </w:r>
    </w:p>
    <w:p w14:paraId="48E6E10E"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Department for Work and Pensions (DWP) (2025) </w:t>
      </w:r>
      <w:r w:rsidRPr="003731F0">
        <w:rPr>
          <w:rStyle w:val="Emphasis"/>
          <w:rFonts w:ascii="Arial" w:hAnsi="Arial" w:cs="Arial"/>
          <w:sz w:val="22"/>
          <w:szCs w:val="22"/>
        </w:rPr>
        <w:t>Family Resources Survey: financial year 2023 to 2024</w:t>
      </w:r>
      <w:r w:rsidRPr="003731F0">
        <w:rPr>
          <w:rFonts w:ascii="Arial" w:hAnsi="Arial" w:cs="Arial"/>
          <w:sz w:val="22"/>
          <w:szCs w:val="22"/>
        </w:rPr>
        <w:t>. London: DWP.</w:t>
      </w:r>
    </w:p>
    <w:p w14:paraId="5C54A3A3"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Department for Work and Pensions (DWP) (2026) </w:t>
      </w:r>
      <w:r w:rsidRPr="003731F0">
        <w:rPr>
          <w:rStyle w:val="Emphasis"/>
          <w:rFonts w:ascii="Arial" w:hAnsi="Arial" w:cs="Arial"/>
          <w:sz w:val="22"/>
          <w:szCs w:val="22"/>
        </w:rPr>
        <w:t>The employment of disabled people 2025</w:t>
      </w:r>
      <w:r w:rsidRPr="003731F0">
        <w:rPr>
          <w:rFonts w:ascii="Arial" w:hAnsi="Arial" w:cs="Arial"/>
          <w:sz w:val="22"/>
          <w:szCs w:val="22"/>
        </w:rPr>
        <w:t>. London: DWP.</w:t>
      </w:r>
    </w:p>
    <w:p w14:paraId="36167DFB"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Fearon, P., Kirkbride, J.B., Morgan, C., Dazzan, P., Morgan, K., Lloyd, T., Hutchinson, G., Tarrant, J., Fung, W.L., Holloway, J., Mallett, R., Harrison, G., Leff, J., Jones, P.B. and Murray, R.M. (2006) ‘Incidence of schizophrenia and other psychoses in ethnic minority groups: results from the MRC AESOP Study’, </w:t>
      </w:r>
      <w:r w:rsidRPr="003731F0">
        <w:rPr>
          <w:rStyle w:val="Emphasis"/>
          <w:rFonts w:ascii="Arial" w:hAnsi="Arial" w:cs="Arial"/>
          <w:sz w:val="22"/>
          <w:szCs w:val="22"/>
        </w:rPr>
        <w:t>Psychological Medicine</w:t>
      </w:r>
      <w:r w:rsidRPr="003731F0">
        <w:rPr>
          <w:rFonts w:ascii="Arial" w:hAnsi="Arial" w:cs="Arial"/>
          <w:sz w:val="22"/>
          <w:szCs w:val="22"/>
        </w:rPr>
        <w:t>, 36(11), pp. 1541–1550.</w:t>
      </w:r>
    </w:p>
    <w:p w14:paraId="17EBD0E4"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Frontiers in Psychiatry (2025) ‘Results of the Global Burden of Disease study for schizophrenia: trends from 1990 to 2021 and projections to 2050’. Available at: </w:t>
      </w:r>
      <w:hyperlink r:id="rId10" w:history="1">
        <w:r w:rsidRPr="003731F0">
          <w:rPr>
            <w:rStyle w:val="Hyperlink"/>
            <w:rFonts w:ascii="Arial" w:hAnsi="Arial" w:cs="Arial"/>
            <w:sz w:val="22"/>
            <w:szCs w:val="22"/>
          </w:rPr>
          <w:t>https://pmc.ncbi.nlm.nih.gov/articles/PMC12447577</w:t>
        </w:r>
      </w:hyperlink>
      <w:r w:rsidRPr="003731F0">
        <w:rPr>
          <w:rFonts w:ascii="Arial" w:hAnsi="Arial" w:cs="Arial"/>
          <w:sz w:val="22"/>
          <w:szCs w:val="22"/>
        </w:rPr>
        <w:t xml:space="preserve"> (Accessed: 5 August 2026).</w:t>
      </w:r>
    </w:p>
    <w:p w14:paraId="4CB971FA"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Healthcare Quality Improvement Partnership (2020) </w:t>
      </w:r>
      <w:r w:rsidRPr="003731F0">
        <w:rPr>
          <w:rStyle w:val="Emphasis"/>
          <w:rFonts w:ascii="Arial" w:hAnsi="Arial" w:cs="Arial"/>
          <w:sz w:val="22"/>
          <w:szCs w:val="22"/>
        </w:rPr>
        <w:t>National Clinical Audit of Psychosis: Early Intervention in Psychosis Audit Report 2020</w:t>
      </w:r>
      <w:r w:rsidRPr="003731F0">
        <w:rPr>
          <w:rFonts w:ascii="Arial" w:hAnsi="Arial" w:cs="Arial"/>
          <w:sz w:val="22"/>
          <w:szCs w:val="22"/>
        </w:rPr>
        <w:t xml:space="preserve">. Available at: </w:t>
      </w:r>
      <w:hyperlink r:id="rId11" w:history="1">
        <w:r w:rsidRPr="003731F0">
          <w:rPr>
            <w:rStyle w:val="Hyperlink"/>
            <w:rFonts w:ascii="Arial" w:hAnsi="Arial" w:cs="Arial"/>
            <w:sz w:val="22"/>
            <w:szCs w:val="22"/>
          </w:rPr>
          <w:t>https://www.rethink.org/media/3986/ncap-2020-report.pdf</w:t>
        </w:r>
      </w:hyperlink>
      <w:r w:rsidRPr="003731F0">
        <w:rPr>
          <w:rFonts w:ascii="Arial" w:hAnsi="Arial" w:cs="Arial"/>
          <w:sz w:val="22"/>
          <w:szCs w:val="22"/>
        </w:rPr>
        <w:t xml:space="preserve"> (Accessed: 5 August 2026).</w:t>
      </w:r>
    </w:p>
    <w:p w14:paraId="015651AD"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House of Commons Library (2016) </w:t>
      </w:r>
      <w:r w:rsidRPr="003731F0">
        <w:rPr>
          <w:rStyle w:val="Emphasis"/>
          <w:rFonts w:ascii="Arial" w:hAnsi="Arial" w:cs="Arial"/>
          <w:sz w:val="22"/>
          <w:szCs w:val="22"/>
        </w:rPr>
        <w:t>Access and waiting time standards for early intervention in psychosis</w:t>
      </w:r>
      <w:r w:rsidRPr="003731F0">
        <w:rPr>
          <w:rFonts w:ascii="Arial" w:hAnsi="Arial" w:cs="Arial"/>
          <w:sz w:val="22"/>
          <w:szCs w:val="22"/>
        </w:rPr>
        <w:t xml:space="preserve">. Available at: </w:t>
      </w:r>
      <w:hyperlink r:id="rId12" w:history="1">
        <w:r w:rsidRPr="003731F0">
          <w:rPr>
            <w:rStyle w:val="Hyperlink"/>
            <w:rFonts w:ascii="Arial" w:hAnsi="Arial" w:cs="Arial"/>
            <w:sz w:val="22"/>
            <w:szCs w:val="22"/>
          </w:rPr>
          <w:t>https://commonslibrary.parliament.uk/research-briefings/cdp-2016-0150/</w:t>
        </w:r>
      </w:hyperlink>
      <w:r w:rsidRPr="003731F0">
        <w:rPr>
          <w:rFonts w:ascii="Arial" w:hAnsi="Arial" w:cs="Arial"/>
          <w:sz w:val="22"/>
          <w:szCs w:val="22"/>
        </w:rPr>
        <w:t xml:space="preserve"> (Accessed: 5 August 2026).</w:t>
      </w:r>
    </w:p>
    <w:p w14:paraId="678802C2"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Jauhar, S., Johnstone, M. and McKenna, P.J. (2022) ‘Schizophrenia’, </w:t>
      </w:r>
      <w:r w:rsidRPr="003731F0">
        <w:rPr>
          <w:rStyle w:val="Emphasis"/>
          <w:rFonts w:ascii="Arial" w:hAnsi="Arial" w:cs="Arial"/>
          <w:sz w:val="22"/>
          <w:szCs w:val="22"/>
        </w:rPr>
        <w:t>The Lancet</w:t>
      </w:r>
      <w:r w:rsidRPr="003731F0">
        <w:rPr>
          <w:rFonts w:ascii="Arial" w:hAnsi="Arial" w:cs="Arial"/>
          <w:sz w:val="22"/>
          <w:szCs w:val="22"/>
        </w:rPr>
        <w:t>, 399(10323), pp. 473–486.</w:t>
      </w:r>
    </w:p>
    <w:p w14:paraId="67DEAD0F"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lastRenderedPageBreak/>
        <w:t xml:space="preserve">Jongsma, H.E., Karlsen, S., Kirkbride, J.B. and Jones, P.B. (2021) ‘Understanding the excess psychosis risk in ethnic minorities: the impact of structure and identity’, </w:t>
      </w:r>
      <w:r w:rsidRPr="003731F0">
        <w:rPr>
          <w:rStyle w:val="Emphasis"/>
          <w:rFonts w:ascii="Arial" w:hAnsi="Arial" w:cs="Arial"/>
          <w:sz w:val="22"/>
          <w:szCs w:val="22"/>
        </w:rPr>
        <w:t>Social Psychiatry and Psychiatric Epidemiology</w:t>
      </w:r>
      <w:r w:rsidRPr="003731F0">
        <w:rPr>
          <w:rFonts w:ascii="Arial" w:hAnsi="Arial" w:cs="Arial"/>
          <w:sz w:val="22"/>
          <w:szCs w:val="22"/>
        </w:rPr>
        <w:t>, 56, pp. 1913–1921.</w:t>
      </w:r>
    </w:p>
    <w:p w14:paraId="64A202EC"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Kirkbride, J.B., Fearon, P., Morgan, C., Dazzan, P., Morgan, K., Tarrant, J., Lloyd, T., Holloway, J., Hutchinson, G., Leff, J.P., Mallett, R.M., Harrison, G.L., Murray, R.M. and Jones, P.B. (2006) ‘Heterogeneity in incidence rates of schizophrenia and other psychotic syndromes: findings from the 3-center ÆSOP study’, </w:t>
      </w:r>
      <w:r w:rsidRPr="003731F0">
        <w:rPr>
          <w:rStyle w:val="Emphasis"/>
          <w:rFonts w:ascii="Arial" w:hAnsi="Arial" w:cs="Arial"/>
          <w:sz w:val="22"/>
          <w:szCs w:val="22"/>
        </w:rPr>
        <w:t>Archives of General Psychiatry</w:t>
      </w:r>
      <w:r w:rsidRPr="003731F0">
        <w:rPr>
          <w:rFonts w:ascii="Arial" w:hAnsi="Arial" w:cs="Arial"/>
          <w:sz w:val="22"/>
          <w:szCs w:val="22"/>
        </w:rPr>
        <w:t>, 63(3), pp. 250–258.</w:t>
      </w:r>
    </w:p>
    <w:p w14:paraId="3656F5D8"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Kirkbride, J.B., Errazuriz, A., Croudace, T.J., Morgan, C., Jackson, D., Boydell, J., Murray, R.M. and Jones, P.B. (2012) ‘Incidence of schizophrenia and other psychoses in England, 1950–2009: a systematic review and meta-analyses’, </w:t>
      </w:r>
      <w:r w:rsidRPr="003731F0">
        <w:rPr>
          <w:rStyle w:val="Emphasis"/>
          <w:rFonts w:ascii="Arial" w:hAnsi="Arial" w:cs="Arial"/>
          <w:sz w:val="22"/>
          <w:szCs w:val="22"/>
        </w:rPr>
        <w:t>PLoS ONE</w:t>
      </w:r>
      <w:r w:rsidRPr="003731F0">
        <w:rPr>
          <w:rFonts w:ascii="Arial" w:hAnsi="Arial" w:cs="Arial"/>
          <w:sz w:val="22"/>
          <w:szCs w:val="22"/>
        </w:rPr>
        <w:t>, 7(3), e31660.</w:t>
      </w:r>
    </w:p>
    <w:p w14:paraId="41223EB4"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Kirkbride, J.B., Hameed, Y., Ioannidis, K., Ankireddypalli, G., Crane, C.M., Nasir, M. and Jones, P.B. (2017) ‘Ethnic minority status, age-at-immigration and psychosis risk in rural environments: evidence from the SEPEA study’, </w:t>
      </w:r>
      <w:r w:rsidRPr="003731F0">
        <w:rPr>
          <w:rStyle w:val="Emphasis"/>
          <w:rFonts w:ascii="Arial" w:hAnsi="Arial" w:cs="Arial"/>
          <w:sz w:val="22"/>
          <w:szCs w:val="22"/>
        </w:rPr>
        <w:t>Schizophrenia Bulletin</w:t>
      </w:r>
      <w:r w:rsidRPr="003731F0">
        <w:rPr>
          <w:rFonts w:ascii="Arial" w:hAnsi="Arial" w:cs="Arial"/>
          <w:sz w:val="22"/>
          <w:szCs w:val="22"/>
        </w:rPr>
        <w:t>, 43(6), pp. 1251–1261.</w:t>
      </w:r>
    </w:p>
    <w:p w14:paraId="59CC540F"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Kuper, H. et al. (2024) ‘The association between disability and mortality: a mixed-methods study’, </w:t>
      </w:r>
      <w:r w:rsidRPr="003731F0">
        <w:rPr>
          <w:rStyle w:val="Emphasis"/>
          <w:rFonts w:ascii="Arial" w:hAnsi="Arial" w:cs="Arial"/>
          <w:sz w:val="22"/>
          <w:szCs w:val="22"/>
        </w:rPr>
        <w:t>The Lancet Public Health</w:t>
      </w:r>
      <w:r w:rsidRPr="003731F0">
        <w:rPr>
          <w:rFonts w:ascii="Arial" w:hAnsi="Arial" w:cs="Arial"/>
          <w:sz w:val="22"/>
          <w:szCs w:val="22"/>
        </w:rPr>
        <w:t>, 9(5), pp. e306–e315. doi:10.1016/S2468-2667(24)00054-9.</w:t>
      </w:r>
    </w:p>
    <w:p w14:paraId="0EC1A708"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Marmot, M. et al. (2010) </w:t>
      </w:r>
      <w:r w:rsidRPr="003731F0">
        <w:rPr>
          <w:rStyle w:val="Emphasis"/>
          <w:rFonts w:ascii="Arial" w:hAnsi="Arial" w:cs="Arial"/>
          <w:sz w:val="22"/>
          <w:szCs w:val="22"/>
        </w:rPr>
        <w:t>Fair Society, Healthy Lives: The Marmot Review</w:t>
      </w:r>
      <w:r w:rsidRPr="003731F0">
        <w:rPr>
          <w:rFonts w:ascii="Arial" w:hAnsi="Arial" w:cs="Arial"/>
          <w:sz w:val="22"/>
          <w:szCs w:val="22"/>
        </w:rPr>
        <w:t>. London: The Marmot Review.</w:t>
      </w:r>
    </w:p>
    <w:p w14:paraId="3631A0BE"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Morgan, C., Mallett, R., Hutchinson, G., Bagalkote, H., Morgan, K., Fearon, P., Dazzan, P., Boydell, J., McKenzie, K., Harrison, G., Murray, R., Jones, P., Craig, T. and Leff, J. (2005) ‘Pathways to care and ethnicity. 1: Sample characteristics and compulsory admission. Report from the AESOP study’, </w:t>
      </w:r>
      <w:r w:rsidRPr="003731F0">
        <w:rPr>
          <w:rStyle w:val="Emphasis"/>
          <w:rFonts w:ascii="Arial" w:hAnsi="Arial" w:cs="Arial"/>
          <w:sz w:val="22"/>
          <w:szCs w:val="22"/>
        </w:rPr>
        <w:t>British Journal of Psychiatry</w:t>
      </w:r>
      <w:r w:rsidRPr="003731F0">
        <w:rPr>
          <w:rFonts w:ascii="Arial" w:hAnsi="Arial" w:cs="Arial"/>
          <w:sz w:val="22"/>
          <w:szCs w:val="22"/>
        </w:rPr>
        <w:t>, 186, pp. 281–289.</w:t>
      </w:r>
    </w:p>
    <w:p w14:paraId="28F073C3"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(2026) </w:t>
      </w:r>
      <w:r w:rsidRPr="003731F0">
        <w:rPr>
          <w:rStyle w:val="Emphasis"/>
          <w:rFonts w:ascii="Arial" w:hAnsi="Arial" w:cs="Arial"/>
          <w:sz w:val="22"/>
          <w:szCs w:val="22"/>
        </w:rPr>
        <w:t>Annual health checks – learning disabilities</w:t>
      </w:r>
      <w:r w:rsidRPr="003731F0">
        <w:rPr>
          <w:rFonts w:ascii="Arial" w:hAnsi="Arial" w:cs="Arial"/>
          <w:sz w:val="22"/>
          <w:szCs w:val="22"/>
        </w:rPr>
        <w:t>. London: NHS.</w:t>
      </w:r>
    </w:p>
    <w:p w14:paraId="2B95D868"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(2016) </w:t>
      </w:r>
      <w:r w:rsidRPr="003731F0">
        <w:rPr>
          <w:rStyle w:val="Emphasis"/>
          <w:rFonts w:ascii="Arial" w:hAnsi="Arial" w:cs="Arial"/>
          <w:sz w:val="22"/>
          <w:szCs w:val="22"/>
        </w:rPr>
        <w:t>Implementing the Early Intervention in Psychosis Access and Waiting Time Standard: Guidance</w:t>
      </w:r>
      <w:r w:rsidRPr="003731F0">
        <w:rPr>
          <w:rFonts w:ascii="Arial" w:hAnsi="Arial" w:cs="Arial"/>
          <w:sz w:val="22"/>
          <w:szCs w:val="22"/>
        </w:rPr>
        <w:t xml:space="preserve">. Available at: </w:t>
      </w:r>
      <w:hyperlink r:id="rId13" w:history="1">
        <w:r w:rsidRPr="003731F0">
          <w:rPr>
            <w:rStyle w:val="Hyperlink"/>
            <w:rFonts w:ascii="Arial" w:hAnsi="Arial" w:cs="Arial"/>
            <w:sz w:val="22"/>
            <w:szCs w:val="22"/>
          </w:rPr>
          <w:t>https://www.england.nhs.uk/wp-content/uploads/2023/03/B1954-implementing-the-early-intervention-in-psychosis-access-and-waiting-time-standard.pdf</w:t>
        </w:r>
      </w:hyperlink>
      <w:r w:rsidRPr="003731F0">
        <w:rPr>
          <w:rFonts w:ascii="Arial" w:hAnsi="Arial" w:cs="Arial"/>
          <w:sz w:val="22"/>
          <w:szCs w:val="22"/>
        </w:rPr>
        <w:t xml:space="preserve"> (Accessed: 5 August 2026).</w:t>
      </w:r>
    </w:p>
    <w:p w14:paraId="2E9BDC15"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(2019) </w:t>
      </w:r>
      <w:r w:rsidRPr="003731F0">
        <w:rPr>
          <w:rStyle w:val="Emphasis"/>
          <w:rFonts w:ascii="Arial" w:hAnsi="Arial" w:cs="Arial"/>
          <w:sz w:val="22"/>
          <w:szCs w:val="22"/>
        </w:rPr>
        <w:t>Early Intervention in Psychosis: Recording and reporting on NICE-recommended interventions using SNOMED CT codes</w:t>
      </w:r>
      <w:r w:rsidRPr="003731F0">
        <w:rPr>
          <w:rFonts w:ascii="Arial" w:hAnsi="Arial" w:cs="Arial"/>
          <w:sz w:val="22"/>
          <w:szCs w:val="22"/>
        </w:rPr>
        <w:t xml:space="preserve">. Available at: </w:t>
      </w:r>
      <w:hyperlink r:id="rId14" w:history="1">
        <w:r w:rsidRPr="003731F0">
          <w:rPr>
            <w:rStyle w:val="Hyperlink"/>
            <w:rFonts w:ascii="Arial" w:hAnsi="Arial" w:cs="Arial"/>
            <w:sz w:val="22"/>
            <w:szCs w:val="22"/>
          </w:rPr>
          <w:t>https://www.england.nhs.uk/long-read/early-intervention-in-psychosis-recording-and-reporting-on-nice-recommended-interventions-using-snomed-ct-codes/</w:t>
        </w:r>
      </w:hyperlink>
      <w:r w:rsidRPr="003731F0">
        <w:rPr>
          <w:rFonts w:ascii="Arial" w:hAnsi="Arial" w:cs="Arial"/>
          <w:sz w:val="22"/>
          <w:szCs w:val="22"/>
        </w:rPr>
        <w:t xml:space="preserve"> (Accessed: 5 August 2026).</w:t>
      </w:r>
    </w:p>
    <w:p w14:paraId="2C56E45A"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(2025) </w:t>
      </w:r>
      <w:r w:rsidRPr="003731F0">
        <w:rPr>
          <w:rStyle w:val="Emphasis"/>
          <w:rFonts w:ascii="Arial" w:hAnsi="Arial" w:cs="Arial"/>
          <w:sz w:val="22"/>
          <w:szCs w:val="22"/>
        </w:rPr>
        <w:t>NHS England’s statement on information on health inequalities</w:t>
      </w:r>
      <w:r w:rsidRPr="003731F0">
        <w:rPr>
          <w:rFonts w:ascii="Arial" w:hAnsi="Arial" w:cs="Arial"/>
          <w:sz w:val="22"/>
          <w:szCs w:val="22"/>
        </w:rPr>
        <w:t>. London: NHS England.</w:t>
      </w:r>
    </w:p>
    <w:p w14:paraId="1C83188E"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(2026) </w:t>
      </w:r>
      <w:r w:rsidRPr="003731F0">
        <w:rPr>
          <w:rStyle w:val="Emphasis"/>
          <w:rFonts w:ascii="Arial" w:hAnsi="Arial" w:cs="Arial"/>
          <w:sz w:val="22"/>
          <w:szCs w:val="22"/>
        </w:rPr>
        <w:t>Core20PLUS5 (adults): an approach to reducing healthcare inequalities</w:t>
      </w:r>
      <w:r w:rsidRPr="003731F0">
        <w:rPr>
          <w:rFonts w:ascii="Arial" w:hAnsi="Arial" w:cs="Arial"/>
          <w:sz w:val="22"/>
          <w:szCs w:val="22"/>
        </w:rPr>
        <w:t>. London: NHS England.</w:t>
      </w:r>
    </w:p>
    <w:p w14:paraId="6C51BA7A"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Digital (2024) </w:t>
      </w:r>
      <w:r w:rsidRPr="003731F0">
        <w:rPr>
          <w:rStyle w:val="Emphasis"/>
          <w:rFonts w:ascii="Arial" w:hAnsi="Arial" w:cs="Arial"/>
          <w:sz w:val="22"/>
          <w:szCs w:val="22"/>
        </w:rPr>
        <w:t>Chapter 12: Psychotic Disorder, Adult Psychiatric Morbidity Survey: Mental Health and Wellbeing, England, 2023/24</w:t>
      </w:r>
      <w:r w:rsidRPr="003731F0">
        <w:rPr>
          <w:rFonts w:ascii="Arial" w:hAnsi="Arial" w:cs="Arial"/>
          <w:sz w:val="22"/>
          <w:szCs w:val="22"/>
        </w:rPr>
        <w:t xml:space="preserve">. Available at: </w:t>
      </w:r>
      <w:hyperlink r:id="rId15" w:history="1">
        <w:r w:rsidRPr="003731F0">
          <w:rPr>
            <w:rStyle w:val="Hyperlink"/>
            <w:rFonts w:ascii="Arial" w:hAnsi="Arial" w:cs="Arial"/>
            <w:sz w:val="22"/>
            <w:szCs w:val="22"/>
          </w:rPr>
          <w:t>https://digital.nhs.uk/data-and-information/publications/statistical/adult-psychiatric-morbidity-survey/survey-of-mental-health-and-wellbeing-england-2023-24/psychotic-disorder</w:t>
        </w:r>
      </w:hyperlink>
      <w:r w:rsidRPr="003731F0">
        <w:rPr>
          <w:rFonts w:ascii="Arial" w:hAnsi="Arial" w:cs="Arial"/>
          <w:sz w:val="22"/>
          <w:szCs w:val="22"/>
        </w:rPr>
        <w:t xml:space="preserve"> (Accessed: 5 August 2026).</w:t>
      </w:r>
    </w:p>
    <w:p w14:paraId="166BD1AF" w14:textId="43D47548"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NHS England </w:t>
      </w:r>
      <w:r w:rsidR="00864A8B" w:rsidRPr="003731F0">
        <w:rPr>
          <w:rFonts w:ascii="Arial" w:hAnsi="Arial" w:cs="Arial"/>
          <w:sz w:val="22"/>
          <w:szCs w:val="22"/>
        </w:rPr>
        <w:t>Southwest</w:t>
      </w:r>
      <w:r w:rsidRPr="003731F0">
        <w:rPr>
          <w:rFonts w:ascii="Arial" w:hAnsi="Arial" w:cs="Arial"/>
          <w:sz w:val="22"/>
          <w:szCs w:val="22"/>
        </w:rPr>
        <w:t xml:space="preserve"> (2026) </w:t>
      </w:r>
      <w:r w:rsidRPr="003731F0">
        <w:rPr>
          <w:rStyle w:val="Emphasis"/>
          <w:rFonts w:ascii="Arial" w:hAnsi="Arial" w:cs="Arial"/>
          <w:sz w:val="22"/>
          <w:szCs w:val="22"/>
        </w:rPr>
        <w:t>Early Intervention in Psychosis</w:t>
      </w:r>
      <w:r w:rsidRPr="003731F0">
        <w:rPr>
          <w:rFonts w:ascii="Arial" w:hAnsi="Arial" w:cs="Arial"/>
          <w:sz w:val="22"/>
          <w:szCs w:val="22"/>
        </w:rPr>
        <w:t xml:space="preserve">. Available at: </w:t>
      </w:r>
      <w:hyperlink r:id="rId16" w:history="1">
        <w:r w:rsidRPr="003731F0">
          <w:rPr>
            <w:rStyle w:val="Hyperlink"/>
            <w:rFonts w:ascii="Arial" w:hAnsi="Arial" w:cs="Arial"/>
            <w:sz w:val="22"/>
            <w:szCs w:val="22"/>
          </w:rPr>
          <w:t>https://www.england.nhs.uk/south/our-work/mental-health/early-intervention-in-psychosis/</w:t>
        </w:r>
      </w:hyperlink>
      <w:r w:rsidRPr="003731F0">
        <w:rPr>
          <w:rFonts w:ascii="Arial" w:hAnsi="Arial" w:cs="Arial"/>
          <w:sz w:val="22"/>
          <w:szCs w:val="22"/>
        </w:rPr>
        <w:t xml:space="preserve"> (Accessed: 5 August 2026).</w:t>
      </w:r>
    </w:p>
    <w:p w14:paraId="4157E7B0"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NICE (2014) </w:t>
      </w:r>
      <w:r w:rsidRPr="003731F0">
        <w:rPr>
          <w:rStyle w:val="Emphasis"/>
          <w:rFonts w:ascii="Arial" w:hAnsi="Arial" w:cs="Arial"/>
          <w:sz w:val="22"/>
          <w:szCs w:val="22"/>
        </w:rPr>
        <w:t>Psychosis and schizophrenia in adults: prevention and management</w:t>
      </w:r>
      <w:r w:rsidRPr="003731F0">
        <w:rPr>
          <w:rFonts w:ascii="Arial" w:hAnsi="Arial" w:cs="Arial"/>
          <w:sz w:val="22"/>
          <w:szCs w:val="22"/>
        </w:rPr>
        <w:t xml:space="preserve">. NICE guideline CG178. Available at: </w:t>
      </w:r>
      <w:hyperlink r:id="rId17" w:history="1">
        <w:r w:rsidRPr="003731F0">
          <w:rPr>
            <w:rStyle w:val="Hyperlink"/>
            <w:rFonts w:ascii="Arial" w:hAnsi="Arial" w:cs="Arial"/>
            <w:sz w:val="22"/>
            <w:szCs w:val="22"/>
          </w:rPr>
          <w:t>https://www.nice.org.uk/guidance/cg178</w:t>
        </w:r>
      </w:hyperlink>
      <w:r w:rsidRPr="003731F0">
        <w:rPr>
          <w:rFonts w:ascii="Arial" w:hAnsi="Arial" w:cs="Arial"/>
          <w:sz w:val="22"/>
          <w:szCs w:val="22"/>
        </w:rPr>
        <w:t>.</w:t>
      </w:r>
    </w:p>
    <w:p w14:paraId="64601EDB"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NICE (2015) </w:t>
      </w:r>
      <w:r w:rsidRPr="003731F0">
        <w:rPr>
          <w:rStyle w:val="Emphasis"/>
          <w:rFonts w:ascii="Arial" w:hAnsi="Arial" w:cs="Arial"/>
          <w:sz w:val="22"/>
          <w:szCs w:val="22"/>
        </w:rPr>
        <w:t>Psychosis and schizophrenia in adults</w:t>
      </w:r>
      <w:r w:rsidRPr="003731F0">
        <w:rPr>
          <w:rFonts w:ascii="Arial" w:hAnsi="Arial" w:cs="Arial"/>
          <w:sz w:val="22"/>
          <w:szCs w:val="22"/>
        </w:rPr>
        <w:t xml:space="preserve">. Quality standard QS80. Available at: </w:t>
      </w:r>
      <w:hyperlink r:id="rId18" w:history="1">
        <w:r w:rsidRPr="003731F0">
          <w:rPr>
            <w:rStyle w:val="Hyperlink"/>
            <w:rFonts w:ascii="Arial" w:hAnsi="Arial" w:cs="Arial"/>
            <w:sz w:val="22"/>
            <w:szCs w:val="22"/>
          </w:rPr>
          <w:t>https://www.nice.org.uk/guidance/qs80</w:t>
        </w:r>
      </w:hyperlink>
      <w:r w:rsidRPr="003731F0">
        <w:rPr>
          <w:rFonts w:ascii="Arial" w:hAnsi="Arial" w:cs="Arial"/>
          <w:sz w:val="22"/>
          <w:szCs w:val="22"/>
        </w:rPr>
        <w:t>.</w:t>
      </w:r>
    </w:p>
    <w:p w14:paraId="568CA22E"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Nuffield Trust (2026) </w:t>
      </w:r>
      <w:r w:rsidRPr="003731F0">
        <w:rPr>
          <w:rStyle w:val="Emphasis"/>
          <w:rFonts w:ascii="Arial" w:hAnsi="Arial" w:cs="Arial"/>
          <w:sz w:val="22"/>
          <w:szCs w:val="22"/>
        </w:rPr>
        <w:t>Preventing people with a learning disability from dying too young</w:t>
      </w:r>
      <w:r w:rsidRPr="003731F0">
        <w:rPr>
          <w:rFonts w:ascii="Arial" w:hAnsi="Arial" w:cs="Arial"/>
          <w:sz w:val="22"/>
          <w:szCs w:val="22"/>
        </w:rPr>
        <w:t>. London: Nuffield Trust.</w:t>
      </w:r>
    </w:p>
    <w:p w14:paraId="6C36AAC1"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Office for National Statistics (ONS) (2021) </w:t>
      </w:r>
      <w:r w:rsidRPr="003731F0">
        <w:rPr>
          <w:rStyle w:val="Emphasis"/>
          <w:rFonts w:ascii="Arial" w:hAnsi="Arial" w:cs="Arial"/>
          <w:sz w:val="22"/>
          <w:szCs w:val="22"/>
        </w:rPr>
        <w:t>Outcomes for disabled people in the UK</w:t>
      </w:r>
      <w:r w:rsidRPr="003731F0">
        <w:rPr>
          <w:rFonts w:ascii="Arial" w:hAnsi="Arial" w:cs="Arial"/>
          <w:sz w:val="22"/>
          <w:szCs w:val="22"/>
        </w:rPr>
        <w:t>. Newport: ONS.</w:t>
      </w:r>
    </w:p>
    <w:p w14:paraId="0841AB79"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Office for National Statistics (ONS) (2022) </w:t>
      </w:r>
      <w:r w:rsidRPr="003731F0">
        <w:rPr>
          <w:rStyle w:val="Emphasis"/>
          <w:rFonts w:ascii="Arial" w:hAnsi="Arial" w:cs="Arial"/>
          <w:sz w:val="22"/>
          <w:szCs w:val="22"/>
        </w:rPr>
        <w:t>Comparing self-reported morbidity with electronic health records, England</w:t>
      </w:r>
      <w:r w:rsidRPr="003731F0">
        <w:rPr>
          <w:rFonts w:ascii="Arial" w:hAnsi="Arial" w:cs="Arial"/>
          <w:sz w:val="22"/>
          <w:szCs w:val="22"/>
        </w:rPr>
        <w:t>. Newport: ONS.</w:t>
      </w:r>
    </w:p>
    <w:p w14:paraId="5A5BF016"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Our World in Data (2025) </w:t>
      </w:r>
      <w:r w:rsidRPr="003731F0">
        <w:rPr>
          <w:rStyle w:val="Emphasis"/>
          <w:rFonts w:ascii="Arial" w:hAnsi="Arial" w:cs="Arial"/>
          <w:sz w:val="22"/>
          <w:szCs w:val="22"/>
        </w:rPr>
        <w:t>Share of the population with schizophrenia</w:t>
      </w:r>
      <w:r w:rsidRPr="003731F0">
        <w:rPr>
          <w:rFonts w:ascii="Arial" w:hAnsi="Arial" w:cs="Arial"/>
          <w:sz w:val="22"/>
          <w:szCs w:val="22"/>
        </w:rPr>
        <w:t xml:space="preserve">. Available at: </w:t>
      </w:r>
      <w:hyperlink r:id="rId19" w:history="1">
        <w:r w:rsidRPr="003731F0">
          <w:rPr>
            <w:rStyle w:val="Hyperlink"/>
            <w:rFonts w:ascii="Arial" w:hAnsi="Arial" w:cs="Arial"/>
            <w:sz w:val="22"/>
            <w:szCs w:val="22"/>
          </w:rPr>
          <w:t>https://ourworldindata.org/grapher/schizophrenia-prevalence</w:t>
        </w:r>
      </w:hyperlink>
      <w:r w:rsidRPr="003731F0">
        <w:rPr>
          <w:rFonts w:ascii="Arial" w:hAnsi="Arial" w:cs="Arial"/>
          <w:sz w:val="22"/>
          <w:szCs w:val="22"/>
        </w:rPr>
        <w:t xml:space="preserve"> (Accessed: 5 August 2026).</w:t>
      </w:r>
    </w:p>
    <w:p w14:paraId="14165F80"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Scope (2025) </w:t>
      </w:r>
      <w:r w:rsidRPr="003731F0">
        <w:rPr>
          <w:rStyle w:val="Emphasis"/>
          <w:rFonts w:ascii="Arial" w:hAnsi="Arial" w:cs="Arial"/>
          <w:sz w:val="22"/>
          <w:szCs w:val="22"/>
        </w:rPr>
        <w:t>Disability Price Tag 2025</w:t>
      </w:r>
      <w:r w:rsidRPr="003731F0">
        <w:rPr>
          <w:rFonts w:ascii="Arial" w:hAnsi="Arial" w:cs="Arial"/>
          <w:sz w:val="22"/>
          <w:szCs w:val="22"/>
        </w:rPr>
        <w:t>. London: Scope.</w:t>
      </w:r>
    </w:p>
    <w:p w14:paraId="395A6D5E"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Scope (2026) </w:t>
      </w:r>
      <w:r w:rsidRPr="003731F0">
        <w:rPr>
          <w:rStyle w:val="Emphasis"/>
          <w:rFonts w:ascii="Arial" w:hAnsi="Arial" w:cs="Arial"/>
          <w:sz w:val="22"/>
          <w:szCs w:val="22"/>
        </w:rPr>
        <w:t>An Equal Future</w:t>
      </w:r>
      <w:r w:rsidRPr="003731F0">
        <w:rPr>
          <w:rFonts w:ascii="Arial" w:hAnsi="Arial" w:cs="Arial"/>
          <w:sz w:val="22"/>
          <w:szCs w:val="22"/>
        </w:rPr>
        <w:t>. London: Scope.</w:t>
      </w:r>
    </w:p>
    <w:p w14:paraId="5D228E02"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lastRenderedPageBreak/>
        <w:t xml:space="preserve">Scope (2026) </w:t>
      </w:r>
      <w:r w:rsidRPr="003731F0">
        <w:rPr>
          <w:rStyle w:val="Emphasis"/>
          <w:rFonts w:ascii="Arial" w:hAnsi="Arial" w:cs="Arial"/>
          <w:sz w:val="22"/>
          <w:szCs w:val="22"/>
        </w:rPr>
        <w:t>Futureproofing Benefits</w:t>
      </w:r>
      <w:r w:rsidRPr="003731F0">
        <w:rPr>
          <w:rFonts w:ascii="Arial" w:hAnsi="Arial" w:cs="Arial"/>
          <w:sz w:val="22"/>
          <w:szCs w:val="22"/>
        </w:rPr>
        <w:t>. London: Scope.</w:t>
      </w:r>
    </w:p>
    <w:p w14:paraId="11AEBAEC"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Selten, J.P. and Cantor-Graae, E. (2005) ‘Social defeat: risk factor for schizophrenia?’, </w:t>
      </w:r>
      <w:r w:rsidRPr="003731F0">
        <w:rPr>
          <w:rStyle w:val="Emphasis"/>
          <w:rFonts w:ascii="Arial" w:hAnsi="Arial" w:cs="Arial"/>
          <w:sz w:val="22"/>
          <w:szCs w:val="22"/>
        </w:rPr>
        <w:t>British Journal of Psychiatry</w:t>
      </w:r>
      <w:r w:rsidRPr="003731F0">
        <w:rPr>
          <w:rFonts w:ascii="Arial" w:hAnsi="Arial" w:cs="Arial"/>
          <w:sz w:val="22"/>
          <w:szCs w:val="22"/>
        </w:rPr>
        <w:t>, 187(2), pp. 101–102.</w:t>
      </w:r>
    </w:p>
    <w:p w14:paraId="77459B31"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Selten, J.P., van der Ven, E., Rutten, B.P. and Cantor-Graae, E. (2013) ‘The social defeat hypothesis of schizophrenia: an update’, </w:t>
      </w:r>
      <w:r w:rsidRPr="003731F0">
        <w:rPr>
          <w:rStyle w:val="Emphasis"/>
          <w:rFonts w:ascii="Arial" w:hAnsi="Arial" w:cs="Arial"/>
          <w:sz w:val="22"/>
          <w:szCs w:val="22"/>
        </w:rPr>
        <w:t>Schizophrenia Bulletin</w:t>
      </w:r>
      <w:r w:rsidRPr="003731F0">
        <w:rPr>
          <w:rFonts w:ascii="Arial" w:hAnsi="Arial" w:cs="Arial"/>
          <w:sz w:val="22"/>
          <w:szCs w:val="22"/>
        </w:rPr>
        <w:t>, 39(6), pp. 1180–1186.</w:t>
      </w:r>
    </w:p>
    <w:p w14:paraId="445F8E21"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Selten, J.P., van Os, J. and Cantor-Graae, E. (2016) ‘The social defeat hypothesis of schizophrenia: issues of measurement and reverse causality’, </w:t>
      </w:r>
      <w:r w:rsidRPr="003731F0">
        <w:rPr>
          <w:rStyle w:val="Emphasis"/>
          <w:rFonts w:ascii="Arial" w:hAnsi="Arial" w:cs="Arial"/>
          <w:sz w:val="22"/>
          <w:szCs w:val="22"/>
        </w:rPr>
        <w:t>World Psychiatry</w:t>
      </w:r>
      <w:r w:rsidRPr="003731F0">
        <w:rPr>
          <w:rFonts w:ascii="Arial" w:hAnsi="Arial" w:cs="Arial"/>
          <w:sz w:val="22"/>
          <w:szCs w:val="22"/>
        </w:rPr>
        <w:t>, 15(3), pp. 294–295.</w:t>
      </w:r>
    </w:p>
    <w:p w14:paraId="20DC4E0C"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Selten, J.P., van der Ven, E. and Termorshuizen, F. (2020) ‘Migration and psychosis: a meta-analysis of incidence studies’, </w:t>
      </w:r>
      <w:r w:rsidRPr="003731F0">
        <w:rPr>
          <w:rStyle w:val="Emphasis"/>
          <w:rFonts w:ascii="Arial" w:hAnsi="Arial" w:cs="Arial"/>
          <w:sz w:val="22"/>
          <w:szCs w:val="22"/>
        </w:rPr>
        <w:t>Psychological Medicine</w:t>
      </w:r>
      <w:r w:rsidRPr="003731F0">
        <w:rPr>
          <w:rFonts w:ascii="Arial" w:hAnsi="Arial" w:cs="Arial"/>
          <w:sz w:val="22"/>
          <w:szCs w:val="22"/>
        </w:rPr>
        <w:t>, 50(2), pp. 303–313.</w:t>
      </w:r>
    </w:p>
    <w:p w14:paraId="3EAAF5D4"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Selten, J.P. and Termorshuizen, F. (2022) ‘Racism and the social defeat hypothesis of psychosis’, </w:t>
      </w:r>
      <w:r w:rsidRPr="003731F0">
        <w:rPr>
          <w:rStyle w:val="Emphasis"/>
          <w:rFonts w:ascii="Arial" w:hAnsi="Arial" w:cs="Arial"/>
          <w:sz w:val="22"/>
          <w:szCs w:val="22"/>
        </w:rPr>
        <w:t>European Psychiatry</w:t>
      </w:r>
      <w:r w:rsidRPr="003731F0">
        <w:rPr>
          <w:rFonts w:ascii="Arial" w:hAnsi="Arial" w:cs="Arial"/>
          <w:sz w:val="22"/>
          <w:szCs w:val="22"/>
        </w:rPr>
        <w:t>, 65(S1), e119.</w:t>
      </w:r>
    </w:p>
    <w:p w14:paraId="3FA5AD31"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UK Government (2010) </w:t>
      </w:r>
      <w:r w:rsidRPr="003731F0">
        <w:rPr>
          <w:rStyle w:val="Emphasis"/>
          <w:rFonts w:ascii="Arial" w:hAnsi="Arial" w:cs="Arial"/>
          <w:sz w:val="22"/>
          <w:szCs w:val="22"/>
        </w:rPr>
        <w:t>Equality Act 2010</w:t>
      </w:r>
      <w:r w:rsidRPr="003731F0">
        <w:rPr>
          <w:rFonts w:ascii="Arial" w:hAnsi="Arial" w:cs="Arial"/>
          <w:sz w:val="22"/>
          <w:szCs w:val="22"/>
        </w:rPr>
        <w:t>. London: The Stationery Office.</w:t>
      </w:r>
    </w:p>
    <w:p w14:paraId="51F20F36"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Veling, W., Susser, E., van Os, J., Mackenbach, J.P., Selten, J.P. and Hoek, H.W. (2008) ‘Ethnic density of neighborhoods and incidence of psychotic disorders among immigrants’, </w:t>
      </w:r>
      <w:r w:rsidRPr="003731F0">
        <w:rPr>
          <w:rStyle w:val="Emphasis"/>
          <w:rFonts w:ascii="Arial" w:hAnsi="Arial" w:cs="Arial"/>
          <w:sz w:val="22"/>
          <w:szCs w:val="22"/>
        </w:rPr>
        <w:t>American Journal of Psychiatry</w:t>
      </w:r>
      <w:r w:rsidRPr="003731F0">
        <w:rPr>
          <w:rFonts w:ascii="Arial" w:hAnsi="Arial" w:cs="Arial"/>
          <w:sz w:val="22"/>
          <w:szCs w:val="22"/>
        </w:rPr>
        <w:t>, 165(1), pp. 66–73.</w:t>
      </w:r>
    </w:p>
    <w:p w14:paraId="4E3E5F5C"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World Health Organization (WHO) (2022a) </w:t>
      </w:r>
      <w:r w:rsidRPr="003731F0">
        <w:rPr>
          <w:rStyle w:val="Emphasis"/>
          <w:rFonts w:ascii="Arial" w:hAnsi="Arial" w:cs="Arial"/>
          <w:sz w:val="22"/>
          <w:szCs w:val="22"/>
        </w:rPr>
        <w:t>Global report on health equity for persons with disabilities</w:t>
      </w:r>
      <w:r w:rsidRPr="003731F0">
        <w:rPr>
          <w:rFonts w:ascii="Arial" w:hAnsi="Arial" w:cs="Arial"/>
          <w:sz w:val="22"/>
          <w:szCs w:val="22"/>
        </w:rPr>
        <w:t>. Geneva: WHO.</w:t>
      </w:r>
    </w:p>
    <w:p w14:paraId="49DD36F8" w14:textId="77777777" w:rsidR="000105BC" w:rsidRPr="003731F0" w:rsidRDefault="000105BC" w:rsidP="003731F0">
      <w:pPr>
        <w:pStyle w:val="isselectedend"/>
        <w:spacing w:line="360" w:lineRule="auto"/>
        <w:jc w:val="both"/>
        <w:rPr>
          <w:rFonts w:ascii="Arial" w:hAnsi="Arial" w:cs="Arial"/>
          <w:sz w:val="22"/>
          <w:szCs w:val="22"/>
        </w:rPr>
      </w:pPr>
      <w:r w:rsidRPr="003731F0">
        <w:rPr>
          <w:rFonts w:ascii="Arial" w:hAnsi="Arial" w:cs="Arial"/>
          <w:sz w:val="22"/>
          <w:szCs w:val="22"/>
        </w:rPr>
        <w:t xml:space="preserve">World Health Organization (WHO) (2022b) </w:t>
      </w:r>
      <w:r w:rsidRPr="003731F0">
        <w:rPr>
          <w:rStyle w:val="Emphasis"/>
          <w:rFonts w:ascii="Arial" w:hAnsi="Arial" w:cs="Arial"/>
          <w:sz w:val="22"/>
          <w:szCs w:val="22"/>
        </w:rPr>
        <w:t>Schizophrenia</w:t>
      </w:r>
      <w:r w:rsidRPr="003731F0">
        <w:rPr>
          <w:rFonts w:ascii="Arial" w:hAnsi="Arial" w:cs="Arial"/>
          <w:sz w:val="22"/>
          <w:szCs w:val="22"/>
        </w:rPr>
        <w:t xml:space="preserve">. Available at: </w:t>
      </w:r>
      <w:hyperlink r:id="rId20" w:history="1">
        <w:r w:rsidRPr="003731F0">
          <w:rPr>
            <w:rStyle w:val="Hyperlink"/>
            <w:rFonts w:ascii="Arial" w:hAnsi="Arial" w:cs="Arial"/>
            <w:sz w:val="22"/>
            <w:szCs w:val="22"/>
          </w:rPr>
          <w:t>https://www.who.int/news-room/fact-sheets/detail/schizophrenia</w:t>
        </w:r>
      </w:hyperlink>
      <w:r w:rsidRPr="003731F0">
        <w:rPr>
          <w:rFonts w:ascii="Arial" w:hAnsi="Arial" w:cs="Arial"/>
          <w:sz w:val="22"/>
          <w:szCs w:val="22"/>
        </w:rPr>
        <w:t xml:space="preserve"> (Accessed: 5 August 2026).</w:t>
      </w:r>
    </w:p>
    <w:p w14:paraId="4692AD2C" w14:textId="77777777" w:rsidR="000105BC" w:rsidRPr="003731F0" w:rsidRDefault="000105BC" w:rsidP="003731F0">
      <w:pPr>
        <w:pStyle w:val="NormalWeb"/>
        <w:spacing w:line="360" w:lineRule="auto"/>
        <w:jc w:val="both"/>
        <w:rPr>
          <w:rFonts w:ascii="Arial" w:hAnsi="Arial" w:cs="Arial"/>
          <w:sz w:val="22"/>
          <w:szCs w:val="22"/>
        </w:rPr>
      </w:pPr>
      <w:r w:rsidRPr="003731F0">
        <w:rPr>
          <w:rFonts w:ascii="Arial" w:hAnsi="Arial" w:cs="Arial"/>
          <w:sz w:val="22"/>
          <w:szCs w:val="22"/>
        </w:rPr>
        <w:t xml:space="preserve">World Health Organization (WHO) (2023) </w:t>
      </w:r>
      <w:r w:rsidRPr="003731F0">
        <w:rPr>
          <w:rStyle w:val="Emphasis"/>
          <w:rFonts w:ascii="Arial" w:hAnsi="Arial" w:cs="Arial"/>
          <w:sz w:val="22"/>
          <w:szCs w:val="22"/>
        </w:rPr>
        <w:t>Disability and health</w:t>
      </w:r>
      <w:r w:rsidRPr="003731F0">
        <w:rPr>
          <w:rFonts w:ascii="Arial" w:hAnsi="Arial" w:cs="Arial"/>
          <w:sz w:val="22"/>
          <w:szCs w:val="22"/>
        </w:rPr>
        <w:t>. Geneva: WHO.</w:t>
      </w:r>
    </w:p>
    <w:p w14:paraId="43004CE2" w14:textId="207EDFC3" w:rsidR="008F322C" w:rsidRPr="003731F0" w:rsidRDefault="008F322C" w:rsidP="003731F0">
      <w:pPr>
        <w:pStyle w:val="ListBullet"/>
        <w:numPr>
          <w:ilvl w:val="0"/>
          <w:numId w:val="0"/>
        </w:numPr>
        <w:rPr>
          <w:rFonts w:cs="Arial"/>
        </w:rPr>
      </w:pPr>
    </w:p>
    <w:sectPr w:rsidR="008F322C" w:rsidRPr="003731F0" w:rsidSect="00662C2A">
      <w:headerReference w:type="default" r:id="rId21"/>
      <w:footerReference w:type="default" r:id="rId22"/>
      <w:pgSz w:w="12240" w:h="15840"/>
      <w:pgMar w:top="1152" w:right="1440" w:bottom="1152" w:left="1440" w:header="227" w:footer="34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6C32CB" w14:textId="77777777" w:rsidR="00920CBC" w:rsidRDefault="00920CBC" w:rsidP="00340C4C">
      <w:pPr>
        <w:spacing w:after="0" w:line="240" w:lineRule="auto"/>
      </w:pPr>
      <w:r>
        <w:separator/>
      </w:r>
    </w:p>
  </w:endnote>
  <w:endnote w:type="continuationSeparator" w:id="0">
    <w:p w14:paraId="4D80C477" w14:textId="77777777" w:rsidR="00920CBC" w:rsidRDefault="00920CBC" w:rsidP="0034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A51CE9" w14:textId="77777777" w:rsidR="00662C2A" w:rsidRDefault="00662C2A">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2</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Pr>
        <w:noProof/>
        <w:color w:val="4F81BD" w:themeColor="accent1"/>
      </w:rPr>
      <w:t>2</w:t>
    </w:r>
    <w:r>
      <w:rPr>
        <w:color w:val="4F81BD" w:themeColor="accent1"/>
      </w:rPr>
      <w:fldChar w:fldCharType="end"/>
    </w:r>
  </w:p>
  <w:p w14:paraId="0F57E55B" w14:textId="77777777" w:rsidR="00662C2A" w:rsidRDefault="00662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4F2F6E" w14:textId="77777777" w:rsidR="00920CBC" w:rsidRDefault="00920CBC" w:rsidP="00340C4C">
      <w:pPr>
        <w:spacing w:after="0" w:line="240" w:lineRule="auto"/>
      </w:pPr>
      <w:r>
        <w:separator/>
      </w:r>
    </w:p>
  </w:footnote>
  <w:footnote w:type="continuationSeparator" w:id="0">
    <w:p w14:paraId="75D50EB9" w14:textId="77777777" w:rsidR="00920CBC" w:rsidRDefault="00920CBC" w:rsidP="00340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B4B5AC" w14:textId="36C4D32E" w:rsidR="00C0408D" w:rsidRPr="00C0408D" w:rsidRDefault="00C0408D" w:rsidP="00C0408D">
    <w:pPr>
      <w:pStyle w:val="p1"/>
      <w:rPr>
        <w:sz w:val="20"/>
        <w:szCs w:val="20"/>
      </w:rPr>
    </w:pPr>
    <w:r w:rsidRPr="00C0408D">
      <w:rPr>
        <w:sz w:val="21"/>
        <w:szCs w:val="21"/>
      </w:rPr>
      <w:ptab w:relativeTo="margin" w:alignment="center" w:leader="none"/>
    </w:r>
    <w:r w:rsidRPr="00C0408D">
      <w:rPr>
        <w:b/>
        <w:bCs/>
      </w:rPr>
      <w:t xml:space="preserve"> </w:t>
    </w:r>
    <w:r>
      <w:rPr>
        <w:b/>
        <w:bCs/>
      </w:rPr>
      <w:t xml:space="preserve">                                                                                                        </w:t>
    </w:r>
    <w:r w:rsidRPr="00C0408D">
      <w:rPr>
        <w:b/>
        <w:bCs/>
        <w:sz w:val="20"/>
        <w:szCs w:val="20"/>
      </w:rPr>
      <w:t>MSc Public Health and Social Care in Practice</w:t>
    </w:r>
  </w:p>
  <w:p w14:paraId="73DFFF89" w14:textId="38AA5C61" w:rsidR="00C0408D" w:rsidRPr="00C0408D" w:rsidRDefault="00C0408D" w:rsidP="00C0408D">
    <w:pPr>
      <w:pStyle w:val="p1"/>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F218436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57161D1"/>
    <w:multiLevelType w:val="multilevel"/>
    <w:tmpl w:val="D9204F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3284071">
    <w:abstractNumId w:val="8"/>
  </w:num>
  <w:num w:numId="2" w16cid:durableId="1370911031">
    <w:abstractNumId w:val="6"/>
  </w:num>
  <w:num w:numId="3" w16cid:durableId="1586568217">
    <w:abstractNumId w:val="5"/>
  </w:num>
  <w:num w:numId="4" w16cid:durableId="996693562">
    <w:abstractNumId w:val="4"/>
  </w:num>
  <w:num w:numId="5" w16cid:durableId="263736176">
    <w:abstractNumId w:val="7"/>
  </w:num>
  <w:num w:numId="6" w16cid:durableId="709569821">
    <w:abstractNumId w:val="3"/>
  </w:num>
  <w:num w:numId="7" w16cid:durableId="1221407339">
    <w:abstractNumId w:val="2"/>
  </w:num>
  <w:num w:numId="8" w16cid:durableId="1743596862">
    <w:abstractNumId w:val="1"/>
  </w:num>
  <w:num w:numId="9" w16cid:durableId="867639611">
    <w:abstractNumId w:val="0"/>
  </w:num>
  <w:num w:numId="10" w16cid:durableId="1877698192">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5BC"/>
    <w:rsid w:val="00034616"/>
    <w:rsid w:val="0006063C"/>
    <w:rsid w:val="0015074B"/>
    <w:rsid w:val="0029639D"/>
    <w:rsid w:val="002A59AD"/>
    <w:rsid w:val="002C3984"/>
    <w:rsid w:val="00326F90"/>
    <w:rsid w:val="00340C4C"/>
    <w:rsid w:val="003731F0"/>
    <w:rsid w:val="00421AD4"/>
    <w:rsid w:val="00444935"/>
    <w:rsid w:val="00472A81"/>
    <w:rsid w:val="00481B7B"/>
    <w:rsid w:val="0052107A"/>
    <w:rsid w:val="0053481B"/>
    <w:rsid w:val="00584B76"/>
    <w:rsid w:val="00603DED"/>
    <w:rsid w:val="00662C2A"/>
    <w:rsid w:val="00864A8B"/>
    <w:rsid w:val="008F322C"/>
    <w:rsid w:val="00920CBC"/>
    <w:rsid w:val="00970797"/>
    <w:rsid w:val="009C04E8"/>
    <w:rsid w:val="009F70BB"/>
    <w:rsid w:val="00A03BA6"/>
    <w:rsid w:val="00AA1D8D"/>
    <w:rsid w:val="00B24ABB"/>
    <w:rsid w:val="00B32682"/>
    <w:rsid w:val="00B47730"/>
    <w:rsid w:val="00BA2BFA"/>
    <w:rsid w:val="00C0408D"/>
    <w:rsid w:val="00CA760C"/>
    <w:rsid w:val="00CB0664"/>
    <w:rsid w:val="00DB6345"/>
    <w:rsid w:val="00DD1FA6"/>
    <w:rsid w:val="00E179EA"/>
    <w:rsid w:val="00EA4169"/>
    <w:rsid w:val="00F5655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5DE9ED"/>
  <w14:defaultImageDpi w14:val="300"/>
  <w15:docId w15:val="{138D7428-BD8B-6349-98D4-444DDB54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9F70B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9F70B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472A81"/>
    <w:rPr>
      <w:color w:val="0000FF"/>
      <w:u w:val="single"/>
    </w:rPr>
  </w:style>
  <w:style w:type="paragraph" w:styleId="TOC1">
    <w:name w:val="toc 1"/>
    <w:basedOn w:val="Normal"/>
    <w:next w:val="Normal"/>
    <w:autoRedefine/>
    <w:uiPriority w:val="39"/>
    <w:unhideWhenUsed/>
    <w:rsid w:val="003731F0"/>
    <w:pPr>
      <w:tabs>
        <w:tab w:val="right" w:leader="dot" w:pos="9350"/>
      </w:tabs>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DB6345"/>
    <w:pPr>
      <w:spacing w:before="120" w:after="0"/>
      <w:ind w:left="220"/>
    </w:pPr>
    <w:rPr>
      <w:rFonts w:asciiTheme="minorHAnsi" w:hAnsiTheme="minorHAnsi"/>
      <w:b/>
      <w:bCs/>
    </w:rPr>
  </w:style>
  <w:style w:type="paragraph" w:styleId="TOC3">
    <w:name w:val="toc 3"/>
    <w:basedOn w:val="Normal"/>
    <w:next w:val="Normal"/>
    <w:autoRedefine/>
    <w:uiPriority w:val="39"/>
    <w:unhideWhenUsed/>
    <w:rsid w:val="00DB6345"/>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DB6345"/>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DB6345"/>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DB6345"/>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DB6345"/>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DB6345"/>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DB6345"/>
    <w:pPr>
      <w:spacing w:after="0"/>
      <w:ind w:left="1760"/>
    </w:pPr>
    <w:rPr>
      <w:rFonts w:asciiTheme="minorHAnsi" w:hAnsiTheme="minorHAnsi"/>
      <w:sz w:val="20"/>
      <w:szCs w:val="20"/>
    </w:rPr>
  </w:style>
  <w:style w:type="paragraph" w:customStyle="1" w:styleId="p1">
    <w:name w:val="p1"/>
    <w:basedOn w:val="Normal"/>
    <w:rsid w:val="00C0408D"/>
    <w:pPr>
      <w:spacing w:after="0" w:line="240" w:lineRule="auto"/>
    </w:pPr>
    <w:rPr>
      <w:rFonts w:eastAsia="Times New Roman" w:cs="Arial"/>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wp-content/uploads/2023/03/B1954-implementing-the-early-intervention-in-psychosis-access-and-waiting-time-standard.pdf" TargetMode="External"/><Relationship Id="rId18" Type="http://schemas.openxmlformats.org/officeDocument/2006/relationships/hyperlink" Target="https://www.nice.org.uk/guidance/qs8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mmonslibrary.parliament.uk/research-briefings/cdp-2016-0150/" TargetMode="External"/><Relationship Id="rId17" Type="http://schemas.openxmlformats.org/officeDocument/2006/relationships/hyperlink" Target="https://www.nice.org.uk/guidance/cg178" TargetMode="External"/><Relationship Id="rId2" Type="http://schemas.openxmlformats.org/officeDocument/2006/relationships/numbering" Target="numbering.xml"/><Relationship Id="rId16" Type="http://schemas.openxmlformats.org/officeDocument/2006/relationships/hyperlink" Target="https://www.england.nhs.uk/south/our-work/mental-health/early-intervention-in-psychosis/" TargetMode="External"/><Relationship Id="rId20" Type="http://schemas.openxmlformats.org/officeDocument/2006/relationships/hyperlink" Target="https://www.who.int/news-room/fact-sheets/detail/schizophre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think.org/media/3986/ncap-2020-report.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nhs.uk/data-and-information/publications/statistical/adult-psychiatric-morbidity-survey/survey-of-mental-health-and-wellbeing-england-2023-24/psychotic-disorder" TargetMode="External"/><Relationship Id="rId23" Type="http://schemas.openxmlformats.org/officeDocument/2006/relationships/fontTable" Target="fontTable.xml"/><Relationship Id="rId10" Type="http://schemas.openxmlformats.org/officeDocument/2006/relationships/hyperlink" Target="https://pmc.ncbi.nlm.nih.gov/articles/PMC12447577" TargetMode="External"/><Relationship Id="rId19" Type="http://schemas.openxmlformats.org/officeDocument/2006/relationships/hyperlink" Target="https://ourworldindata.org/grapher/schizophrenia-preval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long-read/early-intervention-in-psychosis-recording-and-reporting-on-nice-recommended-interventions-using-snomed-ct-cod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4425</Words>
  <Characters>25225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Harsh Shetty</cp:lastModifiedBy>
  <cp:revision>2</cp:revision>
  <dcterms:created xsi:type="dcterms:W3CDTF">2026-08-19T10:38:00Z</dcterms:created>
  <dcterms:modified xsi:type="dcterms:W3CDTF">2026-08-19T10:38:00Z</dcterms:modified>
  <cp:category/>
</cp:coreProperties>
</file>