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135" w:rsidRPr="002C1B70" w:rsidRDefault="00B14135" w:rsidP="00DA185E">
      <w:pPr>
        <w:spacing w:line="360" w:lineRule="auto"/>
        <w:rPr>
          <w:rFonts w:ascii="Arial" w:hAnsi="Arial" w:cs="Arial"/>
          <w:sz w:val="24"/>
          <w:szCs w:val="24"/>
        </w:rPr>
      </w:pPr>
      <w:r>
        <w:rPr>
          <w:rFonts w:ascii="Arial" w:hAnsi="Arial" w:cs="Arial"/>
          <w:sz w:val="24"/>
          <w:szCs w:val="24"/>
        </w:rPr>
        <w:t xml:space="preserve">According to </w:t>
      </w:r>
      <w:proofErr w:type="spellStart"/>
      <w:r w:rsidRPr="00B14135">
        <w:rPr>
          <w:rFonts w:ascii="Arial" w:hAnsi="Arial" w:cs="Arial"/>
          <w:color w:val="222222"/>
          <w:sz w:val="24"/>
          <w:szCs w:val="20"/>
          <w:shd w:val="clear" w:color="auto" w:fill="FFFFFF"/>
        </w:rPr>
        <w:t>Ellemers</w:t>
      </w:r>
      <w:proofErr w:type="spellEnd"/>
      <w:r w:rsidRPr="00B14135">
        <w:rPr>
          <w:rFonts w:ascii="Arial" w:hAnsi="Arial" w:cs="Arial"/>
          <w:color w:val="222222"/>
          <w:sz w:val="24"/>
          <w:szCs w:val="20"/>
          <w:shd w:val="clear" w:color="auto" w:fill="FFFFFF"/>
        </w:rPr>
        <w:t>, (2018)</w:t>
      </w:r>
      <w:r>
        <w:rPr>
          <w:rFonts w:ascii="Arial" w:hAnsi="Arial" w:cs="Arial"/>
          <w:color w:val="222222"/>
          <w:sz w:val="24"/>
          <w:szCs w:val="20"/>
          <w:shd w:val="clear" w:color="auto" w:fill="FFFFFF"/>
        </w:rPr>
        <w:t xml:space="preserve"> there is a very popular saying that states that “</w:t>
      </w:r>
      <w:r w:rsidR="0031655C">
        <w:rPr>
          <w:rFonts w:ascii="Arial" w:hAnsi="Arial" w:cs="Arial"/>
          <w:color w:val="222222"/>
          <w:sz w:val="24"/>
          <w:szCs w:val="20"/>
          <w:shd w:val="clear" w:color="auto" w:fill="FFFFFF"/>
        </w:rPr>
        <w:t>males</w:t>
      </w:r>
      <w:r>
        <w:rPr>
          <w:rFonts w:ascii="Arial" w:hAnsi="Arial" w:cs="Arial"/>
          <w:color w:val="222222"/>
          <w:sz w:val="24"/>
          <w:szCs w:val="20"/>
          <w:shd w:val="clear" w:color="auto" w:fill="FFFFFF"/>
        </w:rPr>
        <w:t xml:space="preserve"> are from Mars, </w:t>
      </w:r>
      <w:r w:rsidR="0031655C">
        <w:rPr>
          <w:rFonts w:ascii="Arial" w:hAnsi="Arial" w:cs="Arial"/>
          <w:color w:val="222222"/>
          <w:sz w:val="24"/>
          <w:szCs w:val="20"/>
          <w:shd w:val="clear" w:color="auto" w:fill="FFFFFF"/>
        </w:rPr>
        <w:t>females</w:t>
      </w:r>
      <w:r>
        <w:rPr>
          <w:rFonts w:ascii="Arial" w:hAnsi="Arial" w:cs="Arial"/>
          <w:color w:val="222222"/>
          <w:sz w:val="24"/>
          <w:szCs w:val="20"/>
          <w:shd w:val="clear" w:color="auto" w:fill="FFFFFF"/>
        </w:rPr>
        <w:t xml:space="preserve"> are from Venus” and is frequently used to describe the different ways both men and women behave, feel and think. The saying suggests that males and females</w:t>
      </w:r>
      <w:r w:rsidR="0031655C">
        <w:rPr>
          <w:rFonts w:ascii="Arial" w:hAnsi="Arial" w:cs="Arial"/>
          <w:color w:val="222222"/>
          <w:sz w:val="24"/>
          <w:szCs w:val="20"/>
          <w:shd w:val="clear" w:color="auto" w:fill="FFFFFF"/>
        </w:rPr>
        <w:t xml:space="preserve"> </w:t>
      </w:r>
      <w:r w:rsidR="0031655C">
        <w:rPr>
          <w:rFonts w:ascii="Arial" w:hAnsi="Arial" w:cs="Arial"/>
          <w:sz w:val="24"/>
          <w:szCs w:val="24"/>
        </w:rPr>
        <w:t xml:space="preserve">derive from separate planets that are considerably billions of miles apart from each other. This suggests that both genders are noticeably different just as they would be if they were different species from different planets. Even if the characteristics and ambitions of both genders </w:t>
      </w:r>
      <w:r w:rsidR="002E7342">
        <w:rPr>
          <w:rFonts w:ascii="Arial" w:hAnsi="Arial" w:cs="Arial"/>
          <w:sz w:val="24"/>
          <w:szCs w:val="24"/>
        </w:rPr>
        <w:t>are similar, the conventional prospects that individuals possess of both men and women position them both in worlds that are separate. (</w:t>
      </w:r>
      <w:proofErr w:type="spellStart"/>
      <w:r w:rsidR="002E7342" w:rsidRPr="00B14135">
        <w:rPr>
          <w:rFonts w:ascii="Arial" w:hAnsi="Arial" w:cs="Arial"/>
          <w:color w:val="222222"/>
          <w:sz w:val="24"/>
          <w:szCs w:val="20"/>
          <w:shd w:val="clear" w:color="auto" w:fill="FFFFFF"/>
        </w:rPr>
        <w:t>Ellemers</w:t>
      </w:r>
      <w:proofErr w:type="spellEnd"/>
      <w:r w:rsidR="002E7342" w:rsidRPr="00B14135">
        <w:rPr>
          <w:rFonts w:ascii="Arial" w:hAnsi="Arial" w:cs="Arial"/>
          <w:color w:val="222222"/>
          <w:sz w:val="24"/>
          <w:szCs w:val="20"/>
          <w:shd w:val="clear" w:color="auto" w:fill="FFFFFF"/>
        </w:rPr>
        <w:t>, 2018)</w:t>
      </w:r>
    </w:p>
    <w:p w:rsidR="00B14135" w:rsidRPr="002C1B70" w:rsidRDefault="00B14135" w:rsidP="00DA185E">
      <w:pPr>
        <w:spacing w:line="360" w:lineRule="auto"/>
        <w:rPr>
          <w:rFonts w:ascii="Arial" w:hAnsi="Arial" w:cs="Arial"/>
          <w:sz w:val="24"/>
          <w:szCs w:val="24"/>
        </w:rPr>
      </w:pPr>
      <w:r w:rsidRPr="002C1B70">
        <w:rPr>
          <w:rFonts w:ascii="Arial" w:hAnsi="Arial" w:cs="Arial"/>
          <w:sz w:val="24"/>
          <w:szCs w:val="24"/>
        </w:rPr>
        <w:t xml:space="preserve">This essay is going to critically discuss Gender stereotyping within the media. </w:t>
      </w:r>
    </w:p>
    <w:p w:rsidR="004C7009" w:rsidRDefault="009D4A46" w:rsidP="00DA185E">
      <w:pPr>
        <w:spacing w:line="360" w:lineRule="auto"/>
        <w:rPr>
          <w:rFonts w:ascii="Arial" w:hAnsi="Arial" w:cs="Arial"/>
          <w:sz w:val="24"/>
          <w:szCs w:val="24"/>
        </w:rPr>
      </w:pPr>
      <w:r w:rsidRPr="002C1B70">
        <w:rPr>
          <w:rFonts w:ascii="Arial" w:hAnsi="Arial" w:cs="Arial"/>
          <w:sz w:val="24"/>
          <w:szCs w:val="24"/>
        </w:rPr>
        <w:t xml:space="preserve">Stereotyping is usually defined as an idea or schema based on a group of individuals (Bernstein, Roy, </w:t>
      </w:r>
      <w:proofErr w:type="spellStart"/>
      <w:r w:rsidRPr="002C1B70">
        <w:rPr>
          <w:rFonts w:ascii="Arial" w:hAnsi="Arial" w:cs="Arial"/>
          <w:sz w:val="24"/>
          <w:szCs w:val="24"/>
        </w:rPr>
        <w:t>Srull</w:t>
      </w:r>
      <w:proofErr w:type="spellEnd"/>
      <w:r w:rsidRPr="002C1B70">
        <w:rPr>
          <w:rFonts w:ascii="Arial" w:hAnsi="Arial" w:cs="Arial"/>
          <w:sz w:val="24"/>
          <w:szCs w:val="24"/>
        </w:rPr>
        <w:t xml:space="preserve">, &amp; </w:t>
      </w:r>
      <w:proofErr w:type="spellStart"/>
      <w:r w:rsidRPr="002C1B70">
        <w:rPr>
          <w:rFonts w:ascii="Arial" w:hAnsi="Arial" w:cs="Arial"/>
          <w:sz w:val="24"/>
          <w:szCs w:val="24"/>
        </w:rPr>
        <w:t>Wicken’s</w:t>
      </w:r>
      <w:proofErr w:type="spellEnd"/>
      <w:r w:rsidRPr="002C1B70">
        <w:rPr>
          <w:rFonts w:ascii="Arial" w:hAnsi="Arial" w:cs="Arial"/>
          <w:sz w:val="24"/>
          <w:szCs w:val="24"/>
        </w:rPr>
        <w:t xml:space="preserve">, 1988). The characteristics that </w:t>
      </w:r>
      <w:r w:rsidR="00A8348F" w:rsidRPr="002C1B70">
        <w:rPr>
          <w:rFonts w:ascii="Arial" w:hAnsi="Arial" w:cs="Arial"/>
          <w:sz w:val="24"/>
          <w:szCs w:val="24"/>
        </w:rPr>
        <w:t xml:space="preserve">most </w:t>
      </w:r>
      <w:r w:rsidRPr="002C1B70">
        <w:rPr>
          <w:rFonts w:ascii="Arial" w:hAnsi="Arial" w:cs="Arial"/>
          <w:sz w:val="24"/>
          <w:szCs w:val="24"/>
        </w:rPr>
        <w:t xml:space="preserve">stereotypes seem to judge against are age, race, religion and gender. </w:t>
      </w:r>
      <w:r w:rsidR="00A8348F" w:rsidRPr="002C1B70">
        <w:rPr>
          <w:rFonts w:ascii="Arial" w:hAnsi="Arial" w:cs="Arial"/>
          <w:sz w:val="24"/>
          <w:szCs w:val="24"/>
        </w:rPr>
        <w:t xml:space="preserve">One example is the belief that people who are older possess a more positive </w:t>
      </w:r>
      <w:r w:rsidR="00440796" w:rsidRPr="002C1B70">
        <w:rPr>
          <w:rFonts w:ascii="Arial" w:hAnsi="Arial" w:cs="Arial"/>
          <w:sz w:val="24"/>
          <w:szCs w:val="24"/>
        </w:rPr>
        <w:t>outlook on life than the younger generation (</w:t>
      </w:r>
      <w:proofErr w:type="spellStart"/>
      <w:r w:rsidR="00440796" w:rsidRPr="002C1B70">
        <w:rPr>
          <w:rFonts w:ascii="Arial" w:hAnsi="Arial" w:cs="Arial"/>
          <w:sz w:val="24"/>
          <w:szCs w:val="24"/>
        </w:rPr>
        <w:t>Chiroboga</w:t>
      </w:r>
      <w:proofErr w:type="spellEnd"/>
      <w:r w:rsidR="00440796" w:rsidRPr="002C1B70">
        <w:rPr>
          <w:rFonts w:ascii="Arial" w:hAnsi="Arial" w:cs="Arial"/>
          <w:sz w:val="24"/>
          <w:szCs w:val="24"/>
        </w:rPr>
        <w:t xml:space="preserve"> &amp; </w:t>
      </w:r>
      <w:proofErr w:type="spellStart"/>
      <w:r w:rsidR="00440796" w:rsidRPr="002C1B70">
        <w:rPr>
          <w:rFonts w:ascii="Arial" w:hAnsi="Arial" w:cs="Arial"/>
          <w:sz w:val="24"/>
          <w:szCs w:val="24"/>
        </w:rPr>
        <w:t>Thurner</w:t>
      </w:r>
      <w:proofErr w:type="spellEnd"/>
      <w:r w:rsidR="00440796" w:rsidRPr="002C1B70">
        <w:rPr>
          <w:rFonts w:ascii="Arial" w:hAnsi="Arial" w:cs="Arial"/>
          <w:sz w:val="24"/>
          <w:szCs w:val="24"/>
        </w:rPr>
        <w:t xml:space="preserve">, 1975). Another example is the belief that people who have a better education cannot work alongside people with a limited education (Barnard, 1983). </w:t>
      </w:r>
    </w:p>
    <w:p w:rsidR="00440796" w:rsidRPr="002C1B70" w:rsidRDefault="0063050B" w:rsidP="00DA185E">
      <w:pPr>
        <w:spacing w:line="360" w:lineRule="auto"/>
        <w:rPr>
          <w:rFonts w:ascii="Arial" w:hAnsi="Arial" w:cs="Arial"/>
          <w:sz w:val="24"/>
          <w:szCs w:val="24"/>
        </w:rPr>
      </w:pPr>
      <w:r w:rsidRPr="002C1B70">
        <w:rPr>
          <w:rFonts w:ascii="Arial" w:hAnsi="Arial" w:cs="Arial"/>
          <w:sz w:val="24"/>
          <w:szCs w:val="24"/>
        </w:rPr>
        <w:t xml:space="preserve">Traditionally, there were </w:t>
      </w:r>
      <w:r w:rsidR="00F20BE6">
        <w:rPr>
          <w:rFonts w:ascii="Arial" w:hAnsi="Arial" w:cs="Arial"/>
          <w:sz w:val="24"/>
          <w:szCs w:val="24"/>
        </w:rPr>
        <w:t>social and communal</w:t>
      </w:r>
      <w:r w:rsidRPr="002C1B70">
        <w:rPr>
          <w:rFonts w:ascii="Arial" w:hAnsi="Arial" w:cs="Arial"/>
          <w:sz w:val="24"/>
          <w:szCs w:val="24"/>
        </w:rPr>
        <w:t xml:space="preserve"> attitudes towards “male” and “female” roles and responsibilities, this is called </w:t>
      </w:r>
      <w:r w:rsidR="00FE494C" w:rsidRPr="002C1B70">
        <w:rPr>
          <w:rFonts w:ascii="Arial" w:hAnsi="Arial" w:cs="Arial"/>
          <w:sz w:val="24"/>
          <w:szCs w:val="24"/>
        </w:rPr>
        <w:t>also called</w:t>
      </w:r>
      <w:r w:rsidR="00CF7536" w:rsidRPr="002C1B70">
        <w:rPr>
          <w:rFonts w:ascii="Arial" w:hAnsi="Arial" w:cs="Arial"/>
          <w:sz w:val="24"/>
          <w:szCs w:val="24"/>
        </w:rPr>
        <w:t xml:space="preserve"> G</w:t>
      </w:r>
      <w:r w:rsidRPr="002C1B70">
        <w:rPr>
          <w:rFonts w:ascii="Arial" w:hAnsi="Arial" w:cs="Arial"/>
          <w:sz w:val="24"/>
          <w:szCs w:val="24"/>
        </w:rPr>
        <w:t>ender stereotyping. These types of stereotypes manipulate the unequal distribution between male and female’s allocated time at work, their financial income and responsibilities within the family home. Gender stereotypes also create prevent wo</w:t>
      </w:r>
      <w:bookmarkStart w:id="0" w:name="_GoBack"/>
      <w:bookmarkEnd w:id="0"/>
      <w:r w:rsidRPr="002C1B70">
        <w:rPr>
          <w:rFonts w:ascii="Arial" w:hAnsi="Arial" w:cs="Arial"/>
          <w:sz w:val="24"/>
          <w:szCs w:val="24"/>
        </w:rPr>
        <w:t>men from advancing in their chosen career (European Commission, 2009)</w:t>
      </w:r>
      <w:r w:rsidR="00FE494C" w:rsidRPr="002C1B70">
        <w:rPr>
          <w:rFonts w:ascii="Arial" w:hAnsi="Arial" w:cs="Arial"/>
          <w:sz w:val="24"/>
          <w:szCs w:val="24"/>
        </w:rPr>
        <w:t xml:space="preserve">. </w:t>
      </w:r>
      <w:r w:rsidR="00CF7536" w:rsidRPr="002C1B70">
        <w:rPr>
          <w:rFonts w:ascii="Arial" w:hAnsi="Arial" w:cs="Arial"/>
          <w:sz w:val="24"/>
          <w:szCs w:val="24"/>
        </w:rPr>
        <w:t>Gender responsibilities are explained by behaviours, but gender stereotypes are opinions that people create regarding femininity and masculinity. There tends to be a relationship between gender role and gender stereotypes (</w:t>
      </w:r>
      <w:proofErr w:type="spellStart"/>
      <w:r w:rsidR="00CF7536" w:rsidRPr="002C1B70">
        <w:rPr>
          <w:rFonts w:ascii="Arial" w:hAnsi="Arial" w:cs="Arial"/>
          <w:sz w:val="24"/>
          <w:szCs w:val="24"/>
          <w:shd w:val="clear" w:color="auto" w:fill="FFFFFF"/>
        </w:rPr>
        <w:t>Kiausiene</w:t>
      </w:r>
      <w:proofErr w:type="spellEnd"/>
      <w:r w:rsidR="00CF7536" w:rsidRPr="002C1B70">
        <w:rPr>
          <w:rFonts w:ascii="Arial" w:hAnsi="Arial" w:cs="Arial"/>
          <w:sz w:val="24"/>
          <w:szCs w:val="24"/>
          <w:shd w:val="clear" w:color="auto" w:fill="FFFFFF"/>
        </w:rPr>
        <w:t xml:space="preserve">, </w:t>
      </w:r>
      <w:proofErr w:type="spellStart"/>
      <w:r w:rsidR="00CF7536" w:rsidRPr="002C1B70">
        <w:rPr>
          <w:rFonts w:ascii="Arial" w:hAnsi="Arial" w:cs="Arial"/>
          <w:sz w:val="24"/>
          <w:szCs w:val="24"/>
          <w:shd w:val="clear" w:color="auto" w:fill="FFFFFF"/>
        </w:rPr>
        <w:t>Streimikiene</w:t>
      </w:r>
      <w:proofErr w:type="spellEnd"/>
      <w:r w:rsidR="00CF7536" w:rsidRPr="002C1B70">
        <w:rPr>
          <w:rFonts w:ascii="Arial" w:hAnsi="Arial" w:cs="Arial"/>
          <w:sz w:val="24"/>
          <w:szCs w:val="24"/>
          <w:shd w:val="clear" w:color="auto" w:fill="FFFFFF"/>
        </w:rPr>
        <w:t xml:space="preserve"> &amp; </w:t>
      </w:r>
      <w:proofErr w:type="spellStart"/>
      <w:r w:rsidR="00CF7536" w:rsidRPr="002C1B70">
        <w:rPr>
          <w:rFonts w:ascii="Arial" w:hAnsi="Arial" w:cs="Arial"/>
          <w:sz w:val="24"/>
          <w:szCs w:val="24"/>
          <w:shd w:val="clear" w:color="auto" w:fill="FFFFFF"/>
        </w:rPr>
        <w:t>Grundey</w:t>
      </w:r>
      <w:proofErr w:type="spellEnd"/>
      <w:r w:rsidR="00CF7536" w:rsidRPr="002C1B70">
        <w:rPr>
          <w:rFonts w:ascii="Arial" w:hAnsi="Arial" w:cs="Arial"/>
          <w:sz w:val="24"/>
          <w:szCs w:val="24"/>
          <w:shd w:val="clear" w:color="auto" w:fill="FFFFFF"/>
        </w:rPr>
        <w:t>, 2011)</w:t>
      </w:r>
      <w:r w:rsidR="00CF7536" w:rsidRPr="002C1B70">
        <w:rPr>
          <w:rFonts w:ascii="Arial" w:hAnsi="Arial" w:cs="Arial"/>
          <w:sz w:val="24"/>
          <w:szCs w:val="24"/>
        </w:rPr>
        <w:t>.</w:t>
      </w:r>
    </w:p>
    <w:p w:rsidR="00CF7536" w:rsidRPr="002C1B70" w:rsidRDefault="00CF7536" w:rsidP="00DA185E">
      <w:pPr>
        <w:spacing w:line="360" w:lineRule="auto"/>
        <w:rPr>
          <w:rFonts w:ascii="Arial" w:hAnsi="Arial" w:cs="Arial"/>
          <w:sz w:val="24"/>
          <w:szCs w:val="24"/>
        </w:rPr>
      </w:pPr>
      <w:r w:rsidRPr="002C1B70">
        <w:rPr>
          <w:rFonts w:ascii="Arial" w:hAnsi="Arial" w:cs="Arial"/>
          <w:sz w:val="24"/>
          <w:szCs w:val="24"/>
        </w:rPr>
        <w:t xml:space="preserve">This essay will now discuss the reasons how and why people stereotype </w:t>
      </w:r>
      <w:r w:rsidR="00DC67B4" w:rsidRPr="002C1B70">
        <w:rPr>
          <w:rFonts w:ascii="Arial" w:hAnsi="Arial" w:cs="Arial"/>
          <w:sz w:val="24"/>
          <w:szCs w:val="24"/>
        </w:rPr>
        <w:t>and</w:t>
      </w:r>
      <w:r w:rsidRPr="002C1B70">
        <w:rPr>
          <w:rFonts w:ascii="Arial" w:hAnsi="Arial" w:cs="Arial"/>
          <w:sz w:val="24"/>
          <w:szCs w:val="24"/>
        </w:rPr>
        <w:t xml:space="preserve"> discuss a few theories in relation to stereotyping. </w:t>
      </w:r>
    </w:p>
    <w:p w:rsidR="00DC3E68" w:rsidRPr="002C1B70" w:rsidRDefault="00DC3E68" w:rsidP="00DA185E">
      <w:pPr>
        <w:spacing w:line="360" w:lineRule="auto"/>
        <w:rPr>
          <w:rFonts w:ascii="Arial" w:hAnsi="Arial" w:cs="Arial"/>
          <w:sz w:val="24"/>
          <w:szCs w:val="24"/>
          <w:shd w:val="clear" w:color="auto" w:fill="FFFFFF"/>
        </w:rPr>
      </w:pPr>
      <w:r w:rsidRPr="002C1B70">
        <w:rPr>
          <w:rFonts w:ascii="Arial" w:hAnsi="Arial" w:cs="Arial"/>
          <w:sz w:val="24"/>
          <w:szCs w:val="24"/>
        </w:rPr>
        <w:t xml:space="preserve">Stereotyping is normally learnt at a young age through witnessing stereotypical attitudes that members of our families </w:t>
      </w:r>
      <w:r w:rsidR="00C117F5" w:rsidRPr="002C1B70">
        <w:rPr>
          <w:rFonts w:ascii="Arial" w:hAnsi="Arial" w:cs="Arial"/>
          <w:sz w:val="24"/>
          <w:szCs w:val="24"/>
        </w:rPr>
        <w:t xml:space="preserve">possess. As a child proceeds through school, friends and classmates reinforce these attitudes. However, a large </w:t>
      </w:r>
      <w:r w:rsidR="00631EEB" w:rsidRPr="002C1B70">
        <w:rPr>
          <w:rFonts w:ascii="Arial" w:hAnsi="Arial" w:cs="Arial"/>
          <w:sz w:val="24"/>
          <w:szCs w:val="24"/>
        </w:rPr>
        <w:t>amount</w:t>
      </w:r>
      <w:r w:rsidR="00C117F5" w:rsidRPr="002C1B70">
        <w:rPr>
          <w:rFonts w:ascii="Arial" w:hAnsi="Arial" w:cs="Arial"/>
          <w:sz w:val="24"/>
          <w:szCs w:val="24"/>
        </w:rPr>
        <w:t xml:space="preserve"> of the </w:t>
      </w:r>
      <w:r w:rsidR="00C117F5" w:rsidRPr="002C1B70">
        <w:rPr>
          <w:rFonts w:ascii="Arial" w:hAnsi="Arial" w:cs="Arial"/>
          <w:sz w:val="24"/>
          <w:szCs w:val="24"/>
        </w:rPr>
        <w:lastRenderedPageBreak/>
        <w:t xml:space="preserve">blame is placed on the media due to the exploitation </w:t>
      </w:r>
      <w:r w:rsidR="00631EEB" w:rsidRPr="002C1B70">
        <w:rPr>
          <w:rFonts w:ascii="Arial" w:hAnsi="Arial" w:cs="Arial"/>
          <w:sz w:val="24"/>
          <w:szCs w:val="24"/>
        </w:rPr>
        <w:t>of the differences between males and females (</w:t>
      </w:r>
      <w:r w:rsidR="00631EEB" w:rsidRPr="002C1B70">
        <w:rPr>
          <w:rFonts w:ascii="Arial" w:hAnsi="Arial" w:cs="Arial"/>
          <w:sz w:val="24"/>
          <w:szCs w:val="24"/>
          <w:shd w:val="clear" w:color="auto" w:fill="FFFFFF"/>
        </w:rPr>
        <w:t>Souza, 2011). </w:t>
      </w:r>
    </w:p>
    <w:p w:rsidR="00EA3007" w:rsidRPr="002C1B70" w:rsidRDefault="00E42E42" w:rsidP="00DA185E">
      <w:pPr>
        <w:spacing w:line="360" w:lineRule="auto"/>
        <w:rPr>
          <w:rFonts w:ascii="Arial" w:hAnsi="Arial" w:cs="Arial"/>
          <w:sz w:val="24"/>
          <w:szCs w:val="24"/>
          <w:shd w:val="clear" w:color="auto" w:fill="FFFFFF"/>
        </w:rPr>
      </w:pPr>
      <w:r w:rsidRPr="002C1B70">
        <w:rPr>
          <w:rFonts w:ascii="Arial" w:hAnsi="Arial" w:cs="Arial"/>
          <w:sz w:val="24"/>
          <w:szCs w:val="24"/>
          <w:shd w:val="clear" w:color="auto" w:fill="FFFFFF"/>
        </w:rPr>
        <w:t xml:space="preserve">One theory that </w:t>
      </w:r>
      <w:r w:rsidR="007C0E8B" w:rsidRPr="002C1B70">
        <w:rPr>
          <w:rFonts w:ascii="Arial" w:hAnsi="Arial" w:cs="Arial"/>
          <w:sz w:val="24"/>
          <w:szCs w:val="24"/>
          <w:shd w:val="clear" w:color="auto" w:fill="FFFFFF"/>
        </w:rPr>
        <w:t>attempts to explain stereotyping is called the illusory correlational bias</w:t>
      </w:r>
      <w:r w:rsidR="00BB07B1" w:rsidRPr="002C1B70">
        <w:rPr>
          <w:rFonts w:ascii="Arial" w:hAnsi="Arial" w:cs="Arial"/>
          <w:sz w:val="24"/>
          <w:szCs w:val="24"/>
          <w:shd w:val="clear" w:color="auto" w:fill="FFFFFF"/>
        </w:rPr>
        <w:t xml:space="preserve"> </w:t>
      </w:r>
      <w:r w:rsidR="00BB07B1" w:rsidRPr="002C1B70">
        <w:rPr>
          <w:rFonts w:ascii="Arial" w:hAnsi="Arial" w:cs="Arial"/>
          <w:sz w:val="24"/>
          <w:szCs w:val="24"/>
        </w:rPr>
        <w:t>(</w:t>
      </w:r>
      <w:proofErr w:type="spellStart"/>
      <w:r w:rsidR="00BB07B1" w:rsidRPr="002C1B70">
        <w:rPr>
          <w:rFonts w:ascii="Arial" w:hAnsi="Arial" w:cs="Arial"/>
          <w:sz w:val="24"/>
          <w:szCs w:val="24"/>
        </w:rPr>
        <w:t>Gerrig</w:t>
      </w:r>
      <w:proofErr w:type="spellEnd"/>
      <w:r w:rsidR="00BB07B1" w:rsidRPr="002C1B70">
        <w:rPr>
          <w:rFonts w:ascii="Arial" w:hAnsi="Arial" w:cs="Arial"/>
          <w:sz w:val="24"/>
          <w:szCs w:val="24"/>
        </w:rPr>
        <w:t xml:space="preserve"> &amp; Zimbardo, 2002). </w:t>
      </w:r>
      <w:r w:rsidR="007C0E8B" w:rsidRPr="002C1B70">
        <w:rPr>
          <w:rFonts w:ascii="Arial" w:hAnsi="Arial" w:cs="Arial"/>
          <w:sz w:val="24"/>
          <w:szCs w:val="24"/>
          <w:shd w:val="clear" w:color="auto" w:fill="FFFFFF"/>
        </w:rPr>
        <w:t xml:space="preserve">This theory occurs when an individual observes a link between two variables that are not associated. </w:t>
      </w:r>
      <w:r w:rsidR="009D0A9C" w:rsidRPr="002C1B70">
        <w:rPr>
          <w:rFonts w:ascii="Arial" w:hAnsi="Arial" w:cs="Arial"/>
          <w:sz w:val="24"/>
          <w:szCs w:val="24"/>
          <w:shd w:val="clear" w:color="auto" w:fill="FFFFFF"/>
        </w:rPr>
        <w:t xml:space="preserve">Studies involving the illusory correlation provided </w:t>
      </w:r>
      <w:r w:rsidR="00A73701" w:rsidRPr="002C1B70">
        <w:rPr>
          <w:rFonts w:ascii="Arial" w:hAnsi="Arial" w:cs="Arial"/>
          <w:sz w:val="24"/>
          <w:szCs w:val="24"/>
          <w:shd w:val="clear" w:color="auto" w:fill="FFFFFF"/>
        </w:rPr>
        <w:t xml:space="preserve">an additional basis of stereotyping by putting forward a suggestion that </w:t>
      </w:r>
      <w:r w:rsidR="00EA3007" w:rsidRPr="002C1B70">
        <w:rPr>
          <w:rFonts w:ascii="Arial" w:hAnsi="Arial" w:cs="Arial"/>
          <w:sz w:val="24"/>
          <w:szCs w:val="24"/>
          <w:shd w:val="clear" w:color="auto" w:fill="FFFFFF"/>
        </w:rPr>
        <w:t>individuals might develop a stereotype regarding a collection of people merely because of the way their brains usually process evidence about the world (Hamilton &amp; Rose, 1980).</w:t>
      </w:r>
      <w:r w:rsidR="00BB07B1" w:rsidRPr="002C1B70">
        <w:rPr>
          <w:rFonts w:ascii="Arial" w:hAnsi="Arial" w:cs="Arial"/>
          <w:sz w:val="24"/>
          <w:szCs w:val="24"/>
          <w:shd w:val="clear" w:color="auto" w:fill="FFFFFF"/>
        </w:rPr>
        <w:t xml:space="preserve"> </w:t>
      </w:r>
      <w:r w:rsidR="009376F0" w:rsidRPr="002C1B70">
        <w:rPr>
          <w:rFonts w:ascii="Arial" w:hAnsi="Arial" w:cs="Arial"/>
          <w:sz w:val="24"/>
          <w:szCs w:val="24"/>
          <w:shd w:val="clear" w:color="auto" w:fill="FFFFFF"/>
        </w:rPr>
        <w:t xml:space="preserve">Groups of minority individuals and behaviours that are negative both receive an enormous amount of attention due to them both being moderately rare. </w:t>
      </w:r>
      <w:r w:rsidR="00AB08C1" w:rsidRPr="002C1B70">
        <w:rPr>
          <w:rFonts w:ascii="Arial" w:hAnsi="Arial" w:cs="Arial"/>
          <w:sz w:val="24"/>
          <w:szCs w:val="24"/>
          <w:shd w:val="clear" w:color="auto" w:fill="FFFFFF"/>
        </w:rPr>
        <w:t xml:space="preserve">Therefore, when groups of minority individuals perform negative behaviours, this then creates a strong memory in other individuals who witness these behaviours, leading to the notion that all associates belonging to the minority group are more prone to act or behave negatively compared to the people in the majority group. This relationship between atypical behaviour and atypical group leads to distinctiveness-based illusory correlation </w:t>
      </w:r>
      <w:r w:rsidR="00EA3007" w:rsidRPr="002C1B70">
        <w:rPr>
          <w:rFonts w:ascii="Arial" w:hAnsi="Arial" w:cs="Arial"/>
          <w:sz w:val="24"/>
          <w:szCs w:val="24"/>
        </w:rPr>
        <w:t>(Hamilton &amp; Rose, 1980).</w:t>
      </w:r>
    </w:p>
    <w:p w:rsidR="00C266C3" w:rsidRPr="002C1B70" w:rsidRDefault="00C266C3" w:rsidP="00DA185E">
      <w:pPr>
        <w:spacing w:line="360" w:lineRule="auto"/>
        <w:rPr>
          <w:rFonts w:ascii="Arial" w:hAnsi="Arial" w:cs="Arial"/>
          <w:sz w:val="24"/>
          <w:szCs w:val="24"/>
        </w:rPr>
      </w:pPr>
      <w:r w:rsidRPr="002C1B70">
        <w:rPr>
          <w:rFonts w:ascii="Arial" w:hAnsi="Arial" w:cs="Arial"/>
          <w:sz w:val="24"/>
          <w:szCs w:val="24"/>
        </w:rPr>
        <w:t xml:space="preserve">A study by </w:t>
      </w:r>
      <w:r w:rsidR="001E3BF2" w:rsidRPr="002C1B70">
        <w:rPr>
          <w:rFonts w:ascii="Arial" w:hAnsi="Arial" w:cs="Arial"/>
          <w:sz w:val="24"/>
          <w:szCs w:val="20"/>
          <w:shd w:val="clear" w:color="auto" w:fill="FFFFFF"/>
        </w:rPr>
        <w:t xml:space="preserve">Van </w:t>
      </w:r>
      <w:proofErr w:type="spellStart"/>
      <w:r w:rsidR="001E3BF2" w:rsidRPr="002C1B70">
        <w:rPr>
          <w:rFonts w:ascii="Arial" w:hAnsi="Arial" w:cs="Arial"/>
          <w:sz w:val="24"/>
          <w:szCs w:val="20"/>
          <w:shd w:val="clear" w:color="auto" w:fill="FFFFFF"/>
        </w:rPr>
        <w:t>Rooy</w:t>
      </w:r>
      <w:proofErr w:type="spellEnd"/>
      <w:r w:rsidR="001E3BF2" w:rsidRPr="002C1B70">
        <w:rPr>
          <w:rFonts w:ascii="Arial" w:hAnsi="Arial" w:cs="Arial"/>
          <w:sz w:val="24"/>
          <w:szCs w:val="20"/>
          <w:shd w:val="clear" w:color="auto" w:fill="FFFFFF"/>
        </w:rPr>
        <w:t xml:space="preserve">, </w:t>
      </w:r>
      <w:proofErr w:type="spellStart"/>
      <w:r w:rsidR="001E3BF2" w:rsidRPr="002C1B70">
        <w:rPr>
          <w:rFonts w:ascii="Arial" w:hAnsi="Arial" w:cs="Arial"/>
          <w:sz w:val="24"/>
          <w:szCs w:val="20"/>
          <w:shd w:val="clear" w:color="auto" w:fill="FFFFFF"/>
        </w:rPr>
        <w:t>Vanhoomissen</w:t>
      </w:r>
      <w:proofErr w:type="spellEnd"/>
      <w:r w:rsidR="001E3BF2" w:rsidRPr="002C1B70">
        <w:rPr>
          <w:rFonts w:ascii="Arial" w:hAnsi="Arial" w:cs="Arial"/>
          <w:sz w:val="24"/>
          <w:szCs w:val="20"/>
          <w:shd w:val="clear" w:color="auto" w:fill="FFFFFF"/>
        </w:rPr>
        <w:t xml:space="preserve">, &amp; Van </w:t>
      </w:r>
      <w:proofErr w:type="spellStart"/>
      <w:r w:rsidR="001E3BF2" w:rsidRPr="002C1B70">
        <w:rPr>
          <w:rFonts w:ascii="Arial" w:hAnsi="Arial" w:cs="Arial"/>
          <w:sz w:val="24"/>
          <w:szCs w:val="20"/>
          <w:shd w:val="clear" w:color="auto" w:fill="FFFFFF"/>
        </w:rPr>
        <w:t>Overwalle</w:t>
      </w:r>
      <w:proofErr w:type="spellEnd"/>
      <w:r w:rsidR="001E3BF2" w:rsidRPr="002C1B70">
        <w:rPr>
          <w:rFonts w:ascii="Arial" w:hAnsi="Arial" w:cs="Arial"/>
          <w:sz w:val="24"/>
          <w:szCs w:val="20"/>
          <w:shd w:val="clear" w:color="auto" w:fill="FFFFFF"/>
        </w:rPr>
        <w:t xml:space="preserve">, (2013) showed that their study based on the original illusory correlational bias effect displayed a significant number of findings </w:t>
      </w:r>
      <w:r w:rsidR="00AB6FE1" w:rsidRPr="002C1B70">
        <w:rPr>
          <w:rFonts w:ascii="Arial" w:hAnsi="Arial" w:cs="Arial"/>
          <w:sz w:val="24"/>
          <w:szCs w:val="20"/>
          <w:shd w:val="clear" w:color="auto" w:fill="FFFFFF"/>
        </w:rPr>
        <w:t xml:space="preserve">and </w:t>
      </w:r>
      <w:r w:rsidR="001E3BF2" w:rsidRPr="002C1B70">
        <w:rPr>
          <w:rFonts w:ascii="Arial" w:hAnsi="Arial" w:cs="Arial"/>
          <w:sz w:val="24"/>
          <w:szCs w:val="20"/>
          <w:shd w:val="clear" w:color="auto" w:fill="FFFFFF"/>
        </w:rPr>
        <w:t xml:space="preserve">appeared to be highly incompatible with the original explanation, this then predicts that the illusory correlational bias effect should only </w:t>
      </w:r>
      <w:r w:rsidR="001E3BF2" w:rsidRPr="002C1B70">
        <w:rPr>
          <w:rFonts w:ascii="Arial" w:hAnsi="Arial" w:cs="Arial"/>
          <w:sz w:val="24"/>
          <w:szCs w:val="24"/>
        </w:rPr>
        <w:t xml:space="preserve">occur for the slightest and most adverse group actions due to them being the most diverse. </w:t>
      </w:r>
    </w:p>
    <w:p w:rsidR="00183CE7" w:rsidRDefault="00B91BF6" w:rsidP="00DA185E">
      <w:pPr>
        <w:pStyle w:val="NormalWeb"/>
        <w:shd w:val="clear" w:color="auto" w:fill="FFFFFF"/>
        <w:spacing w:after="192" w:line="360" w:lineRule="auto"/>
        <w:rPr>
          <w:rFonts w:ascii="Arial" w:hAnsi="Arial" w:cs="Arial"/>
          <w:color w:val="000000"/>
          <w:szCs w:val="26"/>
        </w:rPr>
      </w:pPr>
      <w:r w:rsidRPr="002C1B70">
        <w:rPr>
          <w:rFonts w:ascii="Arial" w:hAnsi="Arial" w:cs="Arial"/>
          <w:szCs w:val="20"/>
          <w:shd w:val="clear" w:color="auto" w:fill="FFFFFF"/>
        </w:rPr>
        <w:t>A</w:t>
      </w:r>
      <w:r w:rsidR="00091A63">
        <w:rPr>
          <w:rFonts w:ascii="Arial" w:hAnsi="Arial" w:cs="Arial"/>
          <w:szCs w:val="20"/>
          <w:shd w:val="clear" w:color="auto" w:fill="FFFFFF"/>
        </w:rPr>
        <w:t xml:space="preserve">nother </w:t>
      </w:r>
      <w:r w:rsidRPr="002C1B70">
        <w:rPr>
          <w:rFonts w:ascii="Arial" w:hAnsi="Arial" w:cs="Arial"/>
          <w:szCs w:val="20"/>
          <w:shd w:val="clear" w:color="auto" w:fill="FFFFFF"/>
        </w:rPr>
        <w:t>theory that explains stereotyping is called</w:t>
      </w:r>
      <w:r w:rsidR="00657D1C">
        <w:rPr>
          <w:rFonts w:ascii="Arial" w:hAnsi="Arial" w:cs="Arial"/>
          <w:szCs w:val="20"/>
          <w:shd w:val="clear" w:color="auto" w:fill="FFFFFF"/>
        </w:rPr>
        <w:t xml:space="preserve"> </w:t>
      </w:r>
      <w:r w:rsidR="00657D1C">
        <w:rPr>
          <w:rFonts w:ascii="Arial" w:hAnsi="Arial" w:cs="Arial"/>
          <w:shd w:val="clear" w:color="auto" w:fill="FFFFFF"/>
        </w:rPr>
        <w:t xml:space="preserve">the </w:t>
      </w:r>
      <w:r w:rsidR="00657D1C" w:rsidRPr="00657D1C">
        <w:rPr>
          <w:rFonts w:ascii="Arial" w:hAnsi="Arial" w:cs="Arial"/>
          <w:shd w:val="clear" w:color="auto" w:fill="FFFFFF"/>
        </w:rPr>
        <w:t>Authoritarian Personality</w:t>
      </w:r>
      <w:r w:rsidR="00657D1C">
        <w:rPr>
          <w:rFonts w:ascii="Arial" w:hAnsi="Arial" w:cs="Arial"/>
          <w:shd w:val="clear" w:color="auto" w:fill="FFFFFF"/>
        </w:rPr>
        <w:t xml:space="preserve"> theory (APT). The </w:t>
      </w:r>
      <w:r w:rsidR="00657D1C" w:rsidRPr="00657D1C">
        <w:rPr>
          <w:rFonts w:ascii="Arial" w:hAnsi="Arial" w:cs="Arial"/>
          <w:shd w:val="clear" w:color="auto" w:fill="FFFFFF"/>
        </w:rPr>
        <w:t>Authoritarian Personality</w:t>
      </w:r>
      <w:r w:rsidR="00657D1C">
        <w:rPr>
          <w:rFonts w:ascii="Arial" w:hAnsi="Arial" w:cs="Arial"/>
          <w:shd w:val="clear" w:color="auto" w:fill="FFFFFF"/>
        </w:rPr>
        <w:t xml:space="preserve"> theory stated that an individual’s personality type is the result of prejudice (Adorno, et al., 1950). </w:t>
      </w:r>
      <w:r w:rsidR="00AF3158">
        <w:rPr>
          <w:rFonts w:ascii="Arial" w:hAnsi="Arial" w:cs="Arial"/>
          <w:shd w:val="clear" w:color="auto" w:fill="FFFFFF"/>
        </w:rPr>
        <w:t>Adorno stated that people with controlling personalitie</w:t>
      </w:r>
      <w:r w:rsidR="006F153F">
        <w:rPr>
          <w:rFonts w:ascii="Arial" w:hAnsi="Arial" w:cs="Arial"/>
          <w:shd w:val="clear" w:color="auto" w:fill="FFFFFF"/>
        </w:rPr>
        <w:t>s place people into categories, this meaning then their own group will be</w:t>
      </w:r>
      <w:r w:rsidR="006F153F" w:rsidRPr="006F153F">
        <w:rPr>
          <w:rFonts w:ascii="Arial" w:hAnsi="Arial" w:cs="Arial"/>
          <w:shd w:val="clear" w:color="auto" w:fill="FFFFFF"/>
        </w:rPr>
        <w:t xml:space="preserve"> </w:t>
      </w:r>
      <w:r w:rsidR="006F153F">
        <w:rPr>
          <w:rFonts w:ascii="Arial" w:hAnsi="Arial" w:cs="Arial"/>
          <w:shd w:val="clear" w:color="auto" w:fill="FFFFFF"/>
        </w:rPr>
        <w:t xml:space="preserve">better than the other groups. </w:t>
      </w:r>
      <w:r w:rsidR="006F153F" w:rsidRPr="006F153F">
        <w:rPr>
          <w:rFonts w:ascii="Arial" w:hAnsi="Arial" w:cs="Arial"/>
          <w:color w:val="000000"/>
          <w:szCs w:val="26"/>
        </w:rPr>
        <w:t>According to Adorno (1950), Evidence has shown that controlling personalities do exist.</w:t>
      </w:r>
      <w:r w:rsidR="006F153F">
        <w:rPr>
          <w:rFonts w:ascii="Arial" w:hAnsi="Arial" w:cs="Arial"/>
          <w:color w:val="000000"/>
          <w:szCs w:val="26"/>
        </w:rPr>
        <w:t xml:space="preserve"> This may be beneficial in helping to explain why some people are more resilient and less likely to change their prejudice views. </w:t>
      </w:r>
    </w:p>
    <w:p w:rsidR="00091A63" w:rsidRPr="00091A63" w:rsidRDefault="006F153F" w:rsidP="00DA185E">
      <w:pPr>
        <w:spacing w:line="360" w:lineRule="auto"/>
        <w:rPr>
          <w:rFonts w:ascii="Arial" w:hAnsi="Arial" w:cs="Arial"/>
          <w:sz w:val="28"/>
          <w:szCs w:val="24"/>
        </w:rPr>
      </w:pPr>
      <w:r w:rsidRPr="00091A63">
        <w:rPr>
          <w:rFonts w:ascii="Arial" w:hAnsi="Arial" w:cs="Arial"/>
          <w:color w:val="000000"/>
          <w:sz w:val="24"/>
          <w:szCs w:val="26"/>
        </w:rPr>
        <w:lastRenderedPageBreak/>
        <w:t>There are many critiques on th</w:t>
      </w:r>
      <w:r w:rsidR="00544B84" w:rsidRPr="00091A63">
        <w:rPr>
          <w:rFonts w:ascii="Arial" w:hAnsi="Arial" w:cs="Arial"/>
          <w:color w:val="000000"/>
          <w:sz w:val="24"/>
          <w:szCs w:val="26"/>
        </w:rPr>
        <w:t xml:space="preserve">e </w:t>
      </w:r>
      <w:r w:rsidR="00544B84" w:rsidRPr="00091A63">
        <w:rPr>
          <w:rFonts w:ascii="Arial" w:hAnsi="Arial" w:cs="Arial"/>
          <w:sz w:val="24"/>
          <w:shd w:val="clear" w:color="auto" w:fill="FFFFFF"/>
        </w:rPr>
        <w:t>Authoritarian Personality theory,</w:t>
      </w:r>
      <w:r w:rsidRPr="00091A63">
        <w:rPr>
          <w:rFonts w:ascii="Arial" w:hAnsi="Arial" w:cs="Arial"/>
          <w:color w:val="000000"/>
          <w:sz w:val="24"/>
          <w:szCs w:val="26"/>
        </w:rPr>
        <w:t xml:space="preserve"> such</w:t>
      </w:r>
      <w:r w:rsidR="00544B84" w:rsidRPr="00091A63">
        <w:rPr>
          <w:rFonts w:ascii="Arial" w:hAnsi="Arial" w:cs="Arial"/>
          <w:color w:val="000000"/>
          <w:sz w:val="24"/>
          <w:szCs w:val="26"/>
        </w:rPr>
        <w:t xml:space="preserve"> as</w:t>
      </w:r>
      <w:r w:rsidRPr="00091A63">
        <w:rPr>
          <w:rFonts w:ascii="Arial" w:hAnsi="Arial" w:cs="Arial"/>
          <w:color w:val="000000"/>
          <w:sz w:val="24"/>
          <w:szCs w:val="26"/>
        </w:rPr>
        <w:t xml:space="preserve"> some people who discriminate against other people do not abide by the controlling personality type and this theory also doesn’t explain why </w:t>
      </w:r>
      <w:r w:rsidR="00544B84" w:rsidRPr="00091A63">
        <w:rPr>
          <w:rFonts w:ascii="Arial" w:hAnsi="Arial" w:cs="Arial"/>
          <w:color w:val="000000"/>
          <w:sz w:val="24"/>
          <w:szCs w:val="26"/>
        </w:rPr>
        <w:t xml:space="preserve">some individuals discriminate against some types of groups and </w:t>
      </w:r>
      <w:r w:rsidR="00091A63" w:rsidRPr="00091A63">
        <w:rPr>
          <w:rFonts w:ascii="Arial" w:hAnsi="Arial" w:cs="Arial"/>
          <w:color w:val="000000"/>
          <w:sz w:val="24"/>
          <w:szCs w:val="26"/>
        </w:rPr>
        <w:t>no</w:t>
      </w:r>
      <w:r w:rsidR="00544B84" w:rsidRPr="00091A63">
        <w:rPr>
          <w:rFonts w:ascii="Arial" w:hAnsi="Arial" w:cs="Arial"/>
          <w:color w:val="000000"/>
          <w:sz w:val="24"/>
          <w:szCs w:val="26"/>
        </w:rPr>
        <w:t xml:space="preserve"> other groups.</w:t>
      </w:r>
      <w:r w:rsidR="00183CE7" w:rsidRPr="00091A63">
        <w:rPr>
          <w:rFonts w:ascii="Arial" w:hAnsi="Arial" w:cs="Arial"/>
          <w:sz w:val="28"/>
          <w:szCs w:val="24"/>
        </w:rPr>
        <w:t xml:space="preserve"> </w:t>
      </w:r>
    </w:p>
    <w:p w:rsidR="00183CE7" w:rsidRPr="002C1B70" w:rsidRDefault="00183CE7" w:rsidP="00DA185E">
      <w:pPr>
        <w:spacing w:line="360" w:lineRule="auto"/>
        <w:rPr>
          <w:rFonts w:ascii="Arial" w:hAnsi="Arial" w:cs="Arial"/>
          <w:sz w:val="24"/>
          <w:szCs w:val="24"/>
        </w:rPr>
      </w:pPr>
      <w:r w:rsidRPr="002C1B70">
        <w:rPr>
          <w:rFonts w:ascii="Arial" w:hAnsi="Arial" w:cs="Arial"/>
          <w:sz w:val="24"/>
          <w:szCs w:val="24"/>
        </w:rPr>
        <w:t>A</w:t>
      </w:r>
      <w:r w:rsidR="00091A63">
        <w:rPr>
          <w:rFonts w:ascii="Arial" w:hAnsi="Arial" w:cs="Arial"/>
          <w:sz w:val="24"/>
          <w:szCs w:val="24"/>
        </w:rPr>
        <w:t xml:space="preserve"> third </w:t>
      </w:r>
      <w:r w:rsidRPr="002C1B70">
        <w:rPr>
          <w:rFonts w:ascii="Arial" w:hAnsi="Arial" w:cs="Arial"/>
          <w:sz w:val="24"/>
          <w:szCs w:val="24"/>
        </w:rPr>
        <w:t xml:space="preserve">theory that explains stereotyping is called the self-identity theory. </w:t>
      </w:r>
    </w:p>
    <w:p w:rsidR="00183CE7" w:rsidRPr="002C1B70" w:rsidRDefault="00183CE7" w:rsidP="00DA185E">
      <w:pPr>
        <w:spacing w:line="360" w:lineRule="auto"/>
        <w:rPr>
          <w:rFonts w:ascii="Arial" w:hAnsi="Arial" w:cs="Arial"/>
          <w:sz w:val="24"/>
          <w:szCs w:val="24"/>
        </w:rPr>
      </w:pPr>
      <w:r w:rsidRPr="002C1B70">
        <w:rPr>
          <w:rFonts w:ascii="Arial" w:hAnsi="Arial" w:cs="Arial"/>
          <w:sz w:val="24"/>
          <w:szCs w:val="24"/>
        </w:rPr>
        <w:t xml:space="preserve">An individual’s own sense of identity and who they are based on their connection within a group. Groups such as families, peer groups, sports teams etc that associated themselves with were a vital source of self-esteem and self-respect. Social identity is created using groups, it creates a feeling of belonging to the societal world (Tajfel, 1979). </w:t>
      </w:r>
    </w:p>
    <w:p w:rsidR="00183CE7" w:rsidRPr="002C1B70" w:rsidRDefault="00183CE7" w:rsidP="00DA185E">
      <w:pPr>
        <w:pStyle w:val="NormalWeb"/>
        <w:shd w:val="clear" w:color="auto" w:fill="FFFFFF"/>
        <w:spacing w:before="0" w:beforeAutospacing="0" w:after="192" w:afterAutospacing="0" w:line="360" w:lineRule="auto"/>
        <w:rPr>
          <w:rFonts w:ascii="Arial" w:hAnsi="Arial" w:cs="Arial"/>
          <w:szCs w:val="26"/>
        </w:rPr>
      </w:pPr>
      <w:r w:rsidRPr="002C1B70">
        <w:rPr>
          <w:rFonts w:ascii="Arial" w:hAnsi="Arial" w:cs="Arial"/>
          <w:szCs w:val="26"/>
        </w:rPr>
        <w:t>Tajfel (1979) states that placing people into groups is called stereotyping and is founded on regular intellectual process which is the propensity to cluster ideas together. When doing so, individuals normally tend to exaggerate the differences among groups, and the likeness of things in the similar group. Individuals categorize people in a similar way. The group which the individual belongs to is perceived as being different from the other groups. The other group members that are associated with the same group are more alike than they are (Tajfel, 1979).</w:t>
      </w:r>
    </w:p>
    <w:p w:rsidR="00183CE7" w:rsidRPr="002C1B70" w:rsidRDefault="00183CE7" w:rsidP="00DA185E">
      <w:pPr>
        <w:pStyle w:val="NormalWeb"/>
        <w:shd w:val="clear" w:color="auto" w:fill="FFFFFF"/>
        <w:spacing w:after="192" w:line="360" w:lineRule="auto"/>
        <w:rPr>
          <w:rFonts w:ascii="Arial" w:hAnsi="Arial" w:cs="Arial"/>
        </w:rPr>
      </w:pPr>
      <w:r w:rsidRPr="002C1B70">
        <w:rPr>
          <w:rFonts w:ascii="Arial" w:hAnsi="Arial" w:cs="Arial"/>
          <w:szCs w:val="26"/>
        </w:rPr>
        <w:t xml:space="preserve">According to </w:t>
      </w:r>
      <w:r w:rsidRPr="002C1B70">
        <w:rPr>
          <w:rFonts w:ascii="Arial" w:hAnsi="Arial" w:cs="Arial"/>
          <w:szCs w:val="20"/>
          <w:shd w:val="clear" w:color="auto" w:fill="FFFFFF"/>
        </w:rPr>
        <w:t xml:space="preserve">Hogg, Terry &amp; White (1995), </w:t>
      </w:r>
      <w:r w:rsidRPr="002C1B70">
        <w:rPr>
          <w:rFonts w:ascii="Arial" w:hAnsi="Arial" w:cs="Arial"/>
        </w:rPr>
        <w:t xml:space="preserve">to gain a better understanding of the development of identity, there needs to be more research conducted on individuals’ characteristics that influence them to adopt an identity within a group. In some cases, individuals may have a willingness to pursue multiple identities, however, other individuals may wish to define their identity based one either one or two main group associations. When an individual recognises themselves as part of a social group, this is then called an ingroup. Likewise, when an individual does not perceive themselves as part of a comparable group, these groups are called outgroup. To create this ingroup/outgroup mentality there are three mental processes to consider, these are, Social Categorization, Social Identification and Social comparison. </w:t>
      </w:r>
    </w:p>
    <w:p w:rsidR="00183CE7" w:rsidRPr="002C1B70" w:rsidRDefault="00183CE7" w:rsidP="00DA185E">
      <w:pPr>
        <w:pStyle w:val="NormalWeb"/>
        <w:shd w:val="clear" w:color="auto" w:fill="FFFFFF"/>
        <w:spacing w:after="192" w:line="360" w:lineRule="auto"/>
        <w:rPr>
          <w:rFonts w:ascii="Arial" w:hAnsi="Arial" w:cs="Arial"/>
        </w:rPr>
      </w:pPr>
      <w:r w:rsidRPr="002C1B70">
        <w:rPr>
          <w:rFonts w:ascii="Arial" w:hAnsi="Arial" w:cs="Arial"/>
        </w:rPr>
        <w:t xml:space="preserve">The first mental process is called Social Categorization. Individuals tend to categorize other individuals to comprehend and recognise them whether they be black, white, Hispanic, teacher, student etc. By understanding and realising what groups people belong to, then individuals can start to realise important facts about </w:t>
      </w:r>
      <w:r w:rsidRPr="002C1B70">
        <w:rPr>
          <w:rFonts w:ascii="Arial" w:hAnsi="Arial" w:cs="Arial"/>
        </w:rPr>
        <w:lastRenderedPageBreak/>
        <w:t xml:space="preserve">themselves and can start defining what behaviour is appropriate according to the social groups that they belong to. At the same time, an individual can associate with several groups simultaneously. </w:t>
      </w:r>
    </w:p>
    <w:p w:rsidR="00183CE7" w:rsidRPr="002C1B70" w:rsidRDefault="00183CE7" w:rsidP="00DA185E">
      <w:pPr>
        <w:pStyle w:val="NormalWeb"/>
        <w:shd w:val="clear" w:color="auto" w:fill="FFFFFF"/>
        <w:spacing w:after="192" w:line="360" w:lineRule="auto"/>
        <w:rPr>
          <w:rFonts w:ascii="Arial" w:hAnsi="Arial" w:cs="Arial"/>
        </w:rPr>
      </w:pPr>
      <w:r w:rsidRPr="002C1B70">
        <w:rPr>
          <w:rFonts w:ascii="Arial" w:hAnsi="Arial" w:cs="Arial"/>
        </w:rPr>
        <w:t xml:space="preserve">The second mental process is called Social Identification. This means that individuals accept the identity of the group that they associate with and behave in ways that the individual believes the other members of the group behave. For instance, if an individual identifies themselves as a constitutionalist, their behaviour will more than likely be within the social norms of that group. Due to their involvement with that group, the individual will acquire an emotional significance to that identification and their self-confidence will depend on it. </w:t>
      </w:r>
    </w:p>
    <w:p w:rsidR="00183CE7" w:rsidRDefault="00183CE7" w:rsidP="00DA185E">
      <w:pPr>
        <w:pStyle w:val="NormalWeb"/>
        <w:shd w:val="clear" w:color="auto" w:fill="FFFFFF"/>
        <w:spacing w:after="192" w:line="360" w:lineRule="auto"/>
        <w:rPr>
          <w:rFonts w:ascii="Arial" w:hAnsi="Arial" w:cs="Arial"/>
        </w:rPr>
      </w:pPr>
      <w:r w:rsidRPr="002C1B70">
        <w:rPr>
          <w:rFonts w:ascii="Arial" w:hAnsi="Arial" w:cs="Arial"/>
        </w:rPr>
        <w:t xml:space="preserve">The final mental process is called Social Comparison. Once an individual has successfully categorized and identified themselves as being part of a group, they then tend to compare the group we associate with (ingroup) to another group (outgroup). To preserve the groups self-confidence, members of the group will compare their group positively against other groups. This explanation helps to clarify prejudgment and discrimination because a group will normally tend to view members off an outgroup negatively to increase their own self-esteem.  </w:t>
      </w:r>
    </w:p>
    <w:p w:rsidR="00183CE7" w:rsidRPr="002C1B70" w:rsidRDefault="00183CE7" w:rsidP="00DA185E">
      <w:pPr>
        <w:pStyle w:val="NormalWeb"/>
        <w:shd w:val="clear" w:color="auto" w:fill="FFFFFF"/>
        <w:spacing w:after="192" w:line="360" w:lineRule="auto"/>
        <w:rPr>
          <w:rFonts w:ascii="Arial" w:hAnsi="Arial" w:cs="Arial"/>
        </w:rPr>
      </w:pPr>
      <w:r>
        <w:rPr>
          <w:rFonts w:ascii="Arial" w:hAnsi="Arial" w:cs="Arial"/>
        </w:rPr>
        <w:t xml:space="preserve">According to </w:t>
      </w:r>
      <w:proofErr w:type="spellStart"/>
      <w:r>
        <w:rPr>
          <w:rFonts w:ascii="Arial" w:hAnsi="Arial" w:cs="Arial"/>
        </w:rPr>
        <w:t>Duckitt</w:t>
      </w:r>
      <w:proofErr w:type="spellEnd"/>
      <w:r>
        <w:rPr>
          <w:rFonts w:ascii="Arial" w:hAnsi="Arial" w:cs="Arial"/>
        </w:rPr>
        <w:t xml:space="preserve"> (2005) there have been critiques against the social identity theory due to it having better illustrative power than predictive power. However, even though the association between the subsequent intergroup behaviour and the autonomous variables may be consistent with the theory, the result is not usually that which was first predicted at the beginning. In addition, the social identity theory was never proved to be the definitive solution to understanding intergroup relationships (</w:t>
      </w:r>
      <w:proofErr w:type="spellStart"/>
      <w:r>
        <w:rPr>
          <w:rFonts w:ascii="Arial" w:hAnsi="Arial" w:cs="Arial"/>
        </w:rPr>
        <w:t>Duckitt</w:t>
      </w:r>
      <w:proofErr w:type="spellEnd"/>
      <w:r>
        <w:rPr>
          <w:rFonts w:ascii="Arial" w:hAnsi="Arial" w:cs="Arial"/>
        </w:rPr>
        <w:t>, 2005).</w:t>
      </w:r>
    </w:p>
    <w:p w:rsidR="009817EA" w:rsidRDefault="00091A63" w:rsidP="00DA185E">
      <w:pPr>
        <w:pStyle w:val="NormalWeb"/>
        <w:shd w:val="clear" w:color="auto" w:fill="FFFFFF"/>
        <w:spacing w:after="192" w:line="360" w:lineRule="auto"/>
        <w:rPr>
          <w:rFonts w:ascii="Arial" w:hAnsi="Arial" w:cs="Arial"/>
          <w:szCs w:val="20"/>
        </w:rPr>
      </w:pPr>
      <w:r>
        <w:rPr>
          <w:rFonts w:ascii="Arial" w:hAnsi="Arial" w:cs="Arial"/>
          <w:color w:val="000000"/>
          <w:szCs w:val="26"/>
        </w:rPr>
        <w:t xml:space="preserve">According to </w:t>
      </w:r>
      <w:proofErr w:type="spellStart"/>
      <w:r w:rsidRPr="00091A63">
        <w:rPr>
          <w:rFonts w:ascii="Arial" w:hAnsi="Arial" w:cs="Arial"/>
          <w:szCs w:val="20"/>
        </w:rPr>
        <w:t>Niens</w:t>
      </w:r>
      <w:proofErr w:type="spellEnd"/>
      <w:r w:rsidRPr="00091A63">
        <w:rPr>
          <w:rFonts w:ascii="Arial" w:hAnsi="Arial" w:cs="Arial"/>
          <w:szCs w:val="20"/>
        </w:rPr>
        <w:t>,</w:t>
      </w:r>
      <w:r>
        <w:rPr>
          <w:rFonts w:ascii="Arial" w:hAnsi="Arial" w:cs="Arial"/>
          <w:szCs w:val="20"/>
        </w:rPr>
        <w:t xml:space="preserve"> </w:t>
      </w:r>
      <w:r w:rsidRPr="00091A63">
        <w:rPr>
          <w:rFonts w:ascii="Arial" w:hAnsi="Arial" w:cs="Arial"/>
          <w:szCs w:val="20"/>
        </w:rPr>
        <w:t xml:space="preserve">Cairns, </w:t>
      </w:r>
      <w:proofErr w:type="spellStart"/>
      <w:r w:rsidRPr="00091A63">
        <w:rPr>
          <w:rFonts w:ascii="Arial" w:hAnsi="Arial" w:cs="Arial"/>
          <w:szCs w:val="20"/>
        </w:rPr>
        <w:t>Finchilescu</w:t>
      </w:r>
      <w:proofErr w:type="spellEnd"/>
      <w:r w:rsidRPr="00091A63">
        <w:rPr>
          <w:rFonts w:ascii="Arial" w:hAnsi="Arial" w:cs="Arial"/>
          <w:szCs w:val="20"/>
        </w:rPr>
        <w:t xml:space="preserve">, Foster, &amp; </w:t>
      </w:r>
      <w:proofErr w:type="spellStart"/>
      <w:r w:rsidRPr="00091A63">
        <w:rPr>
          <w:rFonts w:ascii="Arial" w:hAnsi="Arial" w:cs="Arial"/>
          <w:szCs w:val="20"/>
        </w:rPr>
        <w:t>Tredoux</w:t>
      </w:r>
      <w:proofErr w:type="spellEnd"/>
      <w:r w:rsidRPr="00091A63">
        <w:rPr>
          <w:rFonts w:ascii="Arial" w:hAnsi="Arial" w:cs="Arial"/>
          <w:szCs w:val="20"/>
        </w:rPr>
        <w:t xml:space="preserve"> (2003)</w:t>
      </w:r>
      <w:r>
        <w:rPr>
          <w:rFonts w:ascii="Arial" w:hAnsi="Arial" w:cs="Arial"/>
          <w:szCs w:val="20"/>
        </w:rPr>
        <w:t xml:space="preserve">, there is an assumption that the social identity theory </w:t>
      </w:r>
      <w:r w:rsidR="009817EA">
        <w:rPr>
          <w:rFonts w:ascii="Arial" w:hAnsi="Arial" w:cs="Arial"/>
          <w:szCs w:val="20"/>
        </w:rPr>
        <w:t>help</w:t>
      </w:r>
      <w:r>
        <w:rPr>
          <w:rFonts w:ascii="Arial" w:hAnsi="Arial" w:cs="Arial"/>
          <w:szCs w:val="20"/>
        </w:rPr>
        <w:t xml:space="preserve"> individuals apply individuality management plans </w:t>
      </w:r>
      <w:r w:rsidR="009817EA">
        <w:rPr>
          <w:rFonts w:ascii="Arial" w:hAnsi="Arial" w:cs="Arial"/>
          <w:szCs w:val="20"/>
        </w:rPr>
        <w:t xml:space="preserve">to help enable people to cope with social identities that have been threatened. It has been stated that both the social identity theory and the authoritarian personality theory may provide guidance and help identity plans for both the </w:t>
      </w:r>
      <w:r w:rsidR="00A9776A">
        <w:rPr>
          <w:rFonts w:ascii="Arial" w:hAnsi="Arial" w:cs="Arial"/>
          <w:szCs w:val="20"/>
        </w:rPr>
        <w:t>mainstream</w:t>
      </w:r>
      <w:r w:rsidR="009817EA">
        <w:rPr>
          <w:rFonts w:ascii="Arial" w:hAnsi="Arial" w:cs="Arial"/>
          <w:szCs w:val="20"/>
        </w:rPr>
        <w:t xml:space="preserve"> and minority groups</w:t>
      </w:r>
      <w:r w:rsidR="00A9776A">
        <w:rPr>
          <w:rFonts w:ascii="Arial" w:hAnsi="Arial" w:cs="Arial"/>
          <w:szCs w:val="20"/>
        </w:rPr>
        <w:t xml:space="preserve">. </w:t>
      </w:r>
      <w:r w:rsidR="009817EA">
        <w:rPr>
          <w:rFonts w:ascii="Arial" w:hAnsi="Arial" w:cs="Arial"/>
          <w:szCs w:val="20"/>
        </w:rPr>
        <w:t xml:space="preserve">Diverse roles in preferences for individual management plans </w:t>
      </w:r>
      <w:r w:rsidR="00B33377">
        <w:rPr>
          <w:rFonts w:ascii="Arial" w:hAnsi="Arial" w:cs="Arial"/>
          <w:szCs w:val="20"/>
        </w:rPr>
        <w:t xml:space="preserve">may be influenced by  the social identity theory. However, even </w:t>
      </w:r>
      <w:r w:rsidR="00B33377">
        <w:rPr>
          <w:rFonts w:ascii="Arial" w:hAnsi="Arial" w:cs="Arial"/>
          <w:szCs w:val="20"/>
        </w:rPr>
        <w:lastRenderedPageBreak/>
        <w:t xml:space="preserve">though the social identity theory might be </w:t>
      </w:r>
      <w:r w:rsidR="00E36178">
        <w:rPr>
          <w:rFonts w:ascii="Arial" w:hAnsi="Arial" w:cs="Arial"/>
          <w:szCs w:val="20"/>
        </w:rPr>
        <w:t xml:space="preserve">beneficial in explaining these interventions, the authoritarian personality </w:t>
      </w:r>
      <w:r w:rsidR="00A9776A">
        <w:rPr>
          <w:rFonts w:ascii="Arial" w:hAnsi="Arial" w:cs="Arial"/>
          <w:szCs w:val="20"/>
        </w:rPr>
        <w:t xml:space="preserve">is </w:t>
      </w:r>
      <w:r w:rsidR="00E36178">
        <w:rPr>
          <w:rFonts w:ascii="Arial" w:hAnsi="Arial" w:cs="Arial"/>
          <w:szCs w:val="20"/>
        </w:rPr>
        <w:t xml:space="preserve">more useful to better explain collective </w:t>
      </w:r>
      <w:r w:rsidR="009B02CC">
        <w:rPr>
          <w:rFonts w:ascii="Arial" w:hAnsi="Arial" w:cs="Arial"/>
          <w:szCs w:val="20"/>
        </w:rPr>
        <w:t>strategies</w:t>
      </w:r>
      <w:r w:rsidR="00A9776A">
        <w:rPr>
          <w:rFonts w:ascii="Arial" w:hAnsi="Arial" w:cs="Arial"/>
          <w:szCs w:val="20"/>
        </w:rPr>
        <w:t xml:space="preserve"> (</w:t>
      </w:r>
      <w:proofErr w:type="spellStart"/>
      <w:r w:rsidR="00A9776A">
        <w:rPr>
          <w:rFonts w:ascii="Arial" w:hAnsi="Arial" w:cs="Arial"/>
          <w:szCs w:val="20"/>
        </w:rPr>
        <w:t>Niens</w:t>
      </w:r>
      <w:proofErr w:type="spellEnd"/>
      <w:r w:rsidR="00A9776A">
        <w:rPr>
          <w:rFonts w:ascii="Arial" w:hAnsi="Arial" w:cs="Arial"/>
          <w:szCs w:val="20"/>
        </w:rPr>
        <w:t>, et al., 2003).</w:t>
      </w:r>
    </w:p>
    <w:p w:rsidR="00A9776A" w:rsidRDefault="00A9776A" w:rsidP="00DA185E">
      <w:pPr>
        <w:pStyle w:val="NormalWeb"/>
        <w:shd w:val="clear" w:color="auto" w:fill="FFFFFF"/>
        <w:spacing w:after="192" w:line="360" w:lineRule="auto"/>
        <w:rPr>
          <w:rFonts w:ascii="Arial" w:hAnsi="Arial" w:cs="Arial"/>
          <w:szCs w:val="20"/>
        </w:rPr>
      </w:pPr>
      <w:r>
        <w:rPr>
          <w:rFonts w:ascii="Arial" w:hAnsi="Arial" w:cs="Arial"/>
          <w:szCs w:val="20"/>
        </w:rPr>
        <w:t>This essay is now going to discuss gender stereotyping in the media.</w:t>
      </w:r>
    </w:p>
    <w:p w:rsidR="00A9776A" w:rsidRDefault="00A9776A" w:rsidP="00DA185E">
      <w:pPr>
        <w:pStyle w:val="NormalWeb"/>
        <w:shd w:val="clear" w:color="auto" w:fill="FFFFFF"/>
        <w:spacing w:after="192" w:line="360" w:lineRule="auto"/>
        <w:rPr>
          <w:rFonts w:ascii="Arial" w:hAnsi="Arial" w:cs="Arial"/>
          <w:szCs w:val="20"/>
        </w:rPr>
      </w:pPr>
      <w:r>
        <w:rPr>
          <w:rFonts w:ascii="Arial" w:hAnsi="Arial" w:cs="Arial"/>
          <w:szCs w:val="20"/>
        </w:rPr>
        <w:t xml:space="preserve">According to </w:t>
      </w:r>
      <w:r w:rsidRPr="00A9776A">
        <w:rPr>
          <w:rFonts w:ascii="Arial" w:hAnsi="Arial" w:cs="Arial"/>
          <w:color w:val="222222"/>
          <w:szCs w:val="20"/>
          <w:shd w:val="clear" w:color="auto" w:fill="FFFFFF"/>
        </w:rPr>
        <w:t>Wood</w:t>
      </w:r>
      <w:r>
        <w:rPr>
          <w:rFonts w:ascii="Arial" w:hAnsi="Arial" w:cs="Arial"/>
          <w:color w:val="222222"/>
          <w:szCs w:val="20"/>
          <w:shd w:val="clear" w:color="auto" w:fill="FFFFFF"/>
        </w:rPr>
        <w:t xml:space="preserve"> (</w:t>
      </w:r>
      <w:r w:rsidRPr="00A9776A">
        <w:rPr>
          <w:rFonts w:ascii="Arial" w:hAnsi="Arial" w:cs="Arial"/>
          <w:color w:val="222222"/>
          <w:szCs w:val="20"/>
          <w:shd w:val="clear" w:color="auto" w:fill="FFFFFF"/>
        </w:rPr>
        <w:t>1994)</w:t>
      </w:r>
      <w:r>
        <w:rPr>
          <w:rFonts w:ascii="Arial" w:hAnsi="Arial" w:cs="Arial"/>
          <w:color w:val="222222"/>
          <w:szCs w:val="20"/>
          <w:shd w:val="clear" w:color="auto" w:fill="FFFFFF"/>
        </w:rPr>
        <w:t xml:space="preserve">, </w:t>
      </w:r>
      <w:r w:rsidR="008D50CF">
        <w:rPr>
          <w:rFonts w:ascii="Arial" w:hAnsi="Arial" w:cs="Arial"/>
          <w:color w:val="222222"/>
          <w:szCs w:val="20"/>
          <w:shd w:val="clear" w:color="auto" w:fill="FFFFFF"/>
        </w:rPr>
        <w:t xml:space="preserve">One of </w:t>
      </w:r>
      <w:r>
        <w:rPr>
          <w:rFonts w:ascii="Arial" w:hAnsi="Arial" w:cs="Arial"/>
          <w:color w:val="222222"/>
          <w:szCs w:val="20"/>
          <w:shd w:val="clear" w:color="auto" w:fill="FFFFFF"/>
        </w:rPr>
        <w:t xml:space="preserve">the most powerful influence </w:t>
      </w:r>
      <w:r w:rsidR="008D50CF">
        <w:rPr>
          <w:rFonts w:ascii="Arial" w:hAnsi="Arial" w:cs="Arial"/>
          <w:color w:val="222222"/>
          <w:szCs w:val="20"/>
          <w:shd w:val="clear" w:color="auto" w:fill="FFFFFF"/>
        </w:rPr>
        <w:t xml:space="preserve">on how men and women are portrayed is the media. Media has become readily available throughout daily life and it also communicates their messages into our brain every day. All </w:t>
      </w:r>
      <w:r w:rsidR="008D50CF">
        <w:rPr>
          <w:rFonts w:ascii="Arial" w:hAnsi="Arial" w:cs="Arial"/>
          <w:szCs w:val="20"/>
        </w:rPr>
        <w:t xml:space="preserve">types of media portray images of both men and women, </w:t>
      </w:r>
      <w:r w:rsidR="00AA0462">
        <w:rPr>
          <w:rFonts w:ascii="Arial" w:hAnsi="Arial" w:cs="Arial"/>
          <w:szCs w:val="20"/>
        </w:rPr>
        <w:t xml:space="preserve">many of which display images that are not realistic, discriminative and have perceptions that are limited. There are three themes that explain how gender is represented within the media. Initially, </w:t>
      </w:r>
      <w:r w:rsidR="00067A29">
        <w:rPr>
          <w:rFonts w:ascii="Arial" w:hAnsi="Arial" w:cs="Arial"/>
          <w:szCs w:val="20"/>
        </w:rPr>
        <w:t>women are not presented appropriately which incorrectly suggests that the cultural standard are men and women are unseen or insignificant. The second point is that both genders are portrayed in ways that are discriminatory and endure socially recognised opinions of gender</w:t>
      </w:r>
      <w:r w:rsidR="009F5E71">
        <w:rPr>
          <w:rFonts w:ascii="Arial" w:hAnsi="Arial" w:cs="Arial"/>
          <w:szCs w:val="20"/>
        </w:rPr>
        <w:t xml:space="preserve"> (</w:t>
      </w:r>
      <w:r w:rsidR="009F5E71" w:rsidRPr="00A9776A">
        <w:rPr>
          <w:rFonts w:ascii="Arial" w:hAnsi="Arial" w:cs="Arial"/>
          <w:color w:val="222222"/>
          <w:szCs w:val="20"/>
          <w:shd w:val="clear" w:color="auto" w:fill="FFFFFF"/>
        </w:rPr>
        <w:t>Wood</w:t>
      </w:r>
      <w:r w:rsidR="009F5E71">
        <w:rPr>
          <w:rFonts w:ascii="Arial" w:hAnsi="Arial" w:cs="Arial"/>
          <w:color w:val="222222"/>
          <w:szCs w:val="20"/>
          <w:shd w:val="clear" w:color="auto" w:fill="FFFFFF"/>
        </w:rPr>
        <w:t>, 1</w:t>
      </w:r>
      <w:r w:rsidR="009F5E71" w:rsidRPr="00A9776A">
        <w:rPr>
          <w:rFonts w:ascii="Arial" w:hAnsi="Arial" w:cs="Arial"/>
          <w:color w:val="222222"/>
          <w:szCs w:val="20"/>
          <w:shd w:val="clear" w:color="auto" w:fill="FFFFFF"/>
        </w:rPr>
        <w:t>994)</w:t>
      </w:r>
      <w:r w:rsidR="009F5E71">
        <w:rPr>
          <w:rFonts w:ascii="Arial" w:hAnsi="Arial" w:cs="Arial"/>
          <w:color w:val="222222"/>
          <w:szCs w:val="20"/>
          <w:shd w:val="clear" w:color="auto" w:fill="FFFFFF"/>
        </w:rPr>
        <w:t>.</w:t>
      </w:r>
      <w:r w:rsidR="009F5E71">
        <w:rPr>
          <w:rFonts w:ascii="Arial" w:hAnsi="Arial" w:cs="Arial"/>
          <w:szCs w:val="20"/>
        </w:rPr>
        <w:t xml:space="preserve"> </w:t>
      </w:r>
      <w:r w:rsidR="00067A29">
        <w:rPr>
          <w:rFonts w:ascii="Arial" w:hAnsi="Arial" w:cs="Arial"/>
          <w:szCs w:val="20"/>
        </w:rPr>
        <w:t xml:space="preserve">Finally, </w:t>
      </w:r>
      <w:r w:rsidR="009F5E71">
        <w:rPr>
          <w:rFonts w:ascii="Arial" w:hAnsi="Arial" w:cs="Arial"/>
          <w:szCs w:val="20"/>
        </w:rPr>
        <w:t xml:space="preserve">According to </w:t>
      </w:r>
      <w:r w:rsidR="009F5E71" w:rsidRPr="00A9776A">
        <w:rPr>
          <w:rFonts w:ascii="Arial" w:hAnsi="Arial" w:cs="Arial"/>
          <w:color w:val="222222"/>
          <w:szCs w:val="20"/>
          <w:shd w:val="clear" w:color="auto" w:fill="FFFFFF"/>
        </w:rPr>
        <w:t>Wood</w:t>
      </w:r>
      <w:r w:rsidR="009F5E71">
        <w:rPr>
          <w:rFonts w:ascii="Arial" w:hAnsi="Arial" w:cs="Arial"/>
          <w:color w:val="222222"/>
          <w:szCs w:val="20"/>
          <w:shd w:val="clear" w:color="auto" w:fill="FFFFFF"/>
        </w:rPr>
        <w:t xml:space="preserve"> (</w:t>
      </w:r>
      <w:r w:rsidR="009F5E71" w:rsidRPr="00A9776A">
        <w:rPr>
          <w:rFonts w:ascii="Arial" w:hAnsi="Arial" w:cs="Arial"/>
          <w:color w:val="222222"/>
          <w:szCs w:val="20"/>
          <w:shd w:val="clear" w:color="auto" w:fill="FFFFFF"/>
        </w:rPr>
        <w:t>1994)</w:t>
      </w:r>
      <w:r w:rsidR="009F5E71">
        <w:rPr>
          <w:rFonts w:ascii="Arial" w:hAnsi="Arial" w:cs="Arial"/>
          <w:color w:val="222222"/>
          <w:szCs w:val="20"/>
          <w:shd w:val="clear" w:color="auto" w:fill="FFFFFF"/>
        </w:rPr>
        <w:t xml:space="preserve">, </w:t>
      </w:r>
      <w:r w:rsidR="00067A29">
        <w:rPr>
          <w:rFonts w:ascii="Arial" w:hAnsi="Arial" w:cs="Arial"/>
          <w:szCs w:val="20"/>
        </w:rPr>
        <w:t>representations of the relationship</w:t>
      </w:r>
      <w:r w:rsidR="009F5E71">
        <w:rPr>
          <w:rFonts w:ascii="Arial" w:hAnsi="Arial" w:cs="Arial"/>
          <w:szCs w:val="20"/>
        </w:rPr>
        <w:t xml:space="preserve">s between both genders accentuate roles that are traditional, and it also normalises aggression towards females. </w:t>
      </w:r>
    </w:p>
    <w:p w:rsidR="00DD60F6" w:rsidRDefault="00AA425B" w:rsidP="00DA185E">
      <w:pPr>
        <w:pStyle w:val="NormalWeb"/>
        <w:shd w:val="clear" w:color="auto" w:fill="FFFFFF"/>
        <w:spacing w:after="192" w:line="360" w:lineRule="auto"/>
        <w:rPr>
          <w:rFonts w:ascii="Arial" w:hAnsi="Arial" w:cs="Arial"/>
          <w:color w:val="222222"/>
          <w:szCs w:val="20"/>
          <w:shd w:val="clear" w:color="auto" w:fill="FFFFFF"/>
        </w:rPr>
      </w:pPr>
      <w:r>
        <w:rPr>
          <w:rFonts w:ascii="Arial" w:hAnsi="Arial" w:cs="Arial"/>
          <w:szCs w:val="20"/>
        </w:rPr>
        <w:t>Generally, both males and females are stereotyped in the media in ways that limit our views of individual possibilities. In the media, men are normally perceived as being energetic, influential, audacious and sexually aggressive. Whereas, women are displayed as being sexual objects who are typically young, slim, attractive, dependent and very often useless and not very intellectual</w:t>
      </w:r>
      <w:r w:rsidR="00F43545">
        <w:rPr>
          <w:rFonts w:ascii="Arial" w:hAnsi="Arial" w:cs="Arial"/>
          <w:szCs w:val="20"/>
        </w:rPr>
        <w:t xml:space="preserve"> (Wood, 1994).</w:t>
      </w:r>
      <w:r w:rsidR="001762A2" w:rsidRPr="00DD60F6">
        <w:rPr>
          <w:rFonts w:ascii="Arial" w:hAnsi="Arial" w:cs="Arial"/>
          <w:szCs w:val="20"/>
        </w:rPr>
        <w:t xml:space="preserve"> In this way, women are being socially categorised in accordance with Hogg, Terry and White (1995) so that the women represented can be recognised and placed in accordance with a social group.</w:t>
      </w:r>
      <w:r w:rsidRPr="00DD60F6">
        <w:rPr>
          <w:rFonts w:ascii="Arial" w:hAnsi="Arial" w:cs="Arial"/>
          <w:szCs w:val="20"/>
        </w:rPr>
        <w:t xml:space="preserve"> </w:t>
      </w:r>
      <w:r>
        <w:rPr>
          <w:rFonts w:ascii="Arial" w:hAnsi="Arial" w:cs="Arial"/>
          <w:szCs w:val="20"/>
        </w:rPr>
        <w:t xml:space="preserve">Women dedicate most of their time and energy to improving their </w:t>
      </w:r>
      <w:r w:rsidR="001F1F12">
        <w:rPr>
          <w:rFonts w:ascii="Arial" w:hAnsi="Arial" w:cs="Arial"/>
          <w:szCs w:val="20"/>
        </w:rPr>
        <w:t>physical appearance and taking care of their home and their children (</w:t>
      </w:r>
      <w:r w:rsidR="001F1F12" w:rsidRPr="00A9776A">
        <w:rPr>
          <w:rFonts w:ascii="Arial" w:hAnsi="Arial" w:cs="Arial"/>
          <w:color w:val="222222"/>
          <w:szCs w:val="20"/>
          <w:shd w:val="clear" w:color="auto" w:fill="FFFFFF"/>
        </w:rPr>
        <w:t>Wood</w:t>
      </w:r>
      <w:r w:rsidR="001F1F12">
        <w:rPr>
          <w:rFonts w:ascii="Arial" w:hAnsi="Arial" w:cs="Arial"/>
          <w:color w:val="222222"/>
          <w:szCs w:val="20"/>
          <w:shd w:val="clear" w:color="auto" w:fill="FFFFFF"/>
        </w:rPr>
        <w:t>, 1</w:t>
      </w:r>
      <w:r w:rsidR="001F1F12" w:rsidRPr="00A9776A">
        <w:rPr>
          <w:rFonts w:ascii="Arial" w:hAnsi="Arial" w:cs="Arial"/>
          <w:color w:val="222222"/>
          <w:szCs w:val="20"/>
          <w:shd w:val="clear" w:color="auto" w:fill="FFFFFF"/>
        </w:rPr>
        <w:t>994)</w:t>
      </w:r>
      <w:r w:rsidR="001F1F12">
        <w:rPr>
          <w:rFonts w:ascii="Arial" w:hAnsi="Arial" w:cs="Arial"/>
          <w:color w:val="222222"/>
          <w:szCs w:val="20"/>
          <w:shd w:val="clear" w:color="auto" w:fill="FFFFFF"/>
        </w:rPr>
        <w:t xml:space="preserve">. </w:t>
      </w:r>
    </w:p>
    <w:p w:rsidR="00A9776A" w:rsidRDefault="001F1F12" w:rsidP="00DA185E">
      <w:pPr>
        <w:pStyle w:val="NormalWeb"/>
        <w:shd w:val="clear" w:color="auto" w:fill="FFFFFF"/>
        <w:spacing w:after="192" w:line="360" w:lineRule="auto"/>
        <w:rPr>
          <w:rFonts w:ascii="Arial" w:hAnsi="Arial" w:cs="Arial"/>
          <w:color w:val="222222"/>
          <w:szCs w:val="20"/>
          <w:shd w:val="clear" w:color="auto" w:fill="FFFFFF"/>
        </w:rPr>
      </w:pPr>
      <w:r>
        <w:rPr>
          <w:rFonts w:ascii="Arial" w:hAnsi="Arial" w:cs="Arial"/>
          <w:color w:val="222222"/>
          <w:szCs w:val="20"/>
          <w:shd w:val="clear" w:color="auto" w:fill="FFFFFF"/>
        </w:rPr>
        <w:t xml:space="preserve">Due to media having such a big influence in every day lives, the way it portrays men and women may have an influence how individuals view themselves and what is viewed as attractive for both genders </w:t>
      </w:r>
      <w:r>
        <w:rPr>
          <w:rFonts w:ascii="Arial" w:hAnsi="Arial" w:cs="Arial"/>
          <w:szCs w:val="20"/>
        </w:rPr>
        <w:t>(</w:t>
      </w:r>
      <w:r w:rsidRPr="00A9776A">
        <w:rPr>
          <w:rFonts w:ascii="Arial" w:hAnsi="Arial" w:cs="Arial"/>
          <w:color w:val="222222"/>
          <w:szCs w:val="20"/>
          <w:shd w:val="clear" w:color="auto" w:fill="FFFFFF"/>
        </w:rPr>
        <w:t>Wood</w:t>
      </w:r>
      <w:r>
        <w:rPr>
          <w:rFonts w:ascii="Arial" w:hAnsi="Arial" w:cs="Arial"/>
          <w:color w:val="222222"/>
          <w:szCs w:val="20"/>
          <w:shd w:val="clear" w:color="auto" w:fill="FFFFFF"/>
        </w:rPr>
        <w:t>, 1</w:t>
      </w:r>
      <w:r w:rsidRPr="00A9776A">
        <w:rPr>
          <w:rFonts w:ascii="Arial" w:hAnsi="Arial" w:cs="Arial"/>
          <w:color w:val="222222"/>
          <w:szCs w:val="20"/>
          <w:shd w:val="clear" w:color="auto" w:fill="FFFFFF"/>
        </w:rPr>
        <w:t>994)</w:t>
      </w:r>
      <w:r>
        <w:rPr>
          <w:rFonts w:ascii="Arial" w:hAnsi="Arial" w:cs="Arial"/>
          <w:color w:val="222222"/>
          <w:szCs w:val="20"/>
          <w:shd w:val="clear" w:color="auto" w:fill="FFFFFF"/>
        </w:rPr>
        <w:t>.</w:t>
      </w:r>
      <w:r w:rsidR="001762A2" w:rsidRPr="00DD60F6">
        <w:rPr>
          <w:rFonts w:ascii="Arial" w:hAnsi="Arial" w:cs="Arial"/>
          <w:szCs w:val="20"/>
          <w:shd w:val="clear" w:color="auto" w:fill="FFFFFF"/>
        </w:rPr>
        <w:t xml:space="preserve">This relates to the Social Identification theory because the representations seen on screen can be seen to be </w:t>
      </w:r>
      <w:r w:rsidR="001762A2" w:rsidRPr="00DD60F6">
        <w:rPr>
          <w:rFonts w:ascii="Arial" w:hAnsi="Arial" w:cs="Arial"/>
          <w:szCs w:val="20"/>
          <w:shd w:val="clear" w:color="auto" w:fill="FFFFFF"/>
        </w:rPr>
        <w:lastRenderedPageBreak/>
        <w:t>part of the group to which, for instance, men belong, and so men may behave in the same way.</w:t>
      </w:r>
      <w:r w:rsidRPr="00DD60F6">
        <w:rPr>
          <w:rFonts w:ascii="Arial" w:hAnsi="Arial" w:cs="Arial"/>
          <w:szCs w:val="20"/>
          <w:shd w:val="clear" w:color="auto" w:fill="FFFFFF"/>
        </w:rPr>
        <w:t xml:space="preserve"> </w:t>
      </w:r>
    </w:p>
    <w:p w:rsidR="00911B05" w:rsidRPr="00FC3F67" w:rsidRDefault="001F1F12" w:rsidP="00DA185E">
      <w:pPr>
        <w:pStyle w:val="NormalWeb"/>
        <w:shd w:val="clear" w:color="auto" w:fill="FFFFFF"/>
        <w:spacing w:after="192" w:line="360" w:lineRule="auto"/>
        <w:rPr>
          <w:rFonts w:ascii="Arial" w:hAnsi="Arial" w:cs="Arial"/>
          <w:color w:val="538135" w:themeColor="accent6" w:themeShade="BF"/>
          <w:szCs w:val="20"/>
          <w:shd w:val="clear" w:color="auto" w:fill="FFFFFF"/>
        </w:rPr>
      </w:pPr>
      <w:r>
        <w:rPr>
          <w:rFonts w:ascii="Arial" w:hAnsi="Arial" w:cs="Arial"/>
          <w:color w:val="222222"/>
          <w:szCs w:val="20"/>
          <w:shd w:val="clear" w:color="auto" w:fill="FFFFFF"/>
        </w:rPr>
        <w:t xml:space="preserve">Doyle (1989, p.111), conducted research on male masculinity, </w:t>
      </w:r>
      <w:r w:rsidR="00252C77">
        <w:rPr>
          <w:rFonts w:ascii="Arial" w:hAnsi="Arial" w:cs="Arial"/>
          <w:color w:val="222222"/>
          <w:szCs w:val="20"/>
          <w:shd w:val="clear" w:color="auto" w:fill="FFFFFF"/>
        </w:rPr>
        <w:t>and his results stated that television showed aimed at children showed that males were belligerent, dominant, and involved in tasks that were exciting from which resulted in a reward being given to them</w:t>
      </w:r>
      <w:r w:rsidR="00B81BF7">
        <w:rPr>
          <w:rFonts w:ascii="Arial" w:hAnsi="Arial" w:cs="Arial"/>
          <w:color w:val="222222"/>
          <w:szCs w:val="20"/>
          <w:shd w:val="clear" w:color="auto" w:fill="FFFFFF"/>
        </w:rPr>
        <w:t xml:space="preserve"> for their ‘masculine’</w:t>
      </w:r>
      <w:r w:rsidR="00A1524F" w:rsidRPr="00A1524F">
        <w:rPr>
          <w:rFonts w:ascii="Arial" w:hAnsi="Arial" w:cs="Arial"/>
          <w:color w:val="222222"/>
          <w:szCs w:val="20"/>
          <w:shd w:val="clear" w:color="auto" w:fill="FFFFFF"/>
        </w:rPr>
        <w:t xml:space="preserve"> </w:t>
      </w:r>
      <w:r w:rsidR="00A1524F">
        <w:rPr>
          <w:rFonts w:ascii="Arial" w:hAnsi="Arial" w:cs="Arial"/>
          <w:color w:val="222222"/>
          <w:szCs w:val="20"/>
          <w:shd w:val="clear" w:color="auto" w:fill="FFFFFF"/>
        </w:rPr>
        <w:t>achievements</w:t>
      </w:r>
      <w:r w:rsidR="00B81BF7">
        <w:rPr>
          <w:rFonts w:ascii="Arial" w:hAnsi="Arial" w:cs="Arial"/>
          <w:color w:val="222222"/>
          <w:szCs w:val="20"/>
          <w:shd w:val="clear" w:color="auto" w:fill="FFFFFF"/>
        </w:rPr>
        <w:t xml:space="preserve">. </w:t>
      </w:r>
      <w:r w:rsidR="00A1524F">
        <w:rPr>
          <w:rFonts w:ascii="Arial" w:hAnsi="Arial" w:cs="Arial"/>
          <w:color w:val="222222"/>
          <w:szCs w:val="20"/>
          <w:shd w:val="clear" w:color="auto" w:fill="FFFFFF"/>
        </w:rPr>
        <w:t xml:space="preserve">According to McCauley, </w:t>
      </w:r>
      <w:proofErr w:type="spellStart"/>
      <w:r w:rsidR="00A1524F">
        <w:rPr>
          <w:rFonts w:ascii="Arial" w:hAnsi="Arial" w:cs="Arial"/>
          <w:color w:val="222222"/>
          <w:szCs w:val="20"/>
          <w:shd w:val="clear" w:color="auto" w:fill="FFFFFF"/>
        </w:rPr>
        <w:t>Thangavelu</w:t>
      </w:r>
      <w:proofErr w:type="spellEnd"/>
      <w:r w:rsidR="00A1524F">
        <w:rPr>
          <w:rFonts w:ascii="Arial" w:hAnsi="Arial" w:cs="Arial"/>
          <w:color w:val="222222"/>
          <w:szCs w:val="20"/>
          <w:shd w:val="clear" w:color="auto" w:fill="FFFFFF"/>
        </w:rPr>
        <w:t xml:space="preserve"> &amp; </w:t>
      </w:r>
      <w:proofErr w:type="spellStart"/>
      <w:r w:rsidR="00A1524F">
        <w:rPr>
          <w:rFonts w:ascii="Arial" w:hAnsi="Arial" w:cs="Arial"/>
          <w:color w:val="222222"/>
          <w:szCs w:val="20"/>
          <w:shd w:val="clear" w:color="auto" w:fill="FFFFFF"/>
        </w:rPr>
        <w:t>Rozin</w:t>
      </w:r>
      <w:proofErr w:type="spellEnd"/>
      <w:r w:rsidR="00A1524F">
        <w:rPr>
          <w:rFonts w:ascii="Arial" w:hAnsi="Arial" w:cs="Arial"/>
          <w:color w:val="222222"/>
          <w:szCs w:val="20"/>
          <w:shd w:val="clear" w:color="auto" w:fill="FFFFFF"/>
        </w:rPr>
        <w:t xml:space="preserve"> (1988), current studies suggest that most males on television are portrayed as belligerent and in charge of that situation. Films that are highly popular </w:t>
      </w:r>
      <w:r w:rsidR="00911B05">
        <w:rPr>
          <w:rFonts w:ascii="Arial" w:hAnsi="Arial" w:cs="Arial"/>
          <w:color w:val="222222"/>
          <w:szCs w:val="20"/>
          <w:shd w:val="clear" w:color="auto" w:fill="FFFFFF"/>
        </w:rPr>
        <w:t>such as lethal weapon, death wish, total recall all seem to stereotype men as tough, dangerous, fierce, sexually aggressive, and completely unfeminine (McCauley, et al., 1988).</w:t>
      </w:r>
      <w:r w:rsidR="001762A2">
        <w:rPr>
          <w:rFonts w:ascii="Arial" w:hAnsi="Arial" w:cs="Arial"/>
          <w:color w:val="222222"/>
          <w:szCs w:val="20"/>
          <w:shd w:val="clear" w:color="auto" w:fill="FFFFFF"/>
        </w:rPr>
        <w:t xml:space="preserve"> </w:t>
      </w:r>
      <w:r w:rsidR="001762A2" w:rsidRPr="00FC3F67">
        <w:rPr>
          <w:rFonts w:ascii="Arial" w:hAnsi="Arial" w:cs="Arial"/>
          <w:color w:val="538135" w:themeColor="accent6" w:themeShade="BF"/>
          <w:szCs w:val="20"/>
          <w:shd w:val="clear" w:color="auto" w:fill="FFFFFF"/>
        </w:rPr>
        <w:t>I</w:t>
      </w:r>
      <w:r w:rsidR="001762A2" w:rsidRPr="00DD60F6">
        <w:rPr>
          <w:rFonts w:ascii="Arial" w:hAnsi="Arial" w:cs="Arial"/>
          <w:szCs w:val="20"/>
          <w:shd w:val="clear" w:color="auto" w:fill="FFFFFF"/>
        </w:rPr>
        <w:t>n te</w:t>
      </w:r>
      <w:r w:rsidR="00FC3F67" w:rsidRPr="00DD60F6">
        <w:rPr>
          <w:rFonts w:ascii="Arial" w:hAnsi="Arial" w:cs="Arial"/>
          <w:szCs w:val="20"/>
          <w:shd w:val="clear" w:color="auto" w:fill="FFFFFF"/>
        </w:rPr>
        <w:t>rm</w:t>
      </w:r>
      <w:r w:rsidR="001762A2" w:rsidRPr="00DD60F6">
        <w:rPr>
          <w:rFonts w:ascii="Arial" w:hAnsi="Arial" w:cs="Arial"/>
          <w:szCs w:val="20"/>
          <w:shd w:val="clear" w:color="auto" w:fill="FFFFFF"/>
        </w:rPr>
        <w:t>s of social comparison</w:t>
      </w:r>
      <w:r w:rsidR="00FC3F67" w:rsidRPr="00DD60F6">
        <w:rPr>
          <w:rFonts w:ascii="Arial" w:hAnsi="Arial" w:cs="Arial"/>
          <w:szCs w:val="20"/>
          <w:shd w:val="clear" w:color="auto" w:fill="FFFFFF"/>
        </w:rPr>
        <w:t xml:space="preserve"> (Hogg., et al, 1995)</w:t>
      </w:r>
      <w:r w:rsidR="001762A2" w:rsidRPr="00DD60F6">
        <w:rPr>
          <w:rFonts w:ascii="Arial" w:hAnsi="Arial" w:cs="Arial"/>
          <w:szCs w:val="20"/>
          <w:shd w:val="clear" w:color="auto" w:fill="FFFFFF"/>
        </w:rPr>
        <w:t xml:space="preserve">, men may not identify with women on screen because of sex differences, so would identify with these stereotypical males portrayed in these types of films. </w:t>
      </w:r>
    </w:p>
    <w:p w:rsidR="0051044F" w:rsidRDefault="00DD60F6" w:rsidP="00DA185E">
      <w:pPr>
        <w:pStyle w:val="NormalWeb"/>
        <w:shd w:val="clear" w:color="auto" w:fill="FFFFFF"/>
        <w:spacing w:before="0" w:beforeAutospacing="0" w:after="192" w:afterAutospacing="0" w:line="360" w:lineRule="auto"/>
        <w:rPr>
          <w:rFonts w:ascii="Arial" w:hAnsi="Arial" w:cs="Arial"/>
        </w:rPr>
      </w:pPr>
      <w:r w:rsidRPr="004C7009">
        <w:rPr>
          <w:rFonts w:ascii="Arial" w:hAnsi="Arial" w:cs="Arial"/>
        </w:rPr>
        <w:t xml:space="preserve">Females are extraordinarily understated, on television women are shown to be younger and thinner than women in the general population, and most women are portrayed as being submissive, reliant on males, and involved in relationships or cleaning their homes (Davis, 1990). Even news shows have requirements that women are required to be younger, </w:t>
      </w:r>
      <w:r w:rsidR="004C7009" w:rsidRPr="004C7009">
        <w:rPr>
          <w:rFonts w:ascii="Arial" w:hAnsi="Arial" w:cs="Arial"/>
        </w:rPr>
        <w:t>good-looking</w:t>
      </w:r>
      <w:r w:rsidRPr="004C7009">
        <w:rPr>
          <w:rFonts w:ascii="Arial" w:hAnsi="Arial" w:cs="Arial"/>
        </w:rPr>
        <w:t xml:space="preserve">, and less </w:t>
      </w:r>
      <w:r w:rsidR="004C7009" w:rsidRPr="004C7009">
        <w:rPr>
          <w:rFonts w:ascii="Arial" w:hAnsi="Arial" w:cs="Arial"/>
        </w:rPr>
        <w:t>opinionated</w:t>
      </w:r>
      <w:r w:rsidRPr="004C7009">
        <w:rPr>
          <w:rFonts w:ascii="Arial" w:hAnsi="Arial" w:cs="Arial"/>
        </w:rPr>
        <w:t xml:space="preserve"> than </w:t>
      </w:r>
      <w:r w:rsidR="004C7009" w:rsidRPr="004C7009">
        <w:rPr>
          <w:rFonts w:ascii="Arial" w:hAnsi="Arial" w:cs="Arial"/>
        </w:rPr>
        <w:t xml:space="preserve">men (Craft, 1988; Rock, 1988). This relates to women being categorised in accordance with Hogg, Terry and White (1995) due to women </w:t>
      </w:r>
      <w:r w:rsidR="004C7009">
        <w:rPr>
          <w:rFonts w:ascii="Arial" w:hAnsi="Arial" w:cs="Arial"/>
        </w:rPr>
        <w:t>feeling like they must</w:t>
      </w:r>
      <w:r w:rsidR="004C7009" w:rsidRPr="004C7009">
        <w:rPr>
          <w:rFonts w:ascii="Arial" w:hAnsi="Arial" w:cs="Arial"/>
        </w:rPr>
        <w:t xml:space="preserve"> fit into the category of being younger, thinner and be physically attractive just to present on prime-time television. </w:t>
      </w:r>
    </w:p>
    <w:p w:rsidR="004C7009" w:rsidRDefault="00EC7A16" w:rsidP="00DA185E">
      <w:pPr>
        <w:pStyle w:val="NormalWeb"/>
        <w:shd w:val="clear" w:color="auto" w:fill="FFFFFF"/>
        <w:spacing w:before="0" w:beforeAutospacing="0" w:after="192" w:afterAutospacing="0" w:line="360" w:lineRule="auto"/>
        <w:rPr>
          <w:rFonts w:ascii="Arial" w:hAnsi="Arial" w:cs="Arial"/>
        </w:rPr>
      </w:pPr>
      <w:r>
        <w:rPr>
          <w:rFonts w:ascii="Arial" w:hAnsi="Arial" w:cs="Arial"/>
        </w:rPr>
        <w:t>I</w:t>
      </w:r>
      <w:r w:rsidR="004C7009">
        <w:rPr>
          <w:rFonts w:ascii="Arial" w:hAnsi="Arial" w:cs="Arial"/>
        </w:rPr>
        <w:t>n women’s lives</w:t>
      </w:r>
      <w:r w:rsidR="005A77CF">
        <w:rPr>
          <w:rFonts w:ascii="Arial" w:hAnsi="Arial" w:cs="Arial"/>
        </w:rPr>
        <w:t>,</w:t>
      </w:r>
      <w:r w:rsidR="004C7009">
        <w:rPr>
          <w:rFonts w:ascii="Arial" w:hAnsi="Arial" w:cs="Arial"/>
        </w:rPr>
        <w:t xml:space="preserve"> magazines </w:t>
      </w:r>
      <w:r w:rsidR="005A77CF">
        <w:rPr>
          <w:rFonts w:ascii="Arial" w:hAnsi="Arial" w:cs="Arial"/>
        </w:rPr>
        <w:t>are a key element by promoting people pleasing throughout them. A study by K. Peirce (1990) discovered that magazines aimed at women try to encourage them to look good and do things that satisfy other people. In addition, magazines publish articles that are aimed at women to dye their hair to help look younger; tips to help loose weight so men will still find them sexually attractive and how to cook incredible meals, so he will also be happy when he comes home. These articles are constantly aimed at pleasing other people, especially the opposite sex and the message within these articles is a warning that if a female is unable to look sexually attractive and unable to please her man, he might leave her (</w:t>
      </w:r>
      <w:proofErr w:type="spellStart"/>
      <w:r w:rsidR="005A77CF">
        <w:rPr>
          <w:rFonts w:ascii="Arial" w:hAnsi="Arial" w:cs="Arial"/>
        </w:rPr>
        <w:t>Rakow</w:t>
      </w:r>
      <w:proofErr w:type="spellEnd"/>
      <w:r w:rsidR="005A77CF">
        <w:rPr>
          <w:rFonts w:ascii="Arial" w:hAnsi="Arial" w:cs="Arial"/>
        </w:rPr>
        <w:t xml:space="preserve">. 1992). </w:t>
      </w:r>
    </w:p>
    <w:p w:rsidR="005A77CF" w:rsidRDefault="00F85FE0" w:rsidP="00DA185E">
      <w:pPr>
        <w:pStyle w:val="NormalWeb"/>
        <w:shd w:val="clear" w:color="auto" w:fill="FFFFFF"/>
        <w:spacing w:before="0" w:beforeAutospacing="0" w:after="192" w:afterAutospacing="0" w:line="360" w:lineRule="auto"/>
        <w:rPr>
          <w:rFonts w:ascii="Arial" w:hAnsi="Arial" w:cs="Arial"/>
        </w:rPr>
      </w:pPr>
      <w:r>
        <w:rPr>
          <w:rFonts w:ascii="Arial" w:hAnsi="Arial" w:cs="Arial"/>
        </w:rPr>
        <w:lastRenderedPageBreak/>
        <w:t xml:space="preserve">Due to the media portraying aggression in men and inactiveness in women, it is important to question whether the messages depicted within the media play a part in the abuse and violence against females. According to Hansen (1988), there is evidence that greater exposure to sexual aggression through media is connected to greater tolerance of aggression. For example, </w:t>
      </w:r>
      <w:r w:rsidR="00E72168">
        <w:rPr>
          <w:rFonts w:ascii="Arial" w:hAnsi="Arial" w:cs="Arial"/>
        </w:rPr>
        <w:t xml:space="preserve">the acceptance of sexual violence in women’s everyday relationships has shown a connection between women’s acceptance of sexual aggression and women’s views on sexual violence (Dieter, </w:t>
      </w:r>
      <w:r w:rsidR="00E72168" w:rsidRPr="00A82BFE">
        <w:rPr>
          <w:rFonts w:ascii="Arial" w:hAnsi="Arial" w:cs="Arial"/>
        </w:rPr>
        <w:t xml:space="preserve">1989). </w:t>
      </w:r>
    </w:p>
    <w:p w:rsidR="006109AC" w:rsidRDefault="00F43545" w:rsidP="00DA185E">
      <w:pPr>
        <w:pStyle w:val="NormalWeb"/>
        <w:shd w:val="clear" w:color="auto" w:fill="FFFFFF"/>
        <w:spacing w:before="0" w:beforeAutospacing="0" w:after="192" w:afterAutospacing="0" w:line="360" w:lineRule="auto"/>
        <w:rPr>
          <w:rFonts w:ascii="Arial" w:hAnsi="Arial" w:cs="Arial"/>
          <w:color w:val="222222"/>
          <w:szCs w:val="20"/>
          <w:shd w:val="clear" w:color="auto" w:fill="FFFFFF"/>
        </w:rPr>
      </w:pPr>
      <w:r>
        <w:rPr>
          <w:rFonts w:ascii="Arial" w:hAnsi="Arial" w:cs="Arial"/>
        </w:rPr>
        <w:t xml:space="preserve">Several interventions have been put into place in schools and have attempted to look at gender equality quite early in </w:t>
      </w:r>
      <w:r w:rsidR="00A51E58">
        <w:rPr>
          <w:rFonts w:ascii="Arial" w:hAnsi="Arial" w:cs="Arial"/>
        </w:rPr>
        <w:t>a child’s life. This is before gender discrimination has a chance to have an influence on child’s mind. Many ideas have been developed to look at gender norms, violence in a relationship and sexual exploitation among adolescents and young adults. These interventions aim to provide an increased awareness of relationship violence and gender stereotyping (</w:t>
      </w:r>
      <w:r w:rsidR="00A51E58" w:rsidRPr="00A51E58">
        <w:rPr>
          <w:rFonts w:ascii="Arial" w:hAnsi="Arial" w:cs="Arial"/>
          <w:color w:val="222222"/>
          <w:szCs w:val="20"/>
          <w:shd w:val="clear" w:color="auto" w:fill="FFFFFF"/>
        </w:rPr>
        <w:t xml:space="preserve">Hickman, </w:t>
      </w:r>
      <w:proofErr w:type="spellStart"/>
      <w:r w:rsidR="00A51E58" w:rsidRPr="00A51E58">
        <w:rPr>
          <w:rFonts w:ascii="Arial" w:hAnsi="Arial" w:cs="Arial"/>
          <w:color w:val="222222"/>
          <w:szCs w:val="20"/>
          <w:shd w:val="clear" w:color="auto" w:fill="FFFFFF"/>
        </w:rPr>
        <w:t>Jaycox</w:t>
      </w:r>
      <w:proofErr w:type="spellEnd"/>
      <w:r w:rsidR="00A51E58">
        <w:rPr>
          <w:rFonts w:ascii="Arial" w:hAnsi="Arial" w:cs="Arial"/>
          <w:color w:val="222222"/>
          <w:szCs w:val="20"/>
          <w:shd w:val="clear" w:color="auto" w:fill="FFFFFF"/>
        </w:rPr>
        <w:t>, &amp;</w:t>
      </w:r>
      <w:r w:rsidR="00A51E58" w:rsidRPr="00A51E58">
        <w:rPr>
          <w:rFonts w:ascii="Arial" w:hAnsi="Arial" w:cs="Arial"/>
          <w:color w:val="222222"/>
          <w:szCs w:val="20"/>
          <w:shd w:val="clear" w:color="auto" w:fill="FFFFFF"/>
        </w:rPr>
        <w:t xml:space="preserve"> </w:t>
      </w:r>
      <w:proofErr w:type="spellStart"/>
      <w:r w:rsidR="00A51E58" w:rsidRPr="00A51E58">
        <w:rPr>
          <w:rFonts w:ascii="Arial" w:hAnsi="Arial" w:cs="Arial"/>
          <w:color w:val="222222"/>
          <w:szCs w:val="20"/>
          <w:shd w:val="clear" w:color="auto" w:fill="FFFFFF"/>
        </w:rPr>
        <w:t>Aronoff</w:t>
      </w:r>
      <w:proofErr w:type="spellEnd"/>
      <w:r w:rsidR="00A51E58" w:rsidRPr="00A51E58">
        <w:rPr>
          <w:rFonts w:ascii="Arial" w:hAnsi="Arial" w:cs="Arial"/>
          <w:color w:val="222222"/>
          <w:szCs w:val="20"/>
          <w:shd w:val="clear" w:color="auto" w:fill="FFFFFF"/>
        </w:rPr>
        <w:t>,</w:t>
      </w:r>
      <w:r w:rsidR="00A51E58">
        <w:rPr>
          <w:rFonts w:ascii="Arial" w:hAnsi="Arial" w:cs="Arial"/>
          <w:color w:val="222222"/>
          <w:szCs w:val="20"/>
          <w:shd w:val="clear" w:color="auto" w:fill="FFFFFF"/>
        </w:rPr>
        <w:t xml:space="preserve"> </w:t>
      </w:r>
      <w:r w:rsidR="00A51E58" w:rsidRPr="00A51E58">
        <w:rPr>
          <w:rFonts w:ascii="Arial" w:hAnsi="Arial" w:cs="Arial"/>
          <w:color w:val="222222"/>
          <w:szCs w:val="20"/>
          <w:shd w:val="clear" w:color="auto" w:fill="FFFFFF"/>
        </w:rPr>
        <w:t>2004)</w:t>
      </w:r>
      <w:r w:rsidR="00A51E58">
        <w:rPr>
          <w:rFonts w:ascii="Arial" w:hAnsi="Arial" w:cs="Arial"/>
          <w:color w:val="222222"/>
          <w:szCs w:val="20"/>
          <w:shd w:val="clear" w:color="auto" w:fill="FFFFFF"/>
        </w:rPr>
        <w:t>.</w:t>
      </w:r>
      <w:r w:rsidR="006109AC">
        <w:rPr>
          <w:rFonts w:ascii="Arial" w:hAnsi="Arial" w:cs="Arial"/>
          <w:color w:val="222222"/>
          <w:szCs w:val="20"/>
          <w:shd w:val="clear" w:color="auto" w:fill="FFFFFF"/>
        </w:rPr>
        <w:t xml:space="preserve"> </w:t>
      </w:r>
    </w:p>
    <w:p w:rsidR="00A51E58" w:rsidRDefault="00A51E58" w:rsidP="00DA185E">
      <w:pPr>
        <w:pStyle w:val="NormalWeb"/>
        <w:shd w:val="clear" w:color="auto" w:fill="FFFFFF"/>
        <w:spacing w:before="0" w:beforeAutospacing="0" w:after="192" w:afterAutospacing="0" w:line="360" w:lineRule="auto"/>
        <w:rPr>
          <w:rFonts w:ascii="Arial" w:hAnsi="Arial" w:cs="Arial"/>
          <w:color w:val="222222"/>
          <w:szCs w:val="20"/>
          <w:shd w:val="clear" w:color="auto" w:fill="FFFFFF"/>
        </w:rPr>
      </w:pPr>
      <w:r>
        <w:rPr>
          <w:rFonts w:ascii="Arial" w:hAnsi="Arial" w:cs="Arial"/>
          <w:color w:val="222222"/>
          <w:szCs w:val="20"/>
          <w:shd w:val="clear" w:color="auto" w:fill="FFFFFF"/>
        </w:rPr>
        <w:t>There is still a lot of research that needs to be conducted on the relationship between violence and adolescent’s who are in a relationship, and</w:t>
      </w:r>
      <w:r w:rsidR="006109AC">
        <w:rPr>
          <w:rFonts w:ascii="Arial" w:hAnsi="Arial" w:cs="Arial"/>
          <w:color w:val="222222"/>
          <w:szCs w:val="20"/>
          <w:shd w:val="clear" w:color="auto" w:fill="FFFFFF"/>
        </w:rPr>
        <w:t xml:space="preserve"> the research needs to be conducted</w:t>
      </w:r>
      <w:r>
        <w:rPr>
          <w:rFonts w:ascii="Arial" w:hAnsi="Arial" w:cs="Arial"/>
          <w:color w:val="222222"/>
          <w:szCs w:val="20"/>
          <w:shd w:val="clear" w:color="auto" w:fill="FFFFFF"/>
        </w:rPr>
        <w:t xml:space="preserve"> </w:t>
      </w:r>
      <w:r w:rsidR="006109AC">
        <w:rPr>
          <w:rFonts w:ascii="Arial" w:hAnsi="Arial" w:cs="Arial"/>
          <w:color w:val="222222"/>
          <w:szCs w:val="20"/>
          <w:shd w:val="clear" w:color="auto" w:fill="FFFFFF"/>
        </w:rPr>
        <w:t xml:space="preserve">to gain a better understanding of the complexity of the issue. </w:t>
      </w:r>
      <w:r w:rsidR="006109AC" w:rsidRPr="006109AC">
        <w:rPr>
          <w:rFonts w:ascii="Arial" w:hAnsi="Arial" w:cs="Arial"/>
          <w:color w:val="222222"/>
          <w:shd w:val="clear" w:color="auto" w:fill="FFFFFF"/>
        </w:rPr>
        <w:t xml:space="preserve">(Lavoie, </w:t>
      </w:r>
      <w:proofErr w:type="spellStart"/>
      <w:r w:rsidR="006109AC" w:rsidRPr="006109AC">
        <w:rPr>
          <w:rFonts w:ascii="Arial" w:hAnsi="Arial" w:cs="Arial"/>
          <w:color w:val="222222"/>
          <w:shd w:val="clear" w:color="auto" w:fill="FFFFFF"/>
        </w:rPr>
        <w:t>Vézina</w:t>
      </w:r>
      <w:proofErr w:type="spellEnd"/>
      <w:r w:rsidR="006109AC" w:rsidRPr="006109AC">
        <w:rPr>
          <w:rFonts w:ascii="Arial" w:hAnsi="Arial" w:cs="Arial"/>
          <w:color w:val="222222"/>
          <w:shd w:val="clear" w:color="auto" w:fill="FFFFFF"/>
        </w:rPr>
        <w:t>,</w:t>
      </w:r>
      <w:r w:rsidR="006109AC">
        <w:rPr>
          <w:rFonts w:ascii="Arial" w:hAnsi="Arial" w:cs="Arial"/>
          <w:color w:val="222222"/>
          <w:shd w:val="clear" w:color="auto" w:fill="FFFFFF"/>
        </w:rPr>
        <w:t xml:space="preserve"> </w:t>
      </w:r>
      <w:proofErr w:type="spellStart"/>
      <w:r w:rsidR="006109AC" w:rsidRPr="006109AC">
        <w:rPr>
          <w:rFonts w:ascii="Arial" w:hAnsi="Arial" w:cs="Arial"/>
          <w:color w:val="222222"/>
          <w:shd w:val="clear" w:color="auto" w:fill="FFFFFF"/>
        </w:rPr>
        <w:t>Piché</w:t>
      </w:r>
      <w:proofErr w:type="spellEnd"/>
      <w:r w:rsidR="006109AC" w:rsidRPr="006109AC">
        <w:rPr>
          <w:rFonts w:ascii="Arial" w:hAnsi="Arial" w:cs="Arial"/>
          <w:color w:val="222222"/>
          <w:shd w:val="clear" w:color="auto" w:fill="FFFFFF"/>
        </w:rPr>
        <w:t>, &amp; Boivin</w:t>
      </w:r>
      <w:r w:rsidR="006109AC">
        <w:rPr>
          <w:rFonts w:ascii="Arial" w:hAnsi="Arial" w:cs="Arial"/>
          <w:color w:val="222222"/>
          <w:shd w:val="clear" w:color="auto" w:fill="FFFFFF"/>
        </w:rPr>
        <w:t xml:space="preserve">, </w:t>
      </w:r>
      <w:r w:rsidR="006109AC" w:rsidRPr="006109AC">
        <w:rPr>
          <w:rFonts w:ascii="Arial" w:hAnsi="Arial" w:cs="Arial"/>
          <w:color w:val="222222"/>
          <w:shd w:val="clear" w:color="auto" w:fill="FFFFFF"/>
        </w:rPr>
        <w:t>1995).</w:t>
      </w:r>
    </w:p>
    <w:p w:rsidR="00E72168" w:rsidRPr="00DA185E" w:rsidRDefault="00616437" w:rsidP="00DA185E">
      <w:pPr>
        <w:pStyle w:val="NormalWeb"/>
        <w:shd w:val="clear" w:color="auto" w:fill="FFFFFF"/>
        <w:spacing w:before="0" w:beforeAutospacing="0" w:after="192" w:afterAutospacing="0" w:line="360" w:lineRule="auto"/>
        <w:rPr>
          <w:rFonts w:ascii="Arial" w:hAnsi="Arial" w:cs="Arial"/>
          <w:color w:val="FF0000"/>
        </w:rPr>
      </w:pPr>
      <w:r>
        <w:rPr>
          <w:rFonts w:ascii="Arial" w:hAnsi="Arial" w:cs="Arial"/>
        </w:rPr>
        <w:t xml:space="preserve">To conclude, all throughout the media men and women are both portrayed very differently. </w:t>
      </w:r>
      <w:r w:rsidR="00F43545">
        <w:rPr>
          <w:rFonts w:ascii="Arial" w:hAnsi="Arial" w:cs="Arial"/>
          <w:szCs w:val="20"/>
        </w:rPr>
        <w:t xml:space="preserve">Men are normally perceived as being energetic, influential, audacious and sexually aggressive. Whereas, women are displayed as being sexual objects who are typically young, slim, attractive, dependent and very often useless and not very intellectual (Wood, 1994). There are ways to prevent gender discrimination, such as school, media and community interventions. </w:t>
      </w:r>
      <w:r w:rsidR="006109AC">
        <w:rPr>
          <w:rFonts w:ascii="Arial" w:hAnsi="Arial" w:cs="Arial"/>
          <w:szCs w:val="20"/>
        </w:rPr>
        <w:t xml:space="preserve">There is still </w:t>
      </w:r>
      <w:r w:rsidR="00665313">
        <w:rPr>
          <w:rFonts w:ascii="Arial" w:hAnsi="Arial" w:cs="Arial"/>
          <w:szCs w:val="20"/>
        </w:rPr>
        <w:t xml:space="preserve">research that needs to be done to fully understand the complexity of gender stereotyping, and how we can promote gender equality and dismiss gender stereotyping.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544B84" w:rsidRPr="00B059C6" w:rsidTr="00B059C6">
        <w:tc>
          <w:tcPr>
            <w:tcW w:w="0" w:type="auto"/>
            <w:shd w:val="clear" w:color="auto" w:fill="FFFFFF"/>
            <w:vAlign w:val="center"/>
            <w:hideMark/>
          </w:tcPr>
          <w:p w:rsidR="00544B84" w:rsidRPr="00B059C6" w:rsidRDefault="00544B84" w:rsidP="00DA185E">
            <w:pPr>
              <w:spacing w:after="0" w:line="360" w:lineRule="auto"/>
              <w:rPr>
                <w:rFonts w:ascii="Times New Roman" w:eastAsia="Times New Roman" w:hAnsi="Times New Roman" w:cs="Times New Roman"/>
                <w:sz w:val="24"/>
                <w:szCs w:val="24"/>
                <w:lang w:eastAsia="en-GB"/>
              </w:rPr>
            </w:pPr>
          </w:p>
        </w:tc>
      </w:tr>
    </w:tbl>
    <w:p w:rsidR="006109AC" w:rsidRPr="00DA185E" w:rsidRDefault="006109AC" w:rsidP="00DA185E">
      <w:pPr>
        <w:spacing w:line="360" w:lineRule="auto"/>
        <w:rPr>
          <w:rFonts w:ascii="Arial" w:hAnsi="Arial" w:cs="Arial"/>
          <w:i/>
          <w:sz w:val="32"/>
          <w:szCs w:val="24"/>
        </w:rPr>
      </w:pPr>
      <w:r w:rsidRPr="00DA185E">
        <w:rPr>
          <w:rFonts w:ascii="Arial" w:hAnsi="Arial" w:cs="Arial"/>
          <w:sz w:val="24"/>
          <w:szCs w:val="20"/>
        </w:rPr>
        <w:t>Adorno, T. W. (1950). The authoritarian personality, New York (Harper &amp; Brothers) 1950.</w:t>
      </w:r>
    </w:p>
    <w:p w:rsidR="006109AC" w:rsidRPr="00DA185E" w:rsidRDefault="006109AC" w:rsidP="00DA185E">
      <w:pPr>
        <w:spacing w:line="360" w:lineRule="auto"/>
        <w:rPr>
          <w:rFonts w:ascii="Arial" w:hAnsi="Arial" w:cs="Arial"/>
          <w:sz w:val="24"/>
          <w:szCs w:val="24"/>
        </w:rPr>
      </w:pPr>
      <w:r w:rsidRPr="00DA185E">
        <w:rPr>
          <w:rFonts w:ascii="Arial" w:hAnsi="Arial" w:cs="Arial"/>
          <w:sz w:val="24"/>
          <w:szCs w:val="24"/>
        </w:rPr>
        <w:t xml:space="preserve">Bloom, P. (2014). Why Do We Create Stereotypes? </w:t>
      </w:r>
    </w:p>
    <w:p w:rsidR="006109AC" w:rsidRPr="00DA185E" w:rsidRDefault="006109AC" w:rsidP="00DA185E">
      <w:pPr>
        <w:spacing w:line="360" w:lineRule="auto"/>
        <w:rPr>
          <w:rFonts w:ascii="Arial" w:hAnsi="Arial" w:cs="Arial"/>
          <w:sz w:val="24"/>
          <w:szCs w:val="24"/>
        </w:rPr>
      </w:pPr>
      <w:r w:rsidRPr="00DA185E">
        <w:rPr>
          <w:rFonts w:ascii="Arial" w:hAnsi="Arial" w:cs="Arial"/>
          <w:sz w:val="24"/>
          <w:szCs w:val="24"/>
        </w:rPr>
        <w:lastRenderedPageBreak/>
        <w:t xml:space="preserve">Chapman, L. J. (1967). Illusory correlation in observational report. </w:t>
      </w:r>
      <w:r w:rsidRPr="00DA185E">
        <w:rPr>
          <w:rFonts w:ascii="Arial" w:hAnsi="Arial" w:cs="Arial"/>
          <w:i/>
          <w:sz w:val="24"/>
          <w:szCs w:val="24"/>
        </w:rPr>
        <w:t>Journal of Verbal Learning and Verbal Behaviour,</w:t>
      </w:r>
      <w:r w:rsidRPr="00DA185E">
        <w:rPr>
          <w:rFonts w:ascii="Arial" w:hAnsi="Arial" w:cs="Arial"/>
          <w:sz w:val="24"/>
          <w:szCs w:val="24"/>
        </w:rPr>
        <w:t xml:space="preserve"> 6, 151-155. doi:10.1016/S0022-5371(67)80066-5</w:t>
      </w:r>
    </w:p>
    <w:p w:rsidR="006109AC" w:rsidRPr="00DA185E" w:rsidRDefault="006109AC" w:rsidP="00DA185E">
      <w:pPr>
        <w:spacing w:line="360" w:lineRule="auto"/>
        <w:rPr>
          <w:rFonts w:ascii="Arial" w:hAnsi="Arial" w:cs="Arial"/>
          <w:sz w:val="24"/>
          <w:szCs w:val="24"/>
        </w:rPr>
      </w:pPr>
      <w:proofErr w:type="spellStart"/>
      <w:r w:rsidRPr="00DA185E">
        <w:rPr>
          <w:rFonts w:ascii="Arial" w:hAnsi="Arial" w:cs="Arial"/>
          <w:sz w:val="24"/>
          <w:szCs w:val="24"/>
        </w:rPr>
        <w:t>Duckitt</w:t>
      </w:r>
      <w:proofErr w:type="spellEnd"/>
      <w:r w:rsidRPr="00DA185E">
        <w:rPr>
          <w:rFonts w:ascii="Arial" w:hAnsi="Arial" w:cs="Arial"/>
          <w:sz w:val="24"/>
          <w:szCs w:val="24"/>
        </w:rPr>
        <w:t xml:space="preserve">, J. (2005). Personality and prejudice. </w:t>
      </w:r>
      <w:r w:rsidRPr="00DA185E">
        <w:rPr>
          <w:rFonts w:ascii="Arial" w:hAnsi="Arial" w:cs="Arial"/>
          <w:i/>
          <w:sz w:val="24"/>
          <w:szCs w:val="24"/>
        </w:rPr>
        <w:t xml:space="preserve">On the nature of prejudice: Fifty years after Allport, </w:t>
      </w:r>
      <w:r w:rsidRPr="00DA185E">
        <w:rPr>
          <w:rFonts w:ascii="Arial" w:hAnsi="Arial" w:cs="Arial"/>
          <w:sz w:val="24"/>
          <w:szCs w:val="24"/>
        </w:rPr>
        <w:t>395-412.</w:t>
      </w:r>
    </w:p>
    <w:p w:rsidR="006109AC" w:rsidRPr="00DA185E" w:rsidRDefault="006109AC" w:rsidP="00DA185E">
      <w:pPr>
        <w:spacing w:line="360" w:lineRule="auto"/>
        <w:rPr>
          <w:rFonts w:ascii="Arial" w:hAnsi="Arial" w:cs="Arial"/>
          <w:sz w:val="24"/>
          <w:szCs w:val="24"/>
          <w:shd w:val="clear" w:color="auto" w:fill="FFFFFF"/>
        </w:rPr>
      </w:pPr>
      <w:proofErr w:type="spellStart"/>
      <w:r w:rsidRPr="00DA185E">
        <w:rPr>
          <w:rFonts w:ascii="Arial" w:hAnsi="Arial" w:cs="Arial"/>
          <w:sz w:val="24"/>
          <w:szCs w:val="24"/>
          <w:shd w:val="clear" w:color="auto" w:fill="FFFFFF"/>
        </w:rPr>
        <w:t>Ellemers</w:t>
      </w:r>
      <w:proofErr w:type="spellEnd"/>
      <w:r w:rsidRPr="00DA185E">
        <w:rPr>
          <w:rFonts w:ascii="Arial" w:hAnsi="Arial" w:cs="Arial"/>
          <w:sz w:val="24"/>
          <w:szCs w:val="24"/>
          <w:shd w:val="clear" w:color="auto" w:fill="FFFFFF"/>
        </w:rPr>
        <w:t>, N. (2018). Gender stereotypes. </w:t>
      </w:r>
      <w:r w:rsidRPr="00DA185E">
        <w:rPr>
          <w:rFonts w:ascii="Arial" w:hAnsi="Arial" w:cs="Arial"/>
          <w:i/>
          <w:iCs/>
          <w:sz w:val="24"/>
          <w:szCs w:val="24"/>
          <w:shd w:val="clear" w:color="auto" w:fill="FFFFFF"/>
        </w:rPr>
        <w:t>Annual review of psychology</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69</w:t>
      </w:r>
      <w:r w:rsidRPr="00DA185E">
        <w:rPr>
          <w:rFonts w:ascii="Arial" w:hAnsi="Arial" w:cs="Arial"/>
          <w:sz w:val="24"/>
          <w:szCs w:val="24"/>
          <w:shd w:val="clear" w:color="auto" w:fill="FFFFFF"/>
        </w:rPr>
        <w:t>.</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Hamilton, D. L., &amp; Rose, T. L. (1980). Illusory correlation and the maintenance of stereotypic beliefs. </w:t>
      </w:r>
      <w:r w:rsidRPr="00DA185E">
        <w:rPr>
          <w:rFonts w:ascii="Arial" w:hAnsi="Arial" w:cs="Arial"/>
          <w:i/>
          <w:iCs/>
          <w:sz w:val="24"/>
          <w:szCs w:val="24"/>
          <w:shd w:val="clear" w:color="auto" w:fill="FFFFFF"/>
        </w:rPr>
        <w:t>Journal of Personality and Social Psychology</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39</w:t>
      </w:r>
      <w:r w:rsidRPr="00DA185E">
        <w:rPr>
          <w:rFonts w:ascii="Arial" w:hAnsi="Arial" w:cs="Arial"/>
          <w:sz w:val="24"/>
          <w:szCs w:val="24"/>
          <w:shd w:val="clear" w:color="auto" w:fill="FFFFFF"/>
        </w:rPr>
        <w:t>(5), 832.</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 xml:space="preserve">Hickman, L. J., </w:t>
      </w:r>
      <w:proofErr w:type="spellStart"/>
      <w:r w:rsidRPr="00DA185E">
        <w:rPr>
          <w:rFonts w:ascii="Arial" w:hAnsi="Arial" w:cs="Arial"/>
          <w:sz w:val="24"/>
          <w:szCs w:val="24"/>
          <w:shd w:val="clear" w:color="auto" w:fill="FFFFFF"/>
        </w:rPr>
        <w:t>Jaycox</w:t>
      </w:r>
      <w:proofErr w:type="spellEnd"/>
      <w:r w:rsidRPr="00DA185E">
        <w:rPr>
          <w:rFonts w:ascii="Arial" w:hAnsi="Arial" w:cs="Arial"/>
          <w:sz w:val="24"/>
          <w:szCs w:val="24"/>
          <w:shd w:val="clear" w:color="auto" w:fill="FFFFFF"/>
        </w:rPr>
        <w:t xml:space="preserve">, L. H., &amp; </w:t>
      </w:r>
      <w:proofErr w:type="spellStart"/>
      <w:r w:rsidRPr="00DA185E">
        <w:rPr>
          <w:rFonts w:ascii="Arial" w:hAnsi="Arial" w:cs="Arial"/>
          <w:sz w:val="24"/>
          <w:szCs w:val="24"/>
          <w:shd w:val="clear" w:color="auto" w:fill="FFFFFF"/>
        </w:rPr>
        <w:t>Aronoff</w:t>
      </w:r>
      <w:proofErr w:type="spellEnd"/>
      <w:r w:rsidRPr="00DA185E">
        <w:rPr>
          <w:rFonts w:ascii="Arial" w:hAnsi="Arial" w:cs="Arial"/>
          <w:sz w:val="24"/>
          <w:szCs w:val="24"/>
          <w:shd w:val="clear" w:color="auto" w:fill="FFFFFF"/>
        </w:rPr>
        <w:t>, J. (2004). Dating violence among adolescents: Prevalence, gender distribution, and prevention program effectiveness. </w:t>
      </w:r>
      <w:r w:rsidRPr="00DA185E">
        <w:rPr>
          <w:rFonts w:ascii="Arial" w:hAnsi="Arial" w:cs="Arial"/>
          <w:i/>
          <w:iCs/>
          <w:sz w:val="24"/>
          <w:szCs w:val="24"/>
          <w:shd w:val="clear" w:color="auto" w:fill="FFFFFF"/>
        </w:rPr>
        <w:t>Trauma, violence, &amp; abuse</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5</w:t>
      </w:r>
      <w:r w:rsidRPr="00DA185E">
        <w:rPr>
          <w:rFonts w:ascii="Arial" w:hAnsi="Arial" w:cs="Arial"/>
          <w:sz w:val="24"/>
          <w:szCs w:val="24"/>
          <w:shd w:val="clear" w:color="auto" w:fill="FFFFFF"/>
        </w:rPr>
        <w:t>(2), 123-142.</w:t>
      </w:r>
    </w:p>
    <w:p w:rsidR="006109AC" w:rsidRPr="00DA185E" w:rsidRDefault="006109AC" w:rsidP="00DA185E">
      <w:pPr>
        <w:spacing w:line="360" w:lineRule="auto"/>
        <w:rPr>
          <w:rFonts w:ascii="Arial" w:hAnsi="Arial" w:cs="Arial"/>
          <w:sz w:val="24"/>
          <w:szCs w:val="20"/>
          <w:shd w:val="clear" w:color="auto" w:fill="FFFFFF"/>
        </w:rPr>
      </w:pPr>
      <w:r w:rsidRPr="00DA185E">
        <w:rPr>
          <w:rFonts w:ascii="Arial" w:hAnsi="Arial" w:cs="Arial"/>
          <w:sz w:val="24"/>
          <w:szCs w:val="20"/>
          <w:shd w:val="clear" w:color="auto" w:fill="FFFFFF"/>
        </w:rPr>
        <w:t xml:space="preserve">Hogg, M. A., &amp; Williams, K. D. (2000). From I </w:t>
      </w:r>
      <w:proofErr w:type="spellStart"/>
      <w:r w:rsidRPr="00DA185E">
        <w:rPr>
          <w:rFonts w:ascii="Arial" w:hAnsi="Arial" w:cs="Arial"/>
          <w:sz w:val="24"/>
          <w:szCs w:val="20"/>
          <w:shd w:val="clear" w:color="auto" w:fill="FFFFFF"/>
        </w:rPr>
        <w:t>to</w:t>
      </w:r>
      <w:proofErr w:type="spellEnd"/>
      <w:r w:rsidRPr="00DA185E">
        <w:rPr>
          <w:rFonts w:ascii="Arial" w:hAnsi="Arial" w:cs="Arial"/>
          <w:sz w:val="24"/>
          <w:szCs w:val="20"/>
          <w:shd w:val="clear" w:color="auto" w:fill="FFFFFF"/>
        </w:rPr>
        <w:t xml:space="preserve"> we: Social identity and the collective self. </w:t>
      </w:r>
      <w:r w:rsidRPr="00DA185E">
        <w:rPr>
          <w:rFonts w:ascii="Arial" w:hAnsi="Arial" w:cs="Arial"/>
          <w:i/>
          <w:iCs/>
          <w:sz w:val="24"/>
          <w:szCs w:val="20"/>
          <w:shd w:val="clear" w:color="auto" w:fill="FFFFFF"/>
        </w:rPr>
        <w:t>Group dynamics: Theory, research, and practice</w:t>
      </w:r>
      <w:r w:rsidRPr="00DA185E">
        <w:rPr>
          <w:rFonts w:ascii="Arial" w:hAnsi="Arial" w:cs="Arial"/>
          <w:sz w:val="24"/>
          <w:szCs w:val="20"/>
          <w:shd w:val="clear" w:color="auto" w:fill="FFFFFF"/>
        </w:rPr>
        <w:t>, </w:t>
      </w:r>
      <w:r w:rsidRPr="00DA185E">
        <w:rPr>
          <w:rFonts w:ascii="Arial" w:hAnsi="Arial" w:cs="Arial"/>
          <w:i/>
          <w:iCs/>
          <w:sz w:val="24"/>
          <w:szCs w:val="20"/>
          <w:shd w:val="clear" w:color="auto" w:fill="FFFFFF"/>
        </w:rPr>
        <w:t>4</w:t>
      </w:r>
      <w:r w:rsidRPr="00DA185E">
        <w:rPr>
          <w:rFonts w:ascii="Arial" w:hAnsi="Arial" w:cs="Arial"/>
          <w:sz w:val="24"/>
          <w:szCs w:val="20"/>
          <w:shd w:val="clear" w:color="auto" w:fill="FFFFFF"/>
        </w:rPr>
        <w:t>(1), 81.</w:t>
      </w:r>
    </w:p>
    <w:p w:rsidR="006109AC" w:rsidRPr="00DA185E" w:rsidRDefault="006109AC" w:rsidP="00DA185E">
      <w:pPr>
        <w:spacing w:line="360" w:lineRule="auto"/>
        <w:rPr>
          <w:rFonts w:ascii="Arial" w:hAnsi="Arial" w:cs="Arial"/>
          <w:sz w:val="24"/>
          <w:szCs w:val="20"/>
          <w:shd w:val="clear" w:color="auto" w:fill="FFFFFF"/>
        </w:rPr>
      </w:pPr>
      <w:r w:rsidRPr="00DA185E">
        <w:rPr>
          <w:rFonts w:ascii="Arial" w:hAnsi="Arial" w:cs="Arial"/>
          <w:sz w:val="24"/>
          <w:szCs w:val="20"/>
          <w:shd w:val="clear" w:color="auto" w:fill="FFFFFF"/>
        </w:rPr>
        <w:t>Hogg, M. A., Terry, D. J., &amp; White, K. M. (1995). A tale of two theories: A critical comparison of identity theory with social identity theory. </w:t>
      </w:r>
      <w:r w:rsidRPr="00DA185E">
        <w:rPr>
          <w:rFonts w:ascii="Arial" w:hAnsi="Arial" w:cs="Arial"/>
          <w:i/>
          <w:iCs/>
          <w:sz w:val="24"/>
          <w:szCs w:val="20"/>
          <w:shd w:val="clear" w:color="auto" w:fill="FFFFFF"/>
        </w:rPr>
        <w:t>Social psychology quarterly</w:t>
      </w:r>
      <w:r w:rsidRPr="00DA185E">
        <w:rPr>
          <w:rFonts w:ascii="Arial" w:hAnsi="Arial" w:cs="Arial"/>
          <w:sz w:val="24"/>
          <w:szCs w:val="20"/>
          <w:shd w:val="clear" w:color="auto" w:fill="FFFFFF"/>
        </w:rPr>
        <w:t>, 255-269.</w:t>
      </w:r>
    </w:p>
    <w:p w:rsidR="006109AC" w:rsidRPr="00DA185E" w:rsidRDefault="006109AC" w:rsidP="00DA185E">
      <w:pPr>
        <w:spacing w:line="360" w:lineRule="auto"/>
        <w:rPr>
          <w:rFonts w:ascii="Arial" w:hAnsi="Arial" w:cs="Arial"/>
          <w:sz w:val="24"/>
          <w:szCs w:val="24"/>
          <w:shd w:val="clear" w:color="auto" w:fill="FFFFFF"/>
        </w:rPr>
      </w:pPr>
      <w:proofErr w:type="spellStart"/>
      <w:r w:rsidRPr="00DA185E">
        <w:rPr>
          <w:rFonts w:ascii="Arial" w:hAnsi="Arial" w:cs="Arial"/>
          <w:sz w:val="24"/>
          <w:szCs w:val="24"/>
          <w:shd w:val="clear" w:color="auto" w:fill="FFFFFF"/>
        </w:rPr>
        <w:t>Kiausiene</w:t>
      </w:r>
      <w:proofErr w:type="spellEnd"/>
      <w:r w:rsidRPr="00DA185E">
        <w:rPr>
          <w:rFonts w:ascii="Arial" w:hAnsi="Arial" w:cs="Arial"/>
          <w:sz w:val="24"/>
          <w:szCs w:val="24"/>
          <w:shd w:val="clear" w:color="auto" w:fill="FFFFFF"/>
        </w:rPr>
        <w:t xml:space="preserve">, I., </w:t>
      </w:r>
      <w:proofErr w:type="spellStart"/>
      <w:r w:rsidRPr="00DA185E">
        <w:rPr>
          <w:rFonts w:ascii="Arial" w:hAnsi="Arial" w:cs="Arial"/>
          <w:sz w:val="24"/>
          <w:szCs w:val="24"/>
          <w:shd w:val="clear" w:color="auto" w:fill="FFFFFF"/>
        </w:rPr>
        <w:t>Streimikiene</w:t>
      </w:r>
      <w:proofErr w:type="spellEnd"/>
      <w:r w:rsidRPr="00DA185E">
        <w:rPr>
          <w:rFonts w:ascii="Arial" w:hAnsi="Arial" w:cs="Arial"/>
          <w:sz w:val="24"/>
          <w:szCs w:val="24"/>
          <w:shd w:val="clear" w:color="auto" w:fill="FFFFFF"/>
        </w:rPr>
        <w:t xml:space="preserve">, D., &amp; </w:t>
      </w:r>
      <w:proofErr w:type="spellStart"/>
      <w:r w:rsidRPr="00DA185E">
        <w:rPr>
          <w:rFonts w:ascii="Arial" w:hAnsi="Arial" w:cs="Arial"/>
          <w:sz w:val="24"/>
          <w:szCs w:val="24"/>
          <w:shd w:val="clear" w:color="auto" w:fill="FFFFFF"/>
        </w:rPr>
        <w:t>Grundey</w:t>
      </w:r>
      <w:proofErr w:type="spellEnd"/>
      <w:r w:rsidRPr="00DA185E">
        <w:rPr>
          <w:rFonts w:ascii="Arial" w:hAnsi="Arial" w:cs="Arial"/>
          <w:sz w:val="24"/>
          <w:szCs w:val="24"/>
          <w:shd w:val="clear" w:color="auto" w:fill="FFFFFF"/>
        </w:rPr>
        <w:t xml:space="preserve">, D. (2011). On gender stereotyping and employment </w:t>
      </w:r>
      <w:proofErr w:type="spellStart"/>
      <w:r w:rsidRPr="00DA185E">
        <w:rPr>
          <w:rFonts w:ascii="Arial" w:hAnsi="Arial" w:cs="Arial"/>
          <w:sz w:val="24"/>
          <w:szCs w:val="24"/>
          <w:shd w:val="clear" w:color="auto" w:fill="FFFFFF"/>
        </w:rPr>
        <w:t>assimetries</w:t>
      </w:r>
      <w:proofErr w:type="spellEnd"/>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Economics &amp; Sociology</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4</w:t>
      </w:r>
      <w:r w:rsidRPr="00DA185E">
        <w:rPr>
          <w:rFonts w:ascii="Arial" w:hAnsi="Arial" w:cs="Arial"/>
          <w:sz w:val="24"/>
          <w:szCs w:val="24"/>
          <w:shd w:val="clear" w:color="auto" w:fill="FFFFFF"/>
        </w:rPr>
        <w:t>(2), 84.</w:t>
      </w:r>
    </w:p>
    <w:p w:rsidR="006109AC" w:rsidRPr="00DA185E" w:rsidRDefault="006109AC" w:rsidP="00DA185E">
      <w:pPr>
        <w:spacing w:line="360" w:lineRule="auto"/>
        <w:rPr>
          <w:rFonts w:ascii="Arial" w:hAnsi="Arial" w:cs="Arial"/>
          <w:sz w:val="32"/>
          <w:szCs w:val="24"/>
          <w:shd w:val="clear" w:color="auto" w:fill="FFFFFF"/>
        </w:rPr>
      </w:pPr>
      <w:r w:rsidRPr="00DA185E">
        <w:rPr>
          <w:rFonts w:ascii="Arial" w:hAnsi="Arial" w:cs="Arial"/>
          <w:sz w:val="24"/>
          <w:szCs w:val="20"/>
          <w:shd w:val="clear" w:color="auto" w:fill="FFFFFF"/>
        </w:rPr>
        <w:t xml:space="preserve">Lavoie, F., </w:t>
      </w:r>
      <w:proofErr w:type="spellStart"/>
      <w:r w:rsidRPr="00DA185E">
        <w:rPr>
          <w:rFonts w:ascii="Arial" w:hAnsi="Arial" w:cs="Arial"/>
          <w:sz w:val="24"/>
          <w:szCs w:val="20"/>
          <w:shd w:val="clear" w:color="auto" w:fill="FFFFFF"/>
        </w:rPr>
        <w:t>Vézina</w:t>
      </w:r>
      <w:proofErr w:type="spellEnd"/>
      <w:r w:rsidRPr="00DA185E">
        <w:rPr>
          <w:rFonts w:ascii="Arial" w:hAnsi="Arial" w:cs="Arial"/>
          <w:sz w:val="24"/>
          <w:szCs w:val="20"/>
          <w:shd w:val="clear" w:color="auto" w:fill="FFFFFF"/>
        </w:rPr>
        <w:t xml:space="preserve">, L., </w:t>
      </w:r>
      <w:proofErr w:type="spellStart"/>
      <w:r w:rsidRPr="00DA185E">
        <w:rPr>
          <w:rFonts w:ascii="Arial" w:hAnsi="Arial" w:cs="Arial"/>
          <w:sz w:val="24"/>
          <w:szCs w:val="20"/>
          <w:shd w:val="clear" w:color="auto" w:fill="FFFFFF"/>
        </w:rPr>
        <w:t>Piché</w:t>
      </w:r>
      <w:proofErr w:type="spellEnd"/>
      <w:r w:rsidRPr="00DA185E">
        <w:rPr>
          <w:rFonts w:ascii="Arial" w:hAnsi="Arial" w:cs="Arial"/>
          <w:sz w:val="24"/>
          <w:szCs w:val="20"/>
          <w:shd w:val="clear" w:color="auto" w:fill="FFFFFF"/>
        </w:rPr>
        <w:t>, C., &amp; Boivin, M. (1995). Evaluation of a prevention program for violence in teen dating relationships. </w:t>
      </w:r>
      <w:r w:rsidRPr="00DA185E">
        <w:rPr>
          <w:rFonts w:ascii="Arial" w:hAnsi="Arial" w:cs="Arial"/>
          <w:i/>
          <w:iCs/>
          <w:sz w:val="24"/>
          <w:szCs w:val="20"/>
          <w:shd w:val="clear" w:color="auto" w:fill="FFFFFF"/>
        </w:rPr>
        <w:t>Journal of Interpersonal Violence</w:t>
      </w:r>
      <w:r w:rsidRPr="00DA185E">
        <w:rPr>
          <w:rFonts w:ascii="Arial" w:hAnsi="Arial" w:cs="Arial"/>
          <w:sz w:val="24"/>
          <w:szCs w:val="20"/>
          <w:shd w:val="clear" w:color="auto" w:fill="FFFFFF"/>
        </w:rPr>
        <w:t>, </w:t>
      </w:r>
      <w:r w:rsidRPr="00DA185E">
        <w:rPr>
          <w:rFonts w:ascii="Arial" w:hAnsi="Arial" w:cs="Arial"/>
          <w:i/>
          <w:iCs/>
          <w:sz w:val="24"/>
          <w:szCs w:val="20"/>
          <w:shd w:val="clear" w:color="auto" w:fill="FFFFFF"/>
        </w:rPr>
        <w:t>10</w:t>
      </w:r>
      <w:r w:rsidRPr="00DA185E">
        <w:rPr>
          <w:rFonts w:ascii="Arial" w:hAnsi="Arial" w:cs="Arial"/>
          <w:sz w:val="24"/>
          <w:szCs w:val="20"/>
          <w:shd w:val="clear" w:color="auto" w:fill="FFFFFF"/>
        </w:rPr>
        <w:t>(4), 516-524.</w:t>
      </w:r>
    </w:p>
    <w:p w:rsidR="006109AC" w:rsidRPr="00DA185E" w:rsidRDefault="006109AC" w:rsidP="00DA185E">
      <w:pPr>
        <w:spacing w:line="360" w:lineRule="auto"/>
        <w:rPr>
          <w:rFonts w:ascii="Arial" w:hAnsi="Arial" w:cs="Arial"/>
          <w:sz w:val="24"/>
          <w:szCs w:val="20"/>
        </w:rPr>
      </w:pPr>
      <w:proofErr w:type="spellStart"/>
      <w:r w:rsidRPr="00DA185E">
        <w:rPr>
          <w:rFonts w:ascii="Arial" w:hAnsi="Arial" w:cs="Arial"/>
          <w:sz w:val="24"/>
          <w:szCs w:val="20"/>
        </w:rPr>
        <w:t>Niens</w:t>
      </w:r>
      <w:proofErr w:type="spellEnd"/>
      <w:r w:rsidRPr="00DA185E">
        <w:rPr>
          <w:rFonts w:ascii="Arial" w:hAnsi="Arial" w:cs="Arial"/>
          <w:sz w:val="24"/>
          <w:szCs w:val="20"/>
        </w:rPr>
        <w:t xml:space="preserve">, U., Cairns, E., </w:t>
      </w:r>
      <w:proofErr w:type="spellStart"/>
      <w:r w:rsidRPr="00DA185E">
        <w:rPr>
          <w:rFonts w:ascii="Arial" w:hAnsi="Arial" w:cs="Arial"/>
          <w:sz w:val="24"/>
          <w:szCs w:val="20"/>
        </w:rPr>
        <w:t>Finchilescu</w:t>
      </w:r>
      <w:proofErr w:type="spellEnd"/>
      <w:r w:rsidRPr="00DA185E">
        <w:rPr>
          <w:rFonts w:ascii="Arial" w:hAnsi="Arial" w:cs="Arial"/>
          <w:sz w:val="24"/>
          <w:szCs w:val="20"/>
        </w:rPr>
        <w:t xml:space="preserve">, G., Foster, D., &amp; </w:t>
      </w:r>
      <w:proofErr w:type="spellStart"/>
      <w:r w:rsidRPr="00DA185E">
        <w:rPr>
          <w:rFonts w:ascii="Arial" w:hAnsi="Arial" w:cs="Arial"/>
          <w:sz w:val="24"/>
          <w:szCs w:val="20"/>
        </w:rPr>
        <w:t>Tredoux</w:t>
      </w:r>
      <w:proofErr w:type="spellEnd"/>
      <w:r w:rsidRPr="00DA185E">
        <w:rPr>
          <w:rFonts w:ascii="Arial" w:hAnsi="Arial" w:cs="Arial"/>
          <w:sz w:val="24"/>
          <w:szCs w:val="20"/>
        </w:rPr>
        <w:t xml:space="preserve">, C. (2003). Social identity theory and the authoritarian personality theory in South Africa. </w:t>
      </w:r>
      <w:r w:rsidRPr="00DA185E">
        <w:rPr>
          <w:rFonts w:ascii="Arial" w:hAnsi="Arial" w:cs="Arial"/>
          <w:i/>
          <w:iCs/>
          <w:sz w:val="24"/>
          <w:szCs w:val="20"/>
        </w:rPr>
        <w:t>South African Journal of Psychology</w:t>
      </w:r>
      <w:r w:rsidRPr="00DA185E">
        <w:rPr>
          <w:rFonts w:ascii="Arial" w:hAnsi="Arial" w:cs="Arial"/>
          <w:sz w:val="24"/>
          <w:szCs w:val="20"/>
        </w:rPr>
        <w:t xml:space="preserve">, </w:t>
      </w:r>
      <w:r w:rsidRPr="00DA185E">
        <w:rPr>
          <w:rFonts w:ascii="Arial" w:hAnsi="Arial" w:cs="Arial"/>
          <w:i/>
          <w:iCs/>
          <w:sz w:val="24"/>
          <w:szCs w:val="20"/>
        </w:rPr>
        <w:t>33</w:t>
      </w:r>
      <w:r w:rsidRPr="00DA185E">
        <w:rPr>
          <w:rFonts w:ascii="Arial" w:hAnsi="Arial" w:cs="Arial"/>
          <w:sz w:val="24"/>
          <w:szCs w:val="20"/>
        </w:rPr>
        <w:t>(2), 109-117.</w:t>
      </w:r>
    </w:p>
    <w:p w:rsidR="006109AC" w:rsidRPr="00DA185E" w:rsidRDefault="006109AC" w:rsidP="00DA185E">
      <w:pPr>
        <w:spacing w:line="360" w:lineRule="auto"/>
        <w:rPr>
          <w:sz w:val="24"/>
          <w:szCs w:val="24"/>
        </w:rPr>
      </w:pPr>
      <w:r w:rsidRPr="00DA185E">
        <w:rPr>
          <w:rFonts w:ascii="Arial" w:hAnsi="Arial" w:cs="Arial"/>
          <w:sz w:val="24"/>
          <w:szCs w:val="24"/>
          <w:shd w:val="clear" w:color="auto" w:fill="FFFFFF"/>
        </w:rPr>
        <w:t>Paul, A. M. (1998). Where bias begins: The truth about stereotypes. </w:t>
      </w:r>
      <w:r w:rsidRPr="00DA185E">
        <w:rPr>
          <w:rFonts w:ascii="Arial" w:hAnsi="Arial" w:cs="Arial"/>
          <w:i/>
          <w:iCs/>
          <w:sz w:val="24"/>
          <w:szCs w:val="24"/>
          <w:shd w:val="clear" w:color="auto" w:fill="FFFFFF"/>
        </w:rPr>
        <w:t>Psychology Today</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31</w:t>
      </w:r>
      <w:r w:rsidRPr="00DA185E">
        <w:rPr>
          <w:rFonts w:ascii="Arial" w:hAnsi="Arial" w:cs="Arial"/>
          <w:sz w:val="24"/>
          <w:szCs w:val="24"/>
          <w:shd w:val="clear" w:color="auto" w:fill="FFFFFF"/>
        </w:rPr>
        <w:t>(3), 52-56.</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 xml:space="preserve">Phillips, Colby. (n.d.). Criticisms of Social Identity Theory. Synonym. Retrieved from </w:t>
      </w:r>
      <w:hyperlink r:id="rId7" w:history="1">
        <w:r w:rsidRPr="00DA185E">
          <w:rPr>
            <w:rStyle w:val="Hyperlink"/>
            <w:rFonts w:ascii="Arial" w:hAnsi="Arial" w:cs="Arial"/>
            <w:color w:val="auto"/>
            <w:sz w:val="24"/>
            <w:szCs w:val="24"/>
            <w:shd w:val="clear" w:color="auto" w:fill="FFFFFF"/>
          </w:rPr>
          <w:t>https://classroom.synonym.com/criticisms-social-identity-theory-10068023.html</w:t>
        </w:r>
      </w:hyperlink>
    </w:p>
    <w:p w:rsidR="006109AC" w:rsidRPr="00DA185E" w:rsidRDefault="006109AC" w:rsidP="00DA185E">
      <w:pPr>
        <w:spacing w:line="360" w:lineRule="auto"/>
        <w:rPr>
          <w:rFonts w:ascii="Arial" w:hAnsi="Arial" w:cs="Arial"/>
          <w:sz w:val="48"/>
          <w:szCs w:val="24"/>
          <w:shd w:val="clear" w:color="auto" w:fill="FFFFFF"/>
        </w:rPr>
      </w:pPr>
      <w:proofErr w:type="spellStart"/>
      <w:r w:rsidRPr="00DA185E">
        <w:rPr>
          <w:rFonts w:ascii="Arial" w:hAnsi="Arial" w:cs="Arial"/>
          <w:sz w:val="24"/>
          <w:szCs w:val="20"/>
          <w:shd w:val="clear" w:color="auto" w:fill="FFFFFF"/>
        </w:rPr>
        <w:t>Rakow</w:t>
      </w:r>
      <w:proofErr w:type="spellEnd"/>
      <w:r w:rsidRPr="00DA185E">
        <w:rPr>
          <w:rFonts w:ascii="Arial" w:hAnsi="Arial" w:cs="Arial"/>
          <w:sz w:val="24"/>
          <w:szCs w:val="20"/>
          <w:shd w:val="clear" w:color="auto" w:fill="FFFFFF"/>
        </w:rPr>
        <w:t>, L. F. (1992). </w:t>
      </w:r>
      <w:r w:rsidRPr="00DA185E">
        <w:rPr>
          <w:rFonts w:ascii="Arial" w:hAnsi="Arial" w:cs="Arial"/>
          <w:i/>
          <w:iCs/>
          <w:sz w:val="24"/>
          <w:szCs w:val="20"/>
          <w:shd w:val="clear" w:color="auto" w:fill="FFFFFF"/>
        </w:rPr>
        <w:t>Gender on the line: Women, the telephone, and community life</w:t>
      </w:r>
      <w:r w:rsidRPr="00DA185E">
        <w:rPr>
          <w:rFonts w:ascii="Arial" w:hAnsi="Arial" w:cs="Arial"/>
          <w:sz w:val="24"/>
          <w:szCs w:val="20"/>
          <w:shd w:val="clear" w:color="auto" w:fill="FFFFFF"/>
        </w:rPr>
        <w:t>. University of Illinois Press.</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lastRenderedPageBreak/>
        <w:t>Souza, J. S. (2011). </w:t>
      </w:r>
      <w:r w:rsidRPr="00DA185E">
        <w:rPr>
          <w:rFonts w:ascii="Arial" w:hAnsi="Arial" w:cs="Arial"/>
          <w:i/>
          <w:iCs/>
          <w:sz w:val="24"/>
          <w:szCs w:val="24"/>
          <w:shd w:val="clear" w:color="auto" w:fill="FFFFFF"/>
        </w:rPr>
        <w:t>" Well-behaved women seldom make history"- Laurel Ulrich: the inclusion of women in Women in western civilization courses</w:t>
      </w:r>
      <w:r w:rsidRPr="00DA185E">
        <w:rPr>
          <w:rFonts w:ascii="Arial" w:hAnsi="Arial" w:cs="Arial"/>
          <w:sz w:val="24"/>
          <w:szCs w:val="24"/>
          <w:shd w:val="clear" w:color="auto" w:fill="FFFFFF"/>
        </w:rPr>
        <w:t> (Doctoral dissertation).</w:t>
      </w:r>
    </w:p>
    <w:p w:rsidR="006109AC" w:rsidRPr="00DA185E" w:rsidRDefault="006109AC" w:rsidP="00DA185E">
      <w:pPr>
        <w:spacing w:line="360" w:lineRule="auto"/>
        <w:rPr>
          <w:rFonts w:ascii="Arial" w:hAnsi="Arial" w:cs="Arial"/>
          <w:sz w:val="24"/>
          <w:szCs w:val="20"/>
          <w:shd w:val="clear" w:color="auto" w:fill="FFFFFF"/>
        </w:rPr>
      </w:pPr>
      <w:r w:rsidRPr="00DA185E">
        <w:rPr>
          <w:rFonts w:ascii="Arial" w:hAnsi="Arial" w:cs="Arial"/>
          <w:sz w:val="24"/>
          <w:szCs w:val="20"/>
          <w:shd w:val="clear" w:color="auto" w:fill="FFFFFF"/>
        </w:rPr>
        <w:t xml:space="preserve">Tajfel, H., Turner, J. C., Austin, W. G., &amp; </w:t>
      </w:r>
      <w:proofErr w:type="spellStart"/>
      <w:r w:rsidRPr="00DA185E">
        <w:rPr>
          <w:rFonts w:ascii="Arial" w:hAnsi="Arial" w:cs="Arial"/>
          <w:sz w:val="24"/>
          <w:szCs w:val="20"/>
          <w:shd w:val="clear" w:color="auto" w:fill="FFFFFF"/>
        </w:rPr>
        <w:t>Worchel</w:t>
      </w:r>
      <w:proofErr w:type="spellEnd"/>
      <w:r w:rsidRPr="00DA185E">
        <w:rPr>
          <w:rFonts w:ascii="Arial" w:hAnsi="Arial" w:cs="Arial"/>
          <w:sz w:val="24"/>
          <w:szCs w:val="20"/>
          <w:shd w:val="clear" w:color="auto" w:fill="FFFFFF"/>
        </w:rPr>
        <w:t>, S. (1979). An integrative theory of intergroup conflict. </w:t>
      </w:r>
      <w:r w:rsidRPr="00DA185E">
        <w:rPr>
          <w:rFonts w:ascii="Arial" w:hAnsi="Arial" w:cs="Arial"/>
          <w:i/>
          <w:iCs/>
          <w:sz w:val="24"/>
          <w:szCs w:val="20"/>
          <w:shd w:val="clear" w:color="auto" w:fill="FFFFFF"/>
        </w:rPr>
        <w:t>Organizational identity: A reader</w:t>
      </w:r>
      <w:r w:rsidRPr="00DA185E">
        <w:rPr>
          <w:rFonts w:ascii="Arial" w:hAnsi="Arial" w:cs="Arial"/>
          <w:sz w:val="24"/>
          <w:szCs w:val="20"/>
          <w:shd w:val="clear" w:color="auto" w:fill="FFFFFF"/>
        </w:rPr>
        <w:t>, 56-65.</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Turner, J. C. (2010). Social categorization and the self-concept: A social cognitive theory of group behaviour.</w:t>
      </w:r>
    </w:p>
    <w:p w:rsidR="006109AC" w:rsidRPr="00DA185E" w:rsidRDefault="006109AC" w:rsidP="00DA185E">
      <w:pPr>
        <w:spacing w:line="360" w:lineRule="auto"/>
        <w:rPr>
          <w:rFonts w:ascii="Arial" w:eastAsia="Times New Roman" w:hAnsi="Arial" w:cs="Arial"/>
          <w:sz w:val="24"/>
          <w:szCs w:val="26"/>
          <w:lang w:eastAsia="en-GB"/>
        </w:rPr>
      </w:pPr>
      <w:r w:rsidRPr="00DA185E">
        <w:rPr>
          <w:rFonts w:ascii="Arial" w:eastAsia="Times New Roman" w:hAnsi="Arial" w:cs="Arial"/>
          <w:sz w:val="24"/>
          <w:szCs w:val="26"/>
          <w:lang w:eastAsia="en-GB"/>
        </w:rPr>
        <w:t xml:space="preserve">Turner, J. C., &amp; Tajfel, H. (1986). The social identity theory of intergroup </w:t>
      </w:r>
      <w:proofErr w:type="spellStart"/>
      <w:r w:rsidRPr="00DA185E">
        <w:rPr>
          <w:rFonts w:ascii="Arial" w:eastAsia="Times New Roman" w:hAnsi="Arial" w:cs="Arial"/>
          <w:sz w:val="24"/>
          <w:szCs w:val="26"/>
          <w:lang w:eastAsia="en-GB"/>
        </w:rPr>
        <w:t>behavior</w:t>
      </w:r>
      <w:proofErr w:type="spellEnd"/>
      <w:r w:rsidRPr="00DA185E">
        <w:rPr>
          <w:rFonts w:ascii="Arial" w:eastAsia="Times New Roman" w:hAnsi="Arial" w:cs="Arial"/>
          <w:sz w:val="24"/>
          <w:szCs w:val="26"/>
          <w:lang w:eastAsia="en-GB"/>
        </w:rPr>
        <w:t>. </w:t>
      </w:r>
      <w:r w:rsidRPr="00DA185E">
        <w:rPr>
          <w:rFonts w:ascii="Arial" w:eastAsia="Times New Roman" w:hAnsi="Arial" w:cs="Arial"/>
          <w:i/>
          <w:iCs/>
          <w:sz w:val="24"/>
          <w:szCs w:val="26"/>
          <w:lang w:eastAsia="en-GB"/>
        </w:rPr>
        <w:t>Psychology of intergroup relations</w:t>
      </w:r>
      <w:r w:rsidRPr="00DA185E">
        <w:rPr>
          <w:rFonts w:ascii="Arial" w:eastAsia="Times New Roman" w:hAnsi="Arial" w:cs="Arial"/>
          <w:sz w:val="24"/>
          <w:szCs w:val="26"/>
          <w:lang w:eastAsia="en-GB"/>
        </w:rPr>
        <w:t>, 7-24.</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 xml:space="preserve">Van </w:t>
      </w:r>
      <w:proofErr w:type="spellStart"/>
      <w:r w:rsidRPr="00DA185E">
        <w:rPr>
          <w:rFonts w:ascii="Arial" w:hAnsi="Arial" w:cs="Arial"/>
          <w:sz w:val="24"/>
          <w:szCs w:val="24"/>
          <w:shd w:val="clear" w:color="auto" w:fill="FFFFFF"/>
        </w:rPr>
        <w:t>Rooy</w:t>
      </w:r>
      <w:proofErr w:type="spellEnd"/>
      <w:r w:rsidRPr="00DA185E">
        <w:rPr>
          <w:rFonts w:ascii="Arial" w:hAnsi="Arial" w:cs="Arial"/>
          <w:sz w:val="24"/>
          <w:szCs w:val="24"/>
          <w:shd w:val="clear" w:color="auto" w:fill="FFFFFF"/>
        </w:rPr>
        <w:t xml:space="preserve">, D., </w:t>
      </w:r>
      <w:proofErr w:type="spellStart"/>
      <w:r w:rsidRPr="00DA185E">
        <w:rPr>
          <w:rFonts w:ascii="Arial" w:hAnsi="Arial" w:cs="Arial"/>
          <w:sz w:val="24"/>
          <w:szCs w:val="24"/>
          <w:shd w:val="clear" w:color="auto" w:fill="FFFFFF"/>
        </w:rPr>
        <w:t>Vanhoomissen</w:t>
      </w:r>
      <w:proofErr w:type="spellEnd"/>
      <w:r w:rsidRPr="00DA185E">
        <w:rPr>
          <w:rFonts w:ascii="Arial" w:hAnsi="Arial" w:cs="Arial"/>
          <w:sz w:val="24"/>
          <w:szCs w:val="24"/>
          <w:shd w:val="clear" w:color="auto" w:fill="FFFFFF"/>
        </w:rPr>
        <w:t xml:space="preserve">, T., &amp; Van </w:t>
      </w:r>
      <w:proofErr w:type="spellStart"/>
      <w:r w:rsidRPr="00DA185E">
        <w:rPr>
          <w:rFonts w:ascii="Arial" w:hAnsi="Arial" w:cs="Arial"/>
          <w:sz w:val="24"/>
          <w:szCs w:val="24"/>
          <w:shd w:val="clear" w:color="auto" w:fill="FFFFFF"/>
        </w:rPr>
        <w:t>Overwalle</w:t>
      </w:r>
      <w:proofErr w:type="spellEnd"/>
      <w:r w:rsidRPr="00DA185E">
        <w:rPr>
          <w:rFonts w:ascii="Arial" w:hAnsi="Arial" w:cs="Arial"/>
          <w:sz w:val="24"/>
          <w:szCs w:val="24"/>
          <w:shd w:val="clear" w:color="auto" w:fill="FFFFFF"/>
        </w:rPr>
        <w:t>, F. (2013). Illusory correlation, group size and memory. </w:t>
      </w:r>
      <w:r w:rsidRPr="00DA185E">
        <w:rPr>
          <w:rFonts w:ascii="Arial" w:hAnsi="Arial" w:cs="Arial"/>
          <w:i/>
          <w:iCs/>
          <w:sz w:val="24"/>
          <w:szCs w:val="24"/>
          <w:shd w:val="clear" w:color="auto" w:fill="FFFFFF"/>
        </w:rPr>
        <w:t>Journal of Experimental Social Psychology</w:t>
      </w:r>
      <w:r w:rsidRPr="00DA185E">
        <w:rPr>
          <w:rFonts w:ascii="Arial" w:hAnsi="Arial" w:cs="Arial"/>
          <w:sz w:val="24"/>
          <w:szCs w:val="24"/>
          <w:shd w:val="clear" w:color="auto" w:fill="FFFFFF"/>
        </w:rPr>
        <w:t>, </w:t>
      </w:r>
      <w:r w:rsidRPr="00DA185E">
        <w:rPr>
          <w:rFonts w:ascii="Arial" w:hAnsi="Arial" w:cs="Arial"/>
          <w:i/>
          <w:iCs/>
          <w:sz w:val="24"/>
          <w:szCs w:val="24"/>
          <w:shd w:val="clear" w:color="auto" w:fill="FFFFFF"/>
        </w:rPr>
        <w:t>49</w:t>
      </w:r>
      <w:r w:rsidRPr="00DA185E">
        <w:rPr>
          <w:rFonts w:ascii="Arial" w:hAnsi="Arial" w:cs="Arial"/>
          <w:sz w:val="24"/>
          <w:szCs w:val="24"/>
          <w:shd w:val="clear" w:color="auto" w:fill="FFFFFF"/>
        </w:rPr>
        <w:t>(6), 1159-1167.</w:t>
      </w:r>
    </w:p>
    <w:p w:rsidR="006109AC" w:rsidRPr="00DA185E" w:rsidRDefault="006109AC" w:rsidP="00DA185E">
      <w:pPr>
        <w:spacing w:line="360" w:lineRule="auto"/>
        <w:rPr>
          <w:rFonts w:ascii="Arial" w:hAnsi="Arial" w:cs="Arial"/>
          <w:sz w:val="24"/>
          <w:szCs w:val="24"/>
          <w:shd w:val="clear" w:color="auto" w:fill="FFFFFF"/>
        </w:rPr>
      </w:pPr>
      <w:r w:rsidRPr="00DA185E">
        <w:rPr>
          <w:rFonts w:ascii="Arial" w:hAnsi="Arial" w:cs="Arial"/>
          <w:sz w:val="24"/>
          <w:szCs w:val="24"/>
          <w:shd w:val="clear" w:color="auto" w:fill="FFFFFF"/>
        </w:rPr>
        <w:t xml:space="preserve">Walumbwa, F. O., &amp; </w:t>
      </w:r>
      <w:proofErr w:type="spellStart"/>
      <w:r w:rsidRPr="00DA185E">
        <w:rPr>
          <w:rFonts w:ascii="Arial" w:hAnsi="Arial" w:cs="Arial"/>
          <w:sz w:val="24"/>
          <w:szCs w:val="24"/>
          <w:shd w:val="clear" w:color="auto" w:fill="FFFFFF"/>
        </w:rPr>
        <w:t>Ojode</w:t>
      </w:r>
      <w:proofErr w:type="spellEnd"/>
      <w:r w:rsidRPr="00DA185E">
        <w:rPr>
          <w:rFonts w:ascii="Arial" w:hAnsi="Arial" w:cs="Arial"/>
          <w:sz w:val="24"/>
          <w:szCs w:val="24"/>
          <w:shd w:val="clear" w:color="auto" w:fill="FFFFFF"/>
        </w:rPr>
        <w:t xml:space="preserve">, L. A. (2000, March). Gender stereotype and instructors’ leadership </w:t>
      </w:r>
      <w:proofErr w:type="spellStart"/>
      <w:r w:rsidRPr="00DA185E">
        <w:rPr>
          <w:rFonts w:ascii="Arial" w:hAnsi="Arial" w:cs="Arial"/>
          <w:sz w:val="24"/>
          <w:szCs w:val="24"/>
          <w:shd w:val="clear" w:color="auto" w:fill="FFFFFF"/>
        </w:rPr>
        <w:t>behavior</w:t>
      </w:r>
      <w:proofErr w:type="spellEnd"/>
      <w:r w:rsidRPr="00DA185E">
        <w:rPr>
          <w:rFonts w:ascii="Arial" w:hAnsi="Arial" w:cs="Arial"/>
          <w:sz w:val="24"/>
          <w:szCs w:val="24"/>
          <w:shd w:val="clear" w:color="auto" w:fill="FFFFFF"/>
        </w:rPr>
        <w:t>: Transformational and transactional leadership. In </w:t>
      </w:r>
      <w:r w:rsidRPr="00DA185E">
        <w:rPr>
          <w:rFonts w:ascii="Arial" w:hAnsi="Arial" w:cs="Arial"/>
          <w:i/>
          <w:iCs/>
          <w:sz w:val="24"/>
          <w:szCs w:val="24"/>
          <w:shd w:val="clear" w:color="auto" w:fill="FFFFFF"/>
        </w:rPr>
        <w:t>Midwest Academy of Management Annual Conference at Chicago, March 30th-April 1st</w:t>
      </w:r>
      <w:r w:rsidRPr="00DA185E">
        <w:rPr>
          <w:rFonts w:ascii="Arial" w:hAnsi="Arial" w:cs="Arial"/>
          <w:sz w:val="24"/>
          <w:szCs w:val="24"/>
          <w:shd w:val="clear" w:color="auto" w:fill="FFFFFF"/>
        </w:rPr>
        <w:t>.</w:t>
      </w:r>
    </w:p>
    <w:p w:rsidR="006109AC" w:rsidRPr="006109AC" w:rsidRDefault="006109AC" w:rsidP="00DA185E">
      <w:pPr>
        <w:spacing w:line="360" w:lineRule="auto"/>
        <w:rPr>
          <w:rFonts w:ascii="Arial" w:hAnsi="Arial" w:cs="Arial"/>
          <w:sz w:val="24"/>
          <w:szCs w:val="20"/>
          <w:shd w:val="clear" w:color="auto" w:fill="FFFFFF"/>
        </w:rPr>
      </w:pPr>
      <w:r w:rsidRPr="00DA185E">
        <w:rPr>
          <w:rFonts w:ascii="Arial" w:hAnsi="Arial" w:cs="Arial"/>
          <w:sz w:val="24"/>
          <w:szCs w:val="20"/>
          <w:shd w:val="clear" w:color="auto" w:fill="FFFFFF"/>
        </w:rPr>
        <w:t xml:space="preserve">Wood, J. T. (1994). Gendered media: The influence of media on views of </w:t>
      </w:r>
      <w:r w:rsidRPr="006109AC">
        <w:rPr>
          <w:rFonts w:ascii="Arial" w:hAnsi="Arial" w:cs="Arial"/>
          <w:sz w:val="24"/>
          <w:szCs w:val="20"/>
          <w:shd w:val="clear" w:color="auto" w:fill="FFFFFF"/>
        </w:rPr>
        <w:t>gender. </w:t>
      </w:r>
      <w:r w:rsidRPr="006109AC">
        <w:rPr>
          <w:rFonts w:ascii="Arial" w:hAnsi="Arial" w:cs="Arial"/>
          <w:i/>
          <w:iCs/>
          <w:sz w:val="24"/>
          <w:szCs w:val="20"/>
          <w:shd w:val="clear" w:color="auto" w:fill="FFFFFF"/>
        </w:rPr>
        <w:t>Gendered lives: Communication, gender, and culture</w:t>
      </w:r>
      <w:r w:rsidRPr="006109AC">
        <w:rPr>
          <w:rFonts w:ascii="Arial" w:hAnsi="Arial" w:cs="Arial"/>
          <w:sz w:val="24"/>
          <w:szCs w:val="20"/>
          <w:shd w:val="clear" w:color="auto" w:fill="FFFFFF"/>
        </w:rPr>
        <w:t>, </w:t>
      </w:r>
      <w:r w:rsidRPr="006109AC">
        <w:rPr>
          <w:rFonts w:ascii="Arial" w:hAnsi="Arial" w:cs="Arial"/>
          <w:i/>
          <w:iCs/>
          <w:sz w:val="24"/>
          <w:szCs w:val="20"/>
          <w:shd w:val="clear" w:color="auto" w:fill="FFFFFF"/>
        </w:rPr>
        <w:t>9</w:t>
      </w:r>
      <w:r w:rsidRPr="006109AC">
        <w:rPr>
          <w:rFonts w:ascii="Arial" w:hAnsi="Arial" w:cs="Arial"/>
          <w:sz w:val="24"/>
          <w:szCs w:val="20"/>
          <w:shd w:val="clear" w:color="auto" w:fill="FFFFFF"/>
        </w:rPr>
        <w:t>, 231-244.</w:t>
      </w:r>
    </w:p>
    <w:sectPr w:rsidR="006109AC" w:rsidRPr="00610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E40" w:rsidRDefault="008F5E40" w:rsidP="0051044F">
      <w:pPr>
        <w:spacing w:after="0" w:line="240" w:lineRule="auto"/>
      </w:pPr>
      <w:r>
        <w:separator/>
      </w:r>
    </w:p>
  </w:endnote>
  <w:endnote w:type="continuationSeparator" w:id="0">
    <w:p w:rsidR="008F5E40" w:rsidRDefault="008F5E40" w:rsidP="00510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E40" w:rsidRDefault="008F5E40" w:rsidP="0051044F">
      <w:pPr>
        <w:spacing w:after="0" w:line="240" w:lineRule="auto"/>
      </w:pPr>
      <w:r>
        <w:separator/>
      </w:r>
    </w:p>
  </w:footnote>
  <w:footnote w:type="continuationSeparator" w:id="0">
    <w:p w:rsidR="008F5E40" w:rsidRDefault="008F5E40" w:rsidP="00510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970308"/>
    <w:multiLevelType w:val="multilevel"/>
    <w:tmpl w:val="CD966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44F"/>
    <w:rsid w:val="000502A3"/>
    <w:rsid w:val="00067A29"/>
    <w:rsid w:val="00091A63"/>
    <w:rsid w:val="00141CA6"/>
    <w:rsid w:val="001762A2"/>
    <w:rsid w:val="00183CE7"/>
    <w:rsid w:val="001D2CAD"/>
    <w:rsid w:val="001E3BF2"/>
    <w:rsid w:val="001E5C64"/>
    <w:rsid w:val="001F1F12"/>
    <w:rsid w:val="002061C1"/>
    <w:rsid w:val="00214AF3"/>
    <w:rsid w:val="00252C77"/>
    <w:rsid w:val="00284598"/>
    <w:rsid w:val="002C1B70"/>
    <w:rsid w:val="002E7342"/>
    <w:rsid w:val="0031655C"/>
    <w:rsid w:val="0033632F"/>
    <w:rsid w:val="003954F2"/>
    <w:rsid w:val="003A5B63"/>
    <w:rsid w:val="003F343E"/>
    <w:rsid w:val="00440796"/>
    <w:rsid w:val="004C15EE"/>
    <w:rsid w:val="004C6F93"/>
    <w:rsid w:val="004C7009"/>
    <w:rsid w:val="004F0DB7"/>
    <w:rsid w:val="0051044F"/>
    <w:rsid w:val="00544B84"/>
    <w:rsid w:val="005A77CF"/>
    <w:rsid w:val="005D0DAB"/>
    <w:rsid w:val="005F0EC2"/>
    <w:rsid w:val="005F2115"/>
    <w:rsid w:val="005F3883"/>
    <w:rsid w:val="006109AC"/>
    <w:rsid w:val="00616437"/>
    <w:rsid w:val="0063050B"/>
    <w:rsid w:val="00631EEB"/>
    <w:rsid w:val="00657D1C"/>
    <w:rsid w:val="00665313"/>
    <w:rsid w:val="00687844"/>
    <w:rsid w:val="006F153F"/>
    <w:rsid w:val="0072761F"/>
    <w:rsid w:val="00731E4F"/>
    <w:rsid w:val="007C0E8B"/>
    <w:rsid w:val="008726E5"/>
    <w:rsid w:val="00891C27"/>
    <w:rsid w:val="008A7383"/>
    <w:rsid w:val="008D50CF"/>
    <w:rsid w:val="008F5E40"/>
    <w:rsid w:val="00911B05"/>
    <w:rsid w:val="0093377B"/>
    <w:rsid w:val="009376F0"/>
    <w:rsid w:val="00962788"/>
    <w:rsid w:val="009817EA"/>
    <w:rsid w:val="009B02CC"/>
    <w:rsid w:val="009D0A9C"/>
    <w:rsid w:val="009D4A46"/>
    <w:rsid w:val="009F5E71"/>
    <w:rsid w:val="00A1524F"/>
    <w:rsid w:val="00A20FDF"/>
    <w:rsid w:val="00A51E58"/>
    <w:rsid w:val="00A73701"/>
    <w:rsid w:val="00A82BFE"/>
    <w:rsid w:val="00A8348F"/>
    <w:rsid w:val="00A9776A"/>
    <w:rsid w:val="00AA0462"/>
    <w:rsid w:val="00AA425B"/>
    <w:rsid w:val="00AB08C1"/>
    <w:rsid w:val="00AB3193"/>
    <w:rsid w:val="00AB6FE1"/>
    <w:rsid w:val="00AF3158"/>
    <w:rsid w:val="00B059C6"/>
    <w:rsid w:val="00B14135"/>
    <w:rsid w:val="00B23989"/>
    <w:rsid w:val="00B33377"/>
    <w:rsid w:val="00B346ED"/>
    <w:rsid w:val="00B65A59"/>
    <w:rsid w:val="00B81BF7"/>
    <w:rsid w:val="00B90B56"/>
    <w:rsid w:val="00B91BF6"/>
    <w:rsid w:val="00BB07B1"/>
    <w:rsid w:val="00BC1B67"/>
    <w:rsid w:val="00BE1BD5"/>
    <w:rsid w:val="00C117F5"/>
    <w:rsid w:val="00C266C3"/>
    <w:rsid w:val="00C62EF9"/>
    <w:rsid w:val="00C85B7E"/>
    <w:rsid w:val="00CF7536"/>
    <w:rsid w:val="00D3371E"/>
    <w:rsid w:val="00DA185E"/>
    <w:rsid w:val="00DC3E68"/>
    <w:rsid w:val="00DC67B4"/>
    <w:rsid w:val="00DD60F6"/>
    <w:rsid w:val="00E077AF"/>
    <w:rsid w:val="00E172DB"/>
    <w:rsid w:val="00E36178"/>
    <w:rsid w:val="00E42E42"/>
    <w:rsid w:val="00E72168"/>
    <w:rsid w:val="00E96F54"/>
    <w:rsid w:val="00EA3007"/>
    <w:rsid w:val="00EB0858"/>
    <w:rsid w:val="00EB3CA6"/>
    <w:rsid w:val="00EC7A16"/>
    <w:rsid w:val="00F20BE6"/>
    <w:rsid w:val="00F219F2"/>
    <w:rsid w:val="00F43545"/>
    <w:rsid w:val="00F66C47"/>
    <w:rsid w:val="00F85FE0"/>
    <w:rsid w:val="00FC3F67"/>
    <w:rsid w:val="00FE4644"/>
    <w:rsid w:val="00FE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A39D"/>
  <w15:chartTrackingRefBased/>
  <w15:docId w15:val="{F44338CD-2F4B-4279-AC0D-6B7610D9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44F"/>
  </w:style>
  <w:style w:type="paragraph" w:styleId="Footer">
    <w:name w:val="footer"/>
    <w:basedOn w:val="Normal"/>
    <w:link w:val="FooterChar"/>
    <w:uiPriority w:val="99"/>
    <w:unhideWhenUsed/>
    <w:rsid w:val="00510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44F"/>
  </w:style>
  <w:style w:type="paragraph" w:styleId="NormalWeb">
    <w:name w:val="Normal (Web)"/>
    <w:basedOn w:val="Normal"/>
    <w:uiPriority w:val="99"/>
    <w:unhideWhenUsed/>
    <w:rsid w:val="00B65A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59C6"/>
    <w:rPr>
      <w:color w:val="0563C1" w:themeColor="hyperlink"/>
      <w:u w:val="single"/>
    </w:rPr>
  </w:style>
  <w:style w:type="character" w:customStyle="1" w:styleId="UnresolvedMention1">
    <w:name w:val="Unresolved Mention1"/>
    <w:basedOn w:val="DefaultParagraphFont"/>
    <w:uiPriority w:val="99"/>
    <w:semiHidden/>
    <w:unhideWhenUsed/>
    <w:rsid w:val="00B059C6"/>
    <w:rPr>
      <w:color w:val="605E5C"/>
      <w:shd w:val="clear" w:color="auto" w:fill="E1DFDD"/>
    </w:rPr>
  </w:style>
  <w:style w:type="character" w:styleId="FollowedHyperlink">
    <w:name w:val="FollowedHyperlink"/>
    <w:basedOn w:val="DefaultParagraphFont"/>
    <w:uiPriority w:val="99"/>
    <w:semiHidden/>
    <w:unhideWhenUsed/>
    <w:rsid w:val="006F15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994327">
      <w:bodyDiv w:val="1"/>
      <w:marLeft w:val="0"/>
      <w:marRight w:val="0"/>
      <w:marTop w:val="0"/>
      <w:marBottom w:val="0"/>
      <w:divBdr>
        <w:top w:val="none" w:sz="0" w:space="0" w:color="auto"/>
        <w:left w:val="none" w:sz="0" w:space="0" w:color="auto"/>
        <w:bottom w:val="none" w:sz="0" w:space="0" w:color="auto"/>
        <w:right w:val="none" w:sz="0" w:space="0" w:color="auto"/>
      </w:divBdr>
    </w:div>
    <w:div w:id="460849965">
      <w:bodyDiv w:val="1"/>
      <w:marLeft w:val="0"/>
      <w:marRight w:val="0"/>
      <w:marTop w:val="0"/>
      <w:marBottom w:val="0"/>
      <w:divBdr>
        <w:top w:val="none" w:sz="0" w:space="0" w:color="auto"/>
        <w:left w:val="none" w:sz="0" w:space="0" w:color="auto"/>
        <w:bottom w:val="none" w:sz="0" w:space="0" w:color="auto"/>
        <w:right w:val="none" w:sz="0" w:space="0" w:color="auto"/>
      </w:divBdr>
    </w:div>
    <w:div w:id="548538722">
      <w:bodyDiv w:val="1"/>
      <w:marLeft w:val="0"/>
      <w:marRight w:val="0"/>
      <w:marTop w:val="0"/>
      <w:marBottom w:val="0"/>
      <w:divBdr>
        <w:top w:val="none" w:sz="0" w:space="0" w:color="auto"/>
        <w:left w:val="none" w:sz="0" w:space="0" w:color="auto"/>
        <w:bottom w:val="none" w:sz="0" w:space="0" w:color="auto"/>
        <w:right w:val="none" w:sz="0" w:space="0" w:color="auto"/>
      </w:divBdr>
      <w:divsChild>
        <w:div w:id="1174806699">
          <w:marLeft w:val="0"/>
          <w:marRight w:val="0"/>
          <w:marTop w:val="0"/>
          <w:marBottom w:val="0"/>
          <w:divBdr>
            <w:top w:val="none" w:sz="0" w:space="0" w:color="auto"/>
            <w:left w:val="none" w:sz="0" w:space="0" w:color="auto"/>
            <w:bottom w:val="none" w:sz="0" w:space="0" w:color="auto"/>
            <w:right w:val="none" w:sz="0" w:space="0" w:color="auto"/>
          </w:divBdr>
        </w:div>
      </w:divsChild>
    </w:div>
    <w:div w:id="592671194">
      <w:bodyDiv w:val="1"/>
      <w:marLeft w:val="0"/>
      <w:marRight w:val="0"/>
      <w:marTop w:val="0"/>
      <w:marBottom w:val="0"/>
      <w:divBdr>
        <w:top w:val="none" w:sz="0" w:space="0" w:color="auto"/>
        <w:left w:val="none" w:sz="0" w:space="0" w:color="auto"/>
        <w:bottom w:val="none" w:sz="0" w:space="0" w:color="auto"/>
        <w:right w:val="none" w:sz="0" w:space="0" w:color="auto"/>
      </w:divBdr>
    </w:div>
    <w:div w:id="655569317">
      <w:bodyDiv w:val="1"/>
      <w:marLeft w:val="0"/>
      <w:marRight w:val="0"/>
      <w:marTop w:val="0"/>
      <w:marBottom w:val="0"/>
      <w:divBdr>
        <w:top w:val="none" w:sz="0" w:space="0" w:color="auto"/>
        <w:left w:val="none" w:sz="0" w:space="0" w:color="auto"/>
        <w:bottom w:val="none" w:sz="0" w:space="0" w:color="auto"/>
        <w:right w:val="none" w:sz="0" w:space="0" w:color="auto"/>
      </w:divBdr>
    </w:div>
    <w:div w:id="843470301">
      <w:bodyDiv w:val="1"/>
      <w:marLeft w:val="0"/>
      <w:marRight w:val="0"/>
      <w:marTop w:val="0"/>
      <w:marBottom w:val="0"/>
      <w:divBdr>
        <w:top w:val="none" w:sz="0" w:space="0" w:color="auto"/>
        <w:left w:val="none" w:sz="0" w:space="0" w:color="auto"/>
        <w:bottom w:val="none" w:sz="0" w:space="0" w:color="auto"/>
        <w:right w:val="none" w:sz="0" w:space="0" w:color="auto"/>
      </w:divBdr>
    </w:div>
    <w:div w:id="1177887362">
      <w:bodyDiv w:val="1"/>
      <w:marLeft w:val="0"/>
      <w:marRight w:val="0"/>
      <w:marTop w:val="0"/>
      <w:marBottom w:val="0"/>
      <w:divBdr>
        <w:top w:val="none" w:sz="0" w:space="0" w:color="auto"/>
        <w:left w:val="none" w:sz="0" w:space="0" w:color="auto"/>
        <w:bottom w:val="none" w:sz="0" w:space="0" w:color="auto"/>
        <w:right w:val="none" w:sz="0" w:space="0" w:color="auto"/>
      </w:divBdr>
    </w:div>
    <w:div w:id="1277298207">
      <w:bodyDiv w:val="1"/>
      <w:marLeft w:val="0"/>
      <w:marRight w:val="0"/>
      <w:marTop w:val="0"/>
      <w:marBottom w:val="0"/>
      <w:divBdr>
        <w:top w:val="none" w:sz="0" w:space="0" w:color="auto"/>
        <w:left w:val="none" w:sz="0" w:space="0" w:color="auto"/>
        <w:bottom w:val="none" w:sz="0" w:space="0" w:color="auto"/>
        <w:right w:val="none" w:sz="0" w:space="0" w:color="auto"/>
      </w:divBdr>
    </w:div>
    <w:div w:id="1423186409">
      <w:bodyDiv w:val="1"/>
      <w:marLeft w:val="0"/>
      <w:marRight w:val="0"/>
      <w:marTop w:val="0"/>
      <w:marBottom w:val="0"/>
      <w:divBdr>
        <w:top w:val="none" w:sz="0" w:space="0" w:color="auto"/>
        <w:left w:val="none" w:sz="0" w:space="0" w:color="auto"/>
        <w:bottom w:val="none" w:sz="0" w:space="0" w:color="auto"/>
        <w:right w:val="none" w:sz="0" w:space="0" w:color="auto"/>
      </w:divBdr>
    </w:div>
    <w:div w:id="205700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synonym.com/criticisms-social-identity-theory-1006802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9</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dc:creator>
  <cp:keywords/>
  <dc:description/>
  <cp:lastModifiedBy>Billie-jo Jay</cp:lastModifiedBy>
  <cp:revision>16</cp:revision>
  <dcterms:created xsi:type="dcterms:W3CDTF">2019-04-03T20:11:00Z</dcterms:created>
  <dcterms:modified xsi:type="dcterms:W3CDTF">2019-04-05T20:20:00Z</dcterms:modified>
</cp:coreProperties>
</file>