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30D21" w14:textId="3C4E2503" w:rsidR="00E127AE" w:rsidRPr="00335CB8" w:rsidRDefault="0035425A" w:rsidP="00335CB8">
      <w:pPr>
        <w:jc w:val="center"/>
        <w:rPr>
          <w:rFonts w:ascii="Arial" w:hAnsi="Arial" w:cs="Arial"/>
          <w:sz w:val="36"/>
          <w:szCs w:val="36"/>
        </w:rPr>
      </w:pPr>
      <w:r>
        <w:rPr>
          <w:rFonts w:ascii="Arial" w:hAnsi="Arial" w:cs="Arial"/>
          <w:sz w:val="36"/>
          <w:szCs w:val="36"/>
        </w:rPr>
        <w:t>“</w:t>
      </w:r>
      <w:r w:rsidR="00335CB8" w:rsidRPr="00335CB8">
        <w:rPr>
          <w:rFonts w:ascii="Arial" w:hAnsi="Arial" w:cs="Arial"/>
          <w:sz w:val="36"/>
          <w:szCs w:val="36"/>
        </w:rPr>
        <w:t>In the realm of sensory experience, no objective judgments are possible.</w:t>
      </w:r>
      <w:r>
        <w:rPr>
          <w:rFonts w:ascii="Arial" w:hAnsi="Arial" w:cs="Arial"/>
          <w:sz w:val="36"/>
          <w:szCs w:val="36"/>
        </w:rPr>
        <w:t>”</w:t>
      </w:r>
      <w:r w:rsidR="00335CB8" w:rsidRPr="00335CB8">
        <w:rPr>
          <w:rFonts w:ascii="Arial" w:hAnsi="Arial" w:cs="Arial"/>
          <w:sz w:val="36"/>
          <w:szCs w:val="36"/>
        </w:rPr>
        <w:t xml:space="preserve"> Critically discuss with reference to Plato’s theory of forms</w:t>
      </w:r>
    </w:p>
    <w:p w14:paraId="1ACFAA9D" w14:textId="46EA919E" w:rsidR="00335CB8" w:rsidRDefault="00335CB8" w:rsidP="00335CB8">
      <w:pPr>
        <w:jc w:val="center"/>
        <w:rPr>
          <w:rFonts w:ascii="Arial" w:hAnsi="Arial" w:cs="Arial"/>
          <w:sz w:val="28"/>
          <w:szCs w:val="28"/>
        </w:rPr>
      </w:pPr>
      <w:r>
        <w:rPr>
          <w:rFonts w:ascii="Arial" w:hAnsi="Arial" w:cs="Arial"/>
          <w:sz w:val="28"/>
          <w:szCs w:val="28"/>
        </w:rPr>
        <w:t>By Bradley Sloanes</w:t>
      </w:r>
    </w:p>
    <w:p w14:paraId="2FE13E6E" w14:textId="281944EB" w:rsidR="00335CB8" w:rsidRPr="00335CB8" w:rsidRDefault="00335CB8" w:rsidP="00335CB8">
      <w:pPr>
        <w:rPr>
          <w:rFonts w:ascii="Arial" w:hAnsi="Arial" w:cs="Arial"/>
          <w:sz w:val="24"/>
          <w:szCs w:val="24"/>
        </w:rPr>
      </w:pPr>
    </w:p>
    <w:p w14:paraId="71B85039" w14:textId="528D7E16" w:rsidR="00335CB8" w:rsidRDefault="002B54C8" w:rsidP="00335CB8">
      <w:pPr>
        <w:rPr>
          <w:sz w:val="26"/>
          <w:szCs w:val="26"/>
        </w:rPr>
      </w:pPr>
      <w:r>
        <w:rPr>
          <w:sz w:val="26"/>
          <w:szCs w:val="26"/>
        </w:rPr>
        <w:t>As human beings we rely almost entirely upon our sensory experiences, using them as our basis for understanding the world around us. Though this begs the question, just how reliable are our senses? If they prove to be fallible then how can it be possible for us to make objective judgements, or claims, about the world around us? However, even if they are fallible is there any way in which we can still make objective judgements?</w:t>
      </w:r>
      <w:r w:rsidR="00FE238B">
        <w:rPr>
          <w:sz w:val="26"/>
          <w:szCs w:val="26"/>
        </w:rPr>
        <w:t xml:space="preserve"> Moreover, if things are constantly changing</w:t>
      </w:r>
      <w:r w:rsidR="00DF0FC5">
        <w:rPr>
          <w:sz w:val="26"/>
          <w:szCs w:val="26"/>
        </w:rPr>
        <w:t>,</w:t>
      </w:r>
      <w:r w:rsidR="00FE238B">
        <w:rPr>
          <w:sz w:val="26"/>
          <w:szCs w:val="26"/>
        </w:rPr>
        <w:t xml:space="preserve"> then how we can </w:t>
      </w:r>
      <w:r w:rsidR="00A042EF">
        <w:rPr>
          <w:sz w:val="26"/>
          <w:szCs w:val="26"/>
        </w:rPr>
        <w:t>know</w:t>
      </w:r>
      <w:r w:rsidR="00FE238B">
        <w:rPr>
          <w:sz w:val="26"/>
          <w:szCs w:val="26"/>
        </w:rPr>
        <w:t xml:space="preserve"> what they really are? Plato believed that he had the answers to some of these questions, with his theory of forms. </w:t>
      </w:r>
      <w:r w:rsidR="00A042EF">
        <w:rPr>
          <w:sz w:val="26"/>
          <w:szCs w:val="26"/>
        </w:rPr>
        <w:t xml:space="preserve">Every object, and concept has a form – which answers what something is. It is the truest and simplest version of something (say x), though it is not the only way that x appears or expresses itself in the world, it is the </w:t>
      </w:r>
      <w:proofErr w:type="spellStart"/>
      <w:r w:rsidR="00A042EF">
        <w:rPr>
          <w:sz w:val="26"/>
          <w:szCs w:val="26"/>
        </w:rPr>
        <w:t>the</w:t>
      </w:r>
      <w:proofErr w:type="spellEnd"/>
      <w:r w:rsidR="00A042EF">
        <w:rPr>
          <w:sz w:val="26"/>
          <w:szCs w:val="26"/>
        </w:rPr>
        <w:t xml:space="preserve"> way in which all x’s would express themselves. </w:t>
      </w:r>
      <w:r w:rsidR="00FD12D3">
        <w:rPr>
          <w:sz w:val="26"/>
          <w:szCs w:val="26"/>
        </w:rPr>
        <w:t xml:space="preserve">As Socrates states, </w:t>
      </w:r>
      <w:r w:rsidR="005D3EB0" w:rsidRPr="005D3EB0">
        <w:rPr>
          <w:sz w:val="26"/>
          <w:szCs w:val="26"/>
        </w:rPr>
        <w:t>"Nor, again, if a person were to show that all is one by partaking of one, and at the same time many by partaking of many, would that be very astonishing. But if he were to show me that the absolute one was many, or the absolute many one, I should be truly amazed."</w:t>
      </w:r>
      <w:r w:rsidR="005D3EB0">
        <w:rPr>
          <w:rStyle w:val="FootnoteReference"/>
          <w:sz w:val="26"/>
          <w:szCs w:val="26"/>
        </w:rPr>
        <w:footnoteReference w:id="1"/>
      </w:r>
      <w:r w:rsidR="00122EBD">
        <w:rPr>
          <w:sz w:val="26"/>
          <w:szCs w:val="26"/>
        </w:rPr>
        <w:t xml:space="preserve">If we were to take a circle, for example, we could draw it on a board. A circle is a round shape with all boundaries consisting of points equidistant from </w:t>
      </w:r>
      <w:proofErr w:type="spellStart"/>
      <w:r w:rsidR="00122EBD">
        <w:rPr>
          <w:sz w:val="26"/>
          <w:szCs w:val="26"/>
        </w:rPr>
        <w:t>it’s</w:t>
      </w:r>
      <w:proofErr w:type="spellEnd"/>
      <w:r w:rsidR="00122EBD">
        <w:rPr>
          <w:sz w:val="26"/>
          <w:szCs w:val="26"/>
        </w:rPr>
        <w:t xml:space="preserve"> centre. </w:t>
      </w:r>
      <w:proofErr w:type="gramStart"/>
      <w:r w:rsidR="00122EBD">
        <w:rPr>
          <w:sz w:val="26"/>
          <w:szCs w:val="26"/>
        </w:rPr>
        <w:t>In reality, you</w:t>
      </w:r>
      <w:proofErr w:type="gramEnd"/>
      <w:r w:rsidR="00122EBD">
        <w:rPr>
          <w:sz w:val="26"/>
          <w:szCs w:val="26"/>
        </w:rPr>
        <w:t xml:space="preserve"> will never be able to draw this perfect circle due to human error. However, through it’s form we can understand it and know what it is. In this way the form of an object or concept, is the most perfect and purest representation possible.</w:t>
      </w:r>
    </w:p>
    <w:p w14:paraId="192AF174" w14:textId="58B4759B" w:rsidR="00122EBD" w:rsidRDefault="002C3F80" w:rsidP="00335CB8">
      <w:pPr>
        <w:rPr>
          <w:sz w:val="26"/>
          <w:szCs w:val="26"/>
        </w:rPr>
      </w:pPr>
      <w:r>
        <w:rPr>
          <w:sz w:val="26"/>
          <w:szCs w:val="26"/>
        </w:rPr>
        <w:t xml:space="preserve">So, according to Plato the objects that we perceive in the world are not actually the true representation of themselves but merely mimic their Form. </w:t>
      </w:r>
      <w:r w:rsidR="00E146CA">
        <w:rPr>
          <w:sz w:val="26"/>
          <w:szCs w:val="26"/>
        </w:rPr>
        <w:t>Plato’s allegory of the cave, which explains how prisoners trapped in a cave their whole lives come to know only the shadows projected onto the wall and believe that to be truth, shows us how fundamentally flawed our limited perspectives are. Are we just like those prisoners, trapped in a cave of our own imagining, perceiving only shadows and assuming them to be truth?</w:t>
      </w:r>
      <w:r w:rsidR="001F67BF">
        <w:rPr>
          <w:rStyle w:val="FootnoteReference"/>
          <w:sz w:val="26"/>
          <w:szCs w:val="26"/>
        </w:rPr>
        <w:footnoteReference w:id="2"/>
      </w:r>
      <w:r w:rsidR="00E146CA">
        <w:rPr>
          <w:sz w:val="26"/>
          <w:szCs w:val="26"/>
        </w:rPr>
        <w:t xml:space="preserve"> </w:t>
      </w:r>
      <w:r w:rsidR="00685C36">
        <w:rPr>
          <w:sz w:val="26"/>
          <w:szCs w:val="26"/>
        </w:rPr>
        <w:t xml:space="preserve">Only through Plato’s theory of form’s, then, can we know truth and make objective judgements. </w:t>
      </w:r>
      <w:r w:rsidR="008D41B0">
        <w:rPr>
          <w:sz w:val="26"/>
          <w:szCs w:val="26"/>
        </w:rPr>
        <w:t xml:space="preserve">                                                          However, are Plato’s “forms” </w:t>
      </w:r>
      <w:proofErr w:type="gramStart"/>
      <w:r w:rsidR="008D41B0">
        <w:rPr>
          <w:sz w:val="26"/>
          <w:szCs w:val="26"/>
        </w:rPr>
        <w:t>really just</w:t>
      </w:r>
      <w:proofErr w:type="gramEnd"/>
      <w:r w:rsidR="008D41B0">
        <w:rPr>
          <w:sz w:val="26"/>
          <w:szCs w:val="26"/>
        </w:rPr>
        <w:t xml:space="preserve"> particulars in themselves? How can we know what the true form of something is, if all we have are imperfect representations or </w:t>
      </w:r>
      <w:r w:rsidR="008D41B0">
        <w:rPr>
          <w:sz w:val="26"/>
          <w:szCs w:val="26"/>
        </w:rPr>
        <w:lastRenderedPageBreak/>
        <w:t>particulars?</w:t>
      </w:r>
      <w:r w:rsidR="008D41B0">
        <w:rPr>
          <w:rStyle w:val="FootnoteReference"/>
          <w:sz w:val="26"/>
          <w:szCs w:val="26"/>
        </w:rPr>
        <w:footnoteReference w:id="3"/>
      </w:r>
      <w:r w:rsidR="008D41B0">
        <w:rPr>
          <w:sz w:val="26"/>
          <w:szCs w:val="26"/>
        </w:rPr>
        <w:t xml:space="preserve"> In regards, to whether we can hold objective judgements in the realm of sensory experience, Plato’s theory of forms offers us no guidance on how we can decipher a particulars “true” form. Therefore, we can make no objective judgements in this realm of shadows and illusions. But how can we live in a world in which we are unable to make any judgements about? We cannot function as a society without some form of objectivity, and so we cannot accept Plato’s theory of forms.</w:t>
      </w:r>
    </w:p>
    <w:p w14:paraId="1E10B345" w14:textId="43AA3B47" w:rsidR="00C256F9" w:rsidRDefault="00C256F9" w:rsidP="00335CB8">
      <w:pPr>
        <w:rPr>
          <w:sz w:val="26"/>
          <w:szCs w:val="26"/>
        </w:rPr>
      </w:pPr>
      <w:r>
        <w:rPr>
          <w:sz w:val="26"/>
          <w:szCs w:val="26"/>
        </w:rPr>
        <w:t xml:space="preserve">Sensory experience is the only way in which we can ever hope to know the world we inhabit. In a world that is constantly changing, in flux, how can we make objective judgements about things which, by the time we make the judgement, have changed in some way? </w:t>
      </w:r>
      <w:r w:rsidR="00F10562">
        <w:rPr>
          <w:sz w:val="26"/>
          <w:szCs w:val="26"/>
        </w:rPr>
        <w:t xml:space="preserve">As Heraclitus states, </w:t>
      </w:r>
      <w:r w:rsidR="00F556FF">
        <w:rPr>
          <w:sz w:val="26"/>
          <w:szCs w:val="26"/>
        </w:rPr>
        <w:t>“</w:t>
      </w:r>
      <w:r w:rsidR="00774FD3">
        <w:rPr>
          <w:sz w:val="26"/>
          <w:szCs w:val="26"/>
        </w:rPr>
        <w:t>w</w:t>
      </w:r>
      <w:r w:rsidR="00F556FF">
        <w:rPr>
          <w:sz w:val="26"/>
          <w:szCs w:val="26"/>
        </w:rPr>
        <w:t>e step and do not step into the same rivers”</w:t>
      </w:r>
      <w:r w:rsidR="00774FD3">
        <w:rPr>
          <w:sz w:val="26"/>
          <w:szCs w:val="26"/>
        </w:rPr>
        <w:t>, meaning that the river is constantly changing, the water always flowing, so by the time you step into said river it’s no longer the same.</w:t>
      </w:r>
      <w:r w:rsidR="00774FD3">
        <w:rPr>
          <w:rStyle w:val="FootnoteReference"/>
          <w:sz w:val="26"/>
          <w:szCs w:val="26"/>
        </w:rPr>
        <w:footnoteReference w:id="4"/>
      </w:r>
      <w:r w:rsidR="00774FD3">
        <w:rPr>
          <w:sz w:val="26"/>
          <w:szCs w:val="26"/>
        </w:rPr>
        <w:t xml:space="preserve"> However, does this mean that it is not the same river? We still recognise the Thames as the Thames, the Tawe as the Tawe, even though they too are constantly flowing and changing. Heraclitus’ statement combines the ideas of change and sameness. Yes, things are constantly changing, but that doesn’t mean you can’t recognise them for what they are. </w:t>
      </w:r>
      <w:r w:rsidR="00DE38F8">
        <w:rPr>
          <w:sz w:val="26"/>
          <w:szCs w:val="26"/>
        </w:rPr>
        <w:t xml:space="preserve">I am constantly changing and developing as a person, but there is still a fundamental core to my being which is recognisable as “Bradley”. </w:t>
      </w:r>
      <w:r w:rsidR="00774FD3">
        <w:rPr>
          <w:sz w:val="26"/>
          <w:szCs w:val="26"/>
        </w:rPr>
        <w:t>So, much like with the river analogy, we can still make objective judgements about the world</w:t>
      </w:r>
      <w:r w:rsidR="00695B53">
        <w:rPr>
          <w:sz w:val="26"/>
          <w:szCs w:val="26"/>
        </w:rPr>
        <w:t xml:space="preserve"> and ourselves. </w:t>
      </w:r>
      <w:r w:rsidR="00273F57">
        <w:rPr>
          <w:sz w:val="26"/>
          <w:szCs w:val="26"/>
        </w:rPr>
        <w:t xml:space="preserve">However, it is not always true to say that despite changing, “I am always Bradley”. If I were to develop dementia, for example, and become beyond recognition to my friends and family, would I still be Bradley? Most people would generally agree that I would not be the same. Logically the question of, “at what point do you cease to be the same?” arises. </w:t>
      </w:r>
      <w:r w:rsidR="00435B7A">
        <w:rPr>
          <w:sz w:val="26"/>
          <w:szCs w:val="26"/>
        </w:rPr>
        <w:t xml:space="preserve">This </w:t>
      </w:r>
      <w:proofErr w:type="gramStart"/>
      <w:r w:rsidR="00435B7A">
        <w:rPr>
          <w:sz w:val="26"/>
          <w:szCs w:val="26"/>
        </w:rPr>
        <w:t>brings to mind</w:t>
      </w:r>
      <w:proofErr w:type="gramEnd"/>
      <w:r w:rsidR="00435B7A">
        <w:rPr>
          <w:sz w:val="26"/>
          <w:szCs w:val="26"/>
        </w:rPr>
        <w:t xml:space="preserve"> an interesting thought experiment known as “Theseus’ Ship”. The famed hero Theseus had his ship kept as a museum piece, but over time the boards started to rot away. Eventually after hundreds of years of restoration, all the original planks of the ship have been replaced but in the exact same order as before. Is it the same ship?</w:t>
      </w:r>
      <w:r w:rsidR="005A30C8">
        <w:rPr>
          <w:rStyle w:val="FootnoteReference"/>
          <w:sz w:val="26"/>
          <w:szCs w:val="26"/>
        </w:rPr>
        <w:footnoteReference w:id="5"/>
      </w:r>
      <w:r w:rsidR="00606CCB">
        <w:rPr>
          <w:sz w:val="26"/>
          <w:szCs w:val="26"/>
        </w:rPr>
        <w:t>How many planks</w:t>
      </w:r>
      <w:r w:rsidR="00BE6435">
        <w:rPr>
          <w:sz w:val="26"/>
          <w:szCs w:val="26"/>
        </w:rPr>
        <w:t xml:space="preserve"> </w:t>
      </w:r>
      <w:proofErr w:type="gramStart"/>
      <w:r w:rsidR="00BE6435">
        <w:rPr>
          <w:sz w:val="26"/>
          <w:szCs w:val="26"/>
        </w:rPr>
        <w:t>have to</w:t>
      </w:r>
      <w:proofErr w:type="gramEnd"/>
      <w:r w:rsidR="00BE6435">
        <w:rPr>
          <w:sz w:val="26"/>
          <w:szCs w:val="26"/>
        </w:rPr>
        <w:t xml:space="preserve"> change</w:t>
      </w:r>
      <w:r w:rsidR="00606CCB">
        <w:rPr>
          <w:sz w:val="26"/>
          <w:szCs w:val="26"/>
        </w:rPr>
        <w:t xml:space="preserve"> before it’s no longer the same ship? </w:t>
      </w:r>
      <w:r w:rsidR="0013013C">
        <w:rPr>
          <w:sz w:val="26"/>
          <w:szCs w:val="26"/>
        </w:rPr>
        <w:t xml:space="preserve">The key issue here is not on whether all the pieces of the ship change, but how long it takes for them to change. For example, imagine a tank commander and his tank. Over a period of 20 years the commander has fought many battles in his tank, but over those </w:t>
      </w:r>
      <w:proofErr w:type="gramStart"/>
      <w:r w:rsidR="0013013C">
        <w:rPr>
          <w:sz w:val="26"/>
          <w:szCs w:val="26"/>
        </w:rPr>
        <w:t>years</w:t>
      </w:r>
      <w:proofErr w:type="gramEnd"/>
      <w:r w:rsidR="0013013C">
        <w:rPr>
          <w:sz w:val="26"/>
          <w:szCs w:val="26"/>
        </w:rPr>
        <w:t xml:space="preserve"> parts have been replaced a few at a time until eventually most of the parts are not from the original tank. Understandably, he feels somewhat of a bond with the machine having spent much of his life dependent on </w:t>
      </w:r>
      <w:proofErr w:type="gramStart"/>
      <w:r w:rsidR="0013013C">
        <w:rPr>
          <w:sz w:val="26"/>
          <w:szCs w:val="26"/>
        </w:rPr>
        <w:t>it’s</w:t>
      </w:r>
      <w:proofErr w:type="gramEnd"/>
      <w:r w:rsidR="0013013C">
        <w:rPr>
          <w:sz w:val="26"/>
          <w:szCs w:val="26"/>
        </w:rPr>
        <w:t xml:space="preserve"> ability to withstand warfare. To him, the tank is the same in spite of </w:t>
      </w:r>
      <w:proofErr w:type="gramStart"/>
      <w:r w:rsidR="0013013C">
        <w:rPr>
          <w:sz w:val="26"/>
          <w:szCs w:val="26"/>
        </w:rPr>
        <w:t>it’s</w:t>
      </w:r>
      <w:proofErr w:type="gramEnd"/>
      <w:r w:rsidR="0013013C">
        <w:rPr>
          <w:sz w:val="26"/>
          <w:szCs w:val="26"/>
        </w:rPr>
        <w:t xml:space="preserve"> new parts. The reason for this being the bond he feels, and the fact that they have both </w:t>
      </w:r>
      <w:r w:rsidR="0013013C">
        <w:rPr>
          <w:sz w:val="26"/>
          <w:szCs w:val="26"/>
        </w:rPr>
        <w:lastRenderedPageBreak/>
        <w:t xml:space="preserve">changed over time. The fact that this happened over a period of two decades makes the change much less drastic. If the tank had been completely destroyed in battle, the commander would have mourned </w:t>
      </w:r>
      <w:proofErr w:type="gramStart"/>
      <w:r w:rsidR="0013013C">
        <w:rPr>
          <w:sz w:val="26"/>
          <w:szCs w:val="26"/>
        </w:rPr>
        <w:t>it’s</w:t>
      </w:r>
      <w:proofErr w:type="gramEnd"/>
      <w:r w:rsidR="0013013C">
        <w:rPr>
          <w:sz w:val="26"/>
          <w:szCs w:val="26"/>
        </w:rPr>
        <w:t xml:space="preserve"> loss, but he never felt at any point that the tank changed. </w:t>
      </w:r>
      <w:proofErr w:type="gramStart"/>
      <w:r w:rsidR="0013013C">
        <w:rPr>
          <w:sz w:val="26"/>
          <w:szCs w:val="26"/>
        </w:rPr>
        <w:t>In regards to</w:t>
      </w:r>
      <w:proofErr w:type="gramEnd"/>
      <w:r w:rsidR="0013013C">
        <w:rPr>
          <w:sz w:val="26"/>
          <w:szCs w:val="26"/>
        </w:rPr>
        <w:t xml:space="preserve"> the individual, you only “become a different person” if you change rapidly. However, if the change is gradual </w:t>
      </w:r>
      <w:r w:rsidR="007B5FC8">
        <w:rPr>
          <w:sz w:val="26"/>
          <w:szCs w:val="26"/>
        </w:rPr>
        <w:t>there would be no-one to perceive you as being “different” because we are all changing together.</w:t>
      </w:r>
      <w:r w:rsidR="00335787">
        <w:rPr>
          <w:sz w:val="26"/>
          <w:szCs w:val="26"/>
        </w:rPr>
        <w:t xml:space="preserve"> If we can recognise individuals as being the “same” throughout elongated periods of change, then there is no reason we cannot also apply this same logic to the world around us. Therefore, neither “Theseus’ ship” or Heraclitus’ “flux” prove that we can’t make objective judgements. </w:t>
      </w:r>
      <w:r w:rsidR="007B5FC8">
        <w:rPr>
          <w:sz w:val="26"/>
          <w:szCs w:val="26"/>
        </w:rPr>
        <w:t xml:space="preserve"> </w:t>
      </w:r>
    </w:p>
    <w:p w14:paraId="74B0FDDD" w14:textId="650FCD46" w:rsidR="00F33FB5" w:rsidRDefault="00F33FB5" w:rsidP="00335CB8">
      <w:pPr>
        <w:rPr>
          <w:sz w:val="26"/>
          <w:szCs w:val="26"/>
        </w:rPr>
      </w:pPr>
      <w:r>
        <w:rPr>
          <w:sz w:val="26"/>
          <w:szCs w:val="26"/>
        </w:rPr>
        <w:t xml:space="preserve">Philosophers have been disagreeing for thousands of years, and arguably, haven’t really been able to figure out many answers. </w:t>
      </w:r>
      <w:r w:rsidR="0010098B">
        <w:rPr>
          <w:sz w:val="26"/>
          <w:szCs w:val="26"/>
        </w:rPr>
        <w:t xml:space="preserve">This doesn’t mean that we cannot make objective judgments about the world, however. </w:t>
      </w:r>
      <w:r w:rsidR="00C804DE">
        <w:rPr>
          <w:sz w:val="26"/>
          <w:szCs w:val="26"/>
        </w:rPr>
        <w:t xml:space="preserve">If we state that “nothing can be proven to be true”, either it is </w:t>
      </w:r>
      <w:proofErr w:type="gramStart"/>
      <w:r w:rsidR="00C804DE">
        <w:rPr>
          <w:sz w:val="26"/>
          <w:szCs w:val="26"/>
        </w:rPr>
        <w:t>true</w:t>
      </w:r>
      <w:proofErr w:type="gramEnd"/>
      <w:r w:rsidR="00C804DE">
        <w:rPr>
          <w:sz w:val="26"/>
          <w:szCs w:val="26"/>
        </w:rPr>
        <w:t xml:space="preserve"> or it is not true. </w:t>
      </w:r>
      <w:proofErr w:type="gramStart"/>
      <w:r w:rsidR="00C804DE">
        <w:rPr>
          <w:sz w:val="26"/>
          <w:szCs w:val="26"/>
        </w:rPr>
        <w:t>That being said, if</w:t>
      </w:r>
      <w:proofErr w:type="gramEnd"/>
      <w:r w:rsidR="00C804DE">
        <w:rPr>
          <w:sz w:val="26"/>
          <w:szCs w:val="26"/>
        </w:rPr>
        <w:t xml:space="preserve"> the proposition is true </w:t>
      </w:r>
      <w:r w:rsidR="004E5A2B">
        <w:rPr>
          <w:sz w:val="26"/>
          <w:szCs w:val="26"/>
        </w:rPr>
        <w:t xml:space="preserve">then it can’t be proven because if it is true then we can prove things to be true. </w:t>
      </w:r>
      <w:proofErr w:type="gramStart"/>
      <w:r w:rsidR="004E5A2B">
        <w:rPr>
          <w:sz w:val="26"/>
          <w:szCs w:val="26"/>
        </w:rPr>
        <w:t>So</w:t>
      </w:r>
      <w:proofErr w:type="gramEnd"/>
      <w:r w:rsidR="004E5A2B">
        <w:rPr>
          <w:sz w:val="26"/>
          <w:szCs w:val="26"/>
        </w:rPr>
        <w:t xml:space="preserve"> either way, whether the proposition is true or not, it cannot be proven. Through this we have discovered that the statement “nothing can be proven true”, is not true – which is some form of knowledge. </w:t>
      </w:r>
      <w:r w:rsidR="00257230">
        <w:rPr>
          <w:sz w:val="26"/>
          <w:szCs w:val="26"/>
        </w:rPr>
        <w:t xml:space="preserve">While this is true, you could argue that it’s irrelevant as it only proves a trivial proposition through some form of mental gymnastics. Although, that form of “mental gymnastics” is known as logic which is a core part of philosophy. </w:t>
      </w:r>
    </w:p>
    <w:p w14:paraId="2A42D4C4" w14:textId="48013D72" w:rsidR="00570938" w:rsidRDefault="00570938" w:rsidP="00335CB8">
      <w:pPr>
        <w:rPr>
          <w:sz w:val="26"/>
          <w:szCs w:val="26"/>
        </w:rPr>
      </w:pPr>
      <w:r>
        <w:rPr>
          <w:sz w:val="26"/>
          <w:szCs w:val="26"/>
        </w:rPr>
        <w:t xml:space="preserve">Rene Descartes proposes the interesting </w:t>
      </w:r>
      <w:r w:rsidR="00221145">
        <w:rPr>
          <w:sz w:val="26"/>
          <w:szCs w:val="26"/>
        </w:rPr>
        <w:t>theory of the evil demon in his “</w:t>
      </w:r>
      <w:r w:rsidR="00221145" w:rsidRPr="00221145">
        <w:rPr>
          <w:i/>
          <w:iCs/>
          <w:sz w:val="26"/>
          <w:szCs w:val="26"/>
        </w:rPr>
        <w:t>Meditations</w:t>
      </w:r>
      <w:r w:rsidR="00221145">
        <w:rPr>
          <w:sz w:val="26"/>
          <w:szCs w:val="26"/>
        </w:rPr>
        <w:t>”, imagining that everything he perceives to be true about the external world is nothing more than an illusion given to him by an evil demon. While this does offer some reason to be sceptical of what we think we know, even Descartes himself did not believe that this was the case.</w:t>
      </w:r>
      <w:r w:rsidR="00B70B96">
        <w:rPr>
          <w:sz w:val="26"/>
          <w:szCs w:val="26"/>
        </w:rPr>
        <w:t xml:space="preserve"> </w:t>
      </w:r>
      <w:r w:rsidR="00AA6993">
        <w:rPr>
          <w:sz w:val="26"/>
          <w:szCs w:val="26"/>
        </w:rPr>
        <w:t>He cause to doubt everything, except the fact that he was doubting things. This led to his conclusion “I think Therefore I am” (cogito ergo sum), he could not doubt his own existence.</w:t>
      </w:r>
      <w:r w:rsidR="00B70B96">
        <w:rPr>
          <w:rStyle w:val="FootnoteReference"/>
          <w:sz w:val="26"/>
          <w:szCs w:val="26"/>
        </w:rPr>
        <w:footnoteReference w:id="6"/>
      </w:r>
      <w:r w:rsidR="00AA6993">
        <w:rPr>
          <w:sz w:val="26"/>
          <w:szCs w:val="26"/>
        </w:rPr>
        <w:t xml:space="preserve"> This supports the idea earlier in the essay</w:t>
      </w:r>
      <w:r w:rsidR="00BF5910">
        <w:rPr>
          <w:sz w:val="26"/>
          <w:szCs w:val="26"/>
        </w:rPr>
        <w:t>,</w:t>
      </w:r>
      <w:r w:rsidR="00AA6993">
        <w:rPr>
          <w:sz w:val="26"/>
          <w:szCs w:val="26"/>
        </w:rPr>
        <w:t xml:space="preserve"> that through logic we can establish objective judgements and truth about the world around us. </w:t>
      </w:r>
    </w:p>
    <w:p w14:paraId="222B57D7" w14:textId="77777777" w:rsidR="00AD7E62" w:rsidRDefault="00353FE1" w:rsidP="00140AC2">
      <w:pPr>
        <w:rPr>
          <w:sz w:val="26"/>
          <w:szCs w:val="26"/>
        </w:rPr>
      </w:pPr>
      <w:r>
        <w:rPr>
          <w:sz w:val="26"/>
          <w:szCs w:val="26"/>
        </w:rPr>
        <w:t xml:space="preserve">In conclusion, we have all </w:t>
      </w:r>
      <w:r w:rsidR="00140AC2" w:rsidRPr="00140AC2">
        <w:rPr>
          <w:sz w:val="26"/>
          <w:szCs w:val="26"/>
        </w:rPr>
        <w:t>of these</w:t>
      </w:r>
      <w:r w:rsidR="00140AC2">
        <w:rPr>
          <w:sz w:val="26"/>
          <w:szCs w:val="26"/>
        </w:rPr>
        <w:t xml:space="preserve"> different</w:t>
      </w:r>
      <w:r w:rsidR="00140AC2" w:rsidRPr="00140AC2">
        <w:rPr>
          <w:sz w:val="26"/>
          <w:szCs w:val="26"/>
        </w:rPr>
        <w:t xml:space="preserve"> views of the world</w:t>
      </w:r>
      <w:r w:rsidR="00140AC2">
        <w:rPr>
          <w:sz w:val="26"/>
          <w:szCs w:val="26"/>
        </w:rPr>
        <w:t xml:space="preserve">, </w:t>
      </w:r>
      <w:r>
        <w:rPr>
          <w:sz w:val="26"/>
          <w:szCs w:val="26"/>
        </w:rPr>
        <w:t>many that we collectively believe to be true</w:t>
      </w:r>
      <w:r w:rsidR="00140AC2" w:rsidRPr="00140AC2">
        <w:rPr>
          <w:sz w:val="26"/>
          <w:szCs w:val="26"/>
        </w:rPr>
        <w:t xml:space="preserve">, and those that </w:t>
      </w:r>
      <w:r w:rsidR="00140AC2">
        <w:rPr>
          <w:sz w:val="26"/>
          <w:szCs w:val="26"/>
        </w:rPr>
        <w:t>scientists</w:t>
      </w:r>
      <w:r w:rsidR="00140AC2" w:rsidRPr="00140AC2">
        <w:rPr>
          <w:sz w:val="26"/>
          <w:szCs w:val="26"/>
        </w:rPr>
        <w:t xml:space="preserve"> discover in the </w:t>
      </w:r>
      <w:proofErr w:type="gramStart"/>
      <w:r w:rsidR="00140AC2" w:rsidRPr="00140AC2">
        <w:rPr>
          <w:sz w:val="26"/>
          <w:szCs w:val="26"/>
        </w:rPr>
        <w:t>universe</w:t>
      </w:r>
      <w:proofErr w:type="gramEnd"/>
      <w:r>
        <w:rPr>
          <w:sz w:val="26"/>
          <w:szCs w:val="26"/>
        </w:rPr>
        <w:t xml:space="preserve"> but they</w:t>
      </w:r>
      <w:r w:rsidR="00140AC2" w:rsidRPr="00140AC2">
        <w:rPr>
          <w:sz w:val="26"/>
          <w:szCs w:val="26"/>
        </w:rPr>
        <w:t xml:space="preserve"> are </w:t>
      </w:r>
      <w:r>
        <w:rPr>
          <w:sz w:val="26"/>
          <w:szCs w:val="26"/>
        </w:rPr>
        <w:t xml:space="preserve">all </w:t>
      </w:r>
      <w:r w:rsidR="00140AC2">
        <w:rPr>
          <w:sz w:val="26"/>
          <w:szCs w:val="26"/>
        </w:rPr>
        <w:t>simply shades</w:t>
      </w:r>
      <w:r w:rsidR="00140AC2" w:rsidRPr="00140AC2">
        <w:rPr>
          <w:sz w:val="26"/>
          <w:szCs w:val="26"/>
        </w:rPr>
        <w:t xml:space="preserve"> of reality. What</w:t>
      </w:r>
      <w:r w:rsidR="00140AC2">
        <w:rPr>
          <w:sz w:val="26"/>
          <w:szCs w:val="26"/>
        </w:rPr>
        <w:t xml:space="preserve"> we as</w:t>
      </w:r>
      <w:r w:rsidR="00140AC2" w:rsidRPr="00140AC2">
        <w:rPr>
          <w:sz w:val="26"/>
          <w:szCs w:val="26"/>
        </w:rPr>
        <w:t xml:space="preserve"> human</w:t>
      </w:r>
      <w:r w:rsidR="00140AC2">
        <w:rPr>
          <w:sz w:val="26"/>
          <w:szCs w:val="26"/>
        </w:rPr>
        <w:t xml:space="preserve"> beings believe</w:t>
      </w:r>
      <w:r w:rsidR="00140AC2" w:rsidRPr="00140AC2">
        <w:rPr>
          <w:sz w:val="26"/>
          <w:szCs w:val="26"/>
        </w:rPr>
        <w:t xml:space="preserve"> </w:t>
      </w:r>
      <w:r w:rsidR="00140AC2">
        <w:rPr>
          <w:sz w:val="26"/>
          <w:szCs w:val="26"/>
        </w:rPr>
        <w:t>to be</w:t>
      </w:r>
      <w:r w:rsidR="00140AC2" w:rsidRPr="00140AC2">
        <w:rPr>
          <w:sz w:val="26"/>
          <w:szCs w:val="26"/>
        </w:rPr>
        <w:t xml:space="preserve"> reality</w:t>
      </w:r>
      <w:r w:rsidR="00140AC2">
        <w:rPr>
          <w:sz w:val="26"/>
          <w:szCs w:val="26"/>
        </w:rPr>
        <w:t xml:space="preserve"> could</w:t>
      </w:r>
      <w:r w:rsidR="00140AC2" w:rsidRPr="00140AC2">
        <w:rPr>
          <w:sz w:val="26"/>
          <w:szCs w:val="26"/>
        </w:rPr>
        <w:t xml:space="preserve"> be no</w:t>
      </w:r>
      <w:r w:rsidR="00140AC2">
        <w:rPr>
          <w:sz w:val="26"/>
          <w:szCs w:val="26"/>
        </w:rPr>
        <w:t>thing</w:t>
      </w:r>
      <w:r w:rsidR="00140AC2" w:rsidRPr="00140AC2">
        <w:rPr>
          <w:sz w:val="26"/>
          <w:szCs w:val="26"/>
        </w:rPr>
        <w:t xml:space="preserve"> more than a</w:t>
      </w:r>
      <w:r w:rsidR="00140AC2">
        <w:rPr>
          <w:sz w:val="26"/>
          <w:szCs w:val="26"/>
        </w:rPr>
        <w:t xml:space="preserve"> mirage</w:t>
      </w:r>
      <w:r w:rsidR="00140AC2" w:rsidRPr="00140AC2">
        <w:rPr>
          <w:sz w:val="26"/>
          <w:szCs w:val="26"/>
        </w:rPr>
        <w:t xml:space="preserve">. </w:t>
      </w:r>
      <w:r>
        <w:rPr>
          <w:sz w:val="26"/>
          <w:szCs w:val="26"/>
        </w:rPr>
        <w:t xml:space="preserve">However, as established in this essay, and in </w:t>
      </w:r>
      <w:r>
        <w:rPr>
          <w:sz w:val="26"/>
          <w:szCs w:val="26"/>
        </w:rPr>
        <w:lastRenderedPageBreak/>
        <w:t xml:space="preserve">the interests of being able to function as a society, we can make some basic objective judgements about this realm of sensory experience. </w:t>
      </w:r>
    </w:p>
    <w:p w14:paraId="623CAC6D" w14:textId="77777777" w:rsidR="00AD7E62" w:rsidRDefault="00AD7E62" w:rsidP="00140AC2">
      <w:pPr>
        <w:rPr>
          <w:sz w:val="26"/>
          <w:szCs w:val="26"/>
        </w:rPr>
      </w:pPr>
    </w:p>
    <w:p w14:paraId="657AB660" w14:textId="2649F91C" w:rsidR="00695B53" w:rsidRDefault="00AD7E62" w:rsidP="00140AC2">
      <w:pPr>
        <w:rPr>
          <w:sz w:val="26"/>
          <w:szCs w:val="26"/>
          <w:u w:val="single"/>
        </w:rPr>
      </w:pPr>
      <w:r w:rsidRPr="00AD7E62">
        <w:rPr>
          <w:sz w:val="36"/>
          <w:szCs w:val="36"/>
          <w:u w:val="single"/>
        </w:rPr>
        <w:t>Bibliography</w:t>
      </w:r>
      <w:r w:rsidR="00353FE1" w:rsidRPr="00AD7E62">
        <w:rPr>
          <w:sz w:val="26"/>
          <w:szCs w:val="26"/>
          <w:u w:val="single"/>
        </w:rPr>
        <w:t xml:space="preserve"> </w:t>
      </w:r>
    </w:p>
    <w:p w14:paraId="69064400" w14:textId="7BC07D0A" w:rsidR="00AD7E62" w:rsidRDefault="00AD7E62" w:rsidP="00AD7E62">
      <w:pPr>
        <w:spacing w:after="0" w:line="240" w:lineRule="auto"/>
        <w:rPr>
          <w:rFonts w:ascii="Arial" w:eastAsia="Times New Roman" w:hAnsi="Arial" w:cs="Arial"/>
          <w:color w:val="000000"/>
          <w:sz w:val="19"/>
          <w:szCs w:val="19"/>
          <w:lang w:eastAsia="en-GB"/>
        </w:rPr>
      </w:pPr>
      <w:r w:rsidRPr="00AD7E62">
        <w:rPr>
          <w:rFonts w:ascii="Arial" w:eastAsia="Times New Roman" w:hAnsi="Arial" w:cs="Arial"/>
          <w:color w:val="000000"/>
          <w:sz w:val="19"/>
          <w:szCs w:val="19"/>
          <w:lang w:eastAsia="en-GB"/>
        </w:rPr>
        <w:t xml:space="preserve">Alan E. Musgrave, </w:t>
      </w:r>
      <w:r w:rsidRPr="00AD7E62">
        <w:rPr>
          <w:rFonts w:ascii="Arial" w:eastAsia="Times New Roman" w:hAnsi="Arial" w:cs="Arial"/>
          <w:i/>
          <w:iCs/>
          <w:color w:val="000000"/>
          <w:sz w:val="19"/>
          <w:szCs w:val="19"/>
          <w:lang w:eastAsia="en-GB"/>
        </w:rPr>
        <w:t>Common Sense, Science and Scepticism: A Historical Introduction to the Theory of Knowledge</w:t>
      </w:r>
      <w:r w:rsidRPr="00AD7E62">
        <w:rPr>
          <w:rFonts w:ascii="Arial" w:eastAsia="Times New Roman" w:hAnsi="Arial" w:cs="Arial"/>
          <w:color w:val="000000"/>
          <w:sz w:val="19"/>
          <w:szCs w:val="19"/>
          <w:lang w:eastAsia="en-GB"/>
        </w:rPr>
        <w:t xml:space="preserve"> (Cambridge: Cambridge University Press, 1993).</w:t>
      </w:r>
    </w:p>
    <w:p w14:paraId="2289E7B7" w14:textId="1F8B0D5B" w:rsidR="00AD7E62" w:rsidRDefault="00AD7E62" w:rsidP="00AD7E62">
      <w:pPr>
        <w:spacing w:after="0" w:line="240" w:lineRule="auto"/>
        <w:rPr>
          <w:rFonts w:ascii="Arial" w:eastAsia="Times New Roman" w:hAnsi="Arial" w:cs="Arial"/>
          <w:color w:val="000000"/>
          <w:sz w:val="19"/>
          <w:szCs w:val="19"/>
          <w:lang w:eastAsia="en-GB"/>
        </w:rPr>
      </w:pPr>
    </w:p>
    <w:p w14:paraId="7EE65B65" w14:textId="4FC50DAD" w:rsidR="00AD7E62" w:rsidRDefault="00AD7E62" w:rsidP="00AD7E62">
      <w:pPr>
        <w:spacing w:after="0" w:line="240" w:lineRule="auto"/>
        <w:rPr>
          <w:rFonts w:ascii="Arial" w:eastAsia="Times New Roman" w:hAnsi="Arial" w:cs="Arial"/>
          <w:color w:val="000000"/>
          <w:sz w:val="19"/>
          <w:szCs w:val="19"/>
          <w:lang w:eastAsia="en-GB"/>
        </w:rPr>
      </w:pPr>
      <w:r>
        <w:rPr>
          <w:rFonts w:ascii="Arial" w:hAnsi="Arial" w:cs="Arial"/>
          <w:color w:val="000000"/>
          <w:sz w:val="19"/>
          <w:szCs w:val="19"/>
          <w:shd w:val="clear" w:color="auto" w:fill="FFFFFF"/>
        </w:rPr>
        <w:t xml:space="preserve">Bertrand Russell, </w:t>
      </w:r>
      <w:r>
        <w:rPr>
          <w:rFonts w:ascii="Arial" w:hAnsi="Arial" w:cs="Arial"/>
          <w:i/>
          <w:iCs/>
          <w:color w:val="000000"/>
          <w:sz w:val="19"/>
          <w:szCs w:val="19"/>
        </w:rPr>
        <w:t xml:space="preserve">The History </w:t>
      </w:r>
      <w:proofErr w:type="gramStart"/>
      <w:r>
        <w:rPr>
          <w:rFonts w:ascii="Arial" w:hAnsi="Arial" w:cs="Arial"/>
          <w:i/>
          <w:iCs/>
          <w:color w:val="000000"/>
          <w:sz w:val="19"/>
          <w:szCs w:val="19"/>
        </w:rPr>
        <w:t>Of</w:t>
      </w:r>
      <w:proofErr w:type="gramEnd"/>
      <w:r>
        <w:rPr>
          <w:rFonts w:ascii="Arial" w:hAnsi="Arial" w:cs="Arial"/>
          <w:i/>
          <w:iCs/>
          <w:color w:val="000000"/>
          <w:sz w:val="19"/>
          <w:szCs w:val="19"/>
        </w:rPr>
        <w:t xml:space="preserve"> Western Philosophy</w:t>
      </w:r>
      <w:r>
        <w:rPr>
          <w:rFonts w:ascii="Arial" w:hAnsi="Arial" w:cs="Arial"/>
          <w:color w:val="000000"/>
          <w:sz w:val="19"/>
          <w:szCs w:val="19"/>
          <w:shd w:val="clear" w:color="auto" w:fill="FFFFFF"/>
        </w:rPr>
        <w:t xml:space="preserve"> (London: Routledge, 2004),</w:t>
      </w:r>
    </w:p>
    <w:p w14:paraId="55AA8C46" w14:textId="77777777" w:rsidR="00AD7E62" w:rsidRPr="00AD7E62" w:rsidRDefault="00AD7E62" w:rsidP="00AD7E62">
      <w:pPr>
        <w:spacing w:after="0" w:line="240" w:lineRule="auto"/>
        <w:rPr>
          <w:rFonts w:ascii="Arial" w:eastAsia="Times New Roman" w:hAnsi="Arial" w:cs="Arial"/>
          <w:color w:val="000000"/>
          <w:sz w:val="19"/>
          <w:szCs w:val="19"/>
          <w:lang w:eastAsia="en-GB"/>
        </w:rPr>
      </w:pPr>
    </w:p>
    <w:p w14:paraId="489D71ED" w14:textId="30F8230F" w:rsidR="00AD7E62" w:rsidRDefault="00AD7E62" w:rsidP="00140AC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Plato, </w:t>
      </w:r>
      <w:r>
        <w:rPr>
          <w:rFonts w:ascii="Arial" w:hAnsi="Arial" w:cs="Arial"/>
          <w:i/>
          <w:iCs/>
          <w:color w:val="000000"/>
          <w:sz w:val="19"/>
          <w:szCs w:val="19"/>
        </w:rPr>
        <w:t>Parmenides</w:t>
      </w:r>
      <w:r>
        <w:rPr>
          <w:rFonts w:ascii="Arial" w:hAnsi="Arial" w:cs="Arial"/>
          <w:color w:val="000000"/>
          <w:sz w:val="19"/>
          <w:szCs w:val="19"/>
          <w:shd w:val="clear" w:color="auto" w:fill="FFFFFF"/>
        </w:rPr>
        <w:t xml:space="preserve">, trans. by Samuel </w:t>
      </w:r>
      <w:proofErr w:type="spellStart"/>
      <w:r>
        <w:rPr>
          <w:rFonts w:ascii="Arial" w:hAnsi="Arial" w:cs="Arial"/>
          <w:color w:val="000000"/>
          <w:sz w:val="19"/>
          <w:szCs w:val="19"/>
          <w:shd w:val="clear" w:color="auto" w:fill="FFFFFF"/>
        </w:rPr>
        <w:t>Scolnicov</w:t>
      </w:r>
      <w:proofErr w:type="spellEnd"/>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Berkely</w:t>
      </w:r>
      <w:proofErr w:type="spellEnd"/>
      <w:r>
        <w:rPr>
          <w:rFonts w:ascii="Arial" w:hAnsi="Arial" w:cs="Arial"/>
          <w:color w:val="000000"/>
          <w:sz w:val="19"/>
          <w:szCs w:val="19"/>
          <w:shd w:val="clear" w:color="auto" w:fill="FFFFFF"/>
        </w:rPr>
        <w:t xml:space="preserve"> and Los Angeles, California: University </w:t>
      </w:r>
      <w:proofErr w:type="gramStart"/>
      <w:r>
        <w:rPr>
          <w:rFonts w:ascii="Arial" w:hAnsi="Arial" w:cs="Arial"/>
          <w:color w:val="000000"/>
          <w:sz w:val="19"/>
          <w:szCs w:val="19"/>
          <w:shd w:val="clear" w:color="auto" w:fill="FFFFFF"/>
        </w:rPr>
        <w:t>Of</w:t>
      </w:r>
      <w:proofErr w:type="gramEnd"/>
      <w:r>
        <w:rPr>
          <w:rFonts w:ascii="Arial" w:hAnsi="Arial" w:cs="Arial"/>
          <w:color w:val="000000"/>
          <w:sz w:val="19"/>
          <w:szCs w:val="19"/>
          <w:shd w:val="clear" w:color="auto" w:fill="FFFFFF"/>
        </w:rPr>
        <w:t xml:space="preserve"> California Press, 2003).</w:t>
      </w:r>
    </w:p>
    <w:p w14:paraId="110F5AFE" w14:textId="7C757DE8" w:rsidR="00AD7E62" w:rsidRDefault="00AD7E62" w:rsidP="00140AC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Plato, </w:t>
      </w:r>
      <w:r>
        <w:rPr>
          <w:rFonts w:ascii="Arial" w:hAnsi="Arial" w:cs="Arial"/>
          <w:i/>
          <w:iCs/>
          <w:color w:val="000000"/>
          <w:sz w:val="19"/>
          <w:szCs w:val="19"/>
        </w:rPr>
        <w:t>The Republic</w:t>
      </w:r>
      <w:r>
        <w:rPr>
          <w:rFonts w:ascii="Arial" w:hAnsi="Arial" w:cs="Arial"/>
          <w:color w:val="000000"/>
          <w:sz w:val="19"/>
          <w:szCs w:val="19"/>
          <w:shd w:val="clear" w:color="auto" w:fill="FFFFFF"/>
        </w:rPr>
        <w:t>, trans. by Desmond Lee (London: Penguin Books, 1974</w:t>
      </w:r>
    </w:p>
    <w:p w14:paraId="426C1668" w14:textId="38219C7E" w:rsidR="00AD7E62" w:rsidRDefault="00AD7E62" w:rsidP="00140AC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Plutarch, </w:t>
      </w:r>
      <w:r>
        <w:rPr>
          <w:rFonts w:ascii="Arial" w:hAnsi="Arial" w:cs="Arial"/>
          <w:i/>
          <w:iCs/>
          <w:color w:val="000000"/>
          <w:sz w:val="19"/>
          <w:szCs w:val="19"/>
        </w:rPr>
        <w:t xml:space="preserve">Life </w:t>
      </w:r>
      <w:proofErr w:type="gramStart"/>
      <w:r>
        <w:rPr>
          <w:rFonts w:ascii="Arial" w:hAnsi="Arial" w:cs="Arial"/>
          <w:i/>
          <w:iCs/>
          <w:color w:val="000000"/>
          <w:sz w:val="19"/>
          <w:szCs w:val="19"/>
        </w:rPr>
        <w:t>Of</w:t>
      </w:r>
      <w:proofErr w:type="gramEnd"/>
      <w:r>
        <w:rPr>
          <w:rFonts w:ascii="Arial" w:hAnsi="Arial" w:cs="Arial"/>
          <w:i/>
          <w:iCs/>
          <w:color w:val="000000"/>
          <w:sz w:val="19"/>
          <w:szCs w:val="19"/>
        </w:rPr>
        <w:t xml:space="preserve"> Theseus</w:t>
      </w:r>
      <w:r>
        <w:rPr>
          <w:rFonts w:ascii="Arial" w:hAnsi="Arial" w:cs="Arial"/>
          <w:color w:val="000000"/>
          <w:sz w:val="19"/>
          <w:szCs w:val="19"/>
          <w:shd w:val="clear" w:color="auto" w:fill="FFFFFF"/>
        </w:rPr>
        <w:t>, ed. by D. P. Curtin, trans. by Arthur Hugh Clough ([</w:t>
      </w:r>
      <w:proofErr w:type="spellStart"/>
      <w:r>
        <w:rPr>
          <w:rFonts w:ascii="Arial" w:hAnsi="Arial" w:cs="Arial"/>
          <w:color w:val="000000"/>
          <w:sz w:val="19"/>
          <w:szCs w:val="19"/>
          <w:shd w:val="clear" w:color="auto" w:fill="FFFFFF"/>
        </w:rPr>
        <w:t>n.p.</w:t>
      </w:r>
      <w:proofErr w:type="spellEnd"/>
      <w:r>
        <w:rPr>
          <w:rFonts w:ascii="Arial" w:hAnsi="Arial" w:cs="Arial"/>
          <w:color w:val="000000"/>
          <w:sz w:val="19"/>
          <w:szCs w:val="19"/>
          <w:shd w:val="clear" w:color="auto" w:fill="FFFFFF"/>
        </w:rPr>
        <w:t>]: Independently Published, 2019).</w:t>
      </w:r>
    </w:p>
    <w:p w14:paraId="7C7D5DDE" w14:textId="2B9572B4" w:rsidR="00AD7E62" w:rsidRDefault="00AD7E62" w:rsidP="00140AC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R.C. Cross, A.D. </w:t>
      </w:r>
      <w:proofErr w:type="spellStart"/>
      <w:r>
        <w:rPr>
          <w:rFonts w:ascii="Arial" w:hAnsi="Arial" w:cs="Arial"/>
          <w:color w:val="000000"/>
          <w:sz w:val="19"/>
          <w:szCs w:val="19"/>
          <w:shd w:val="clear" w:color="auto" w:fill="FFFFFF"/>
        </w:rPr>
        <w:t>Woozley</w:t>
      </w:r>
      <w:proofErr w:type="spellEnd"/>
      <w:r>
        <w:rPr>
          <w:rFonts w:ascii="Arial" w:hAnsi="Arial" w:cs="Arial"/>
          <w:color w:val="000000"/>
          <w:sz w:val="19"/>
          <w:szCs w:val="19"/>
          <w:shd w:val="clear" w:color="auto" w:fill="FFFFFF"/>
        </w:rPr>
        <w:t xml:space="preserve">, </w:t>
      </w:r>
      <w:r>
        <w:rPr>
          <w:rFonts w:ascii="Arial" w:hAnsi="Arial" w:cs="Arial"/>
          <w:i/>
          <w:iCs/>
          <w:color w:val="000000"/>
          <w:sz w:val="19"/>
          <w:szCs w:val="19"/>
        </w:rPr>
        <w:t>Plato's Republic</w:t>
      </w:r>
      <w:r>
        <w:rPr>
          <w:rFonts w:ascii="Arial" w:hAnsi="Arial" w:cs="Arial"/>
          <w:color w:val="000000"/>
          <w:sz w:val="19"/>
          <w:szCs w:val="19"/>
          <w:shd w:val="clear" w:color="auto" w:fill="FFFFFF"/>
        </w:rPr>
        <w:t xml:space="preserve"> (New York: ST Martin's Press, 1966).</w:t>
      </w:r>
    </w:p>
    <w:p w14:paraId="1EC978FD" w14:textId="32334CC4" w:rsidR="00AD7E62" w:rsidRDefault="00AD7E62" w:rsidP="00140AC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Stanford </w:t>
      </w:r>
      <w:proofErr w:type="spellStart"/>
      <w:r>
        <w:rPr>
          <w:rFonts w:ascii="Arial" w:hAnsi="Arial" w:cs="Arial"/>
          <w:color w:val="000000"/>
          <w:sz w:val="19"/>
          <w:szCs w:val="19"/>
          <w:shd w:val="clear" w:color="auto" w:fill="FFFFFF"/>
        </w:rPr>
        <w:t>Encyclopedia</w:t>
      </w:r>
      <w:proofErr w:type="spellEnd"/>
      <w:r>
        <w:rPr>
          <w:rFonts w:ascii="Arial" w:hAnsi="Arial" w:cs="Arial"/>
          <w:color w:val="000000"/>
          <w:sz w:val="19"/>
          <w:szCs w:val="19"/>
          <w:shd w:val="clear" w:color="auto" w:fill="FFFFFF"/>
        </w:rPr>
        <w:t xml:space="preserve"> of Philosophy, </w:t>
      </w:r>
      <w:r>
        <w:rPr>
          <w:rFonts w:ascii="Arial" w:hAnsi="Arial" w:cs="Arial"/>
          <w:i/>
          <w:iCs/>
          <w:color w:val="000000"/>
          <w:sz w:val="19"/>
          <w:szCs w:val="19"/>
        </w:rPr>
        <w:t>Heraclitus</w:t>
      </w:r>
      <w:r>
        <w:rPr>
          <w:rFonts w:ascii="Arial" w:hAnsi="Arial" w:cs="Arial"/>
          <w:color w:val="000000"/>
          <w:sz w:val="19"/>
          <w:szCs w:val="19"/>
          <w:shd w:val="clear" w:color="auto" w:fill="FFFFFF"/>
        </w:rPr>
        <w:t xml:space="preserve"> (3rd September 2019) &lt;https://plato.stanford.edu/entries/heraclitus/#Flu&gt; [accessed 18 December 2019].</w:t>
      </w:r>
    </w:p>
    <w:p w14:paraId="6AE1077F" w14:textId="77777777" w:rsidR="00AD7E62" w:rsidRDefault="00AD7E62" w:rsidP="00140AC2">
      <w:pPr>
        <w:rPr>
          <w:sz w:val="26"/>
          <w:szCs w:val="26"/>
          <w:u w:val="single"/>
        </w:rPr>
      </w:pPr>
      <w:bookmarkStart w:id="0" w:name="_GoBack"/>
      <w:bookmarkEnd w:id="0"/>
    </w:p>
    <w:p w14:paraId="15BB84FD" w14:textId="77777777" w:rsidR="00AD7E62" w:rsidRPr="00AD7E62" w:rsidRDefault="00AD7E62" w:rsidP="00140AC2">
      <w:pPr>
        <w:rPr>
          <w:sz w:val="26"/>
          <w:szCs w:val="26"/>
          <w:u w:val="single"/>
        </w:rPr>
      </w:pPr>
    </w:p>
    <w:p w14:paraId="05931C2E" w14:textId="77777777" w:rsidR="00D64B53" w:rsidRPr="00335CB8" w:rsidRDefault="00D64B53" w:rsidP="00335CB8">
      <w:pPr>
        <w:rPr>
          <w:sz w:val="26"/>
          <w:szCs w:val="26"/>
        </w:rPr>
      </w:pPr>
    </w:p>
    <w:sectPr w:rsidR="00D64B53" w:rsidRPr="00335C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0AB95" w14:textId="77777777" w:rsidR="002C3F80" w:rsidRDefault="002C3F80" w:rsidP="005D3EB0">
      <w:pPr>
        <w:spacing w:after="0" w:line="240" w:lineRule="auto"/>
      </w:pPr>
      <w:r>
        <w:separator/>
      </w:r>
    </w:p>
  </w:endnote>
  <w:endnote w:type="continuationSeparator" w:id="0">
    <w:p w14:paraId="0ADA18F9" w14:textId="77777777" w:rsidR="002C3F80" w:rsidRDefault="002C3F80" w:rsidP="005D3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D201C" w14:textId="77777777" w:rsidR="002C3F80" w:rsidRDefault="002C3F80" w:rsidP="005D3EB0">
      <w:pPr>
        <w:spacing w:after="0" w:line="240" w:lineRule="auto"/>
      </w:pPr>
      <w:r>
        <w:separator/>
      </w:r>
    </w:p>
  </w:footnote>
  <w:footnote w:type="continuationSeparator" w:id="0">
    <w:p w14:paraId="1C53A6DA" w14:textId="77777777" w:rsidR="002C3F80" w:rsidRDefault="002C3F80" w:rsidP="005D3EB0">
      <w:pPr>
        <w:spacing w:after="0" w:line="240" w:lineRule="auto"/>
      </w:pPr>
      <w:r>
        <w:continuationSeparator/>
      </w:r>
    </w:p>
  </w:footnote>
  <w:footnote w:id="1">
    <w:p w14:paraId="19BEFE51" w14:textId="1154C0F5" w:rsidR="002C3F80" w:rsidRDefault="002C3F80">
      <w:pPr>
        <w:pStyle w:val="FootnoteText"/>
      </w:pPr>
      <w:r>
        <w:rPr>
          <w:rStyle w:val="FootnoteReference"/>
        </w:rPr>
        <w:footnoteRef/>
      </w:r>
      <w:r>
        <w:t xml:space="preserve"> </w:t>
      </w:r>
      <w:r>
        <w:rPr>
          <w:rFonts w:ascii="Arial" w:hAnsi="Arial" w:cs="Arial"/>
          <w:color w:val="000000"/>
          <w:sz w:val="19"/>
          <w:szCs w:val="19"/>
          <w:shd w:val="clear" w:color="auto" w:fill="FFFFFF"/>
        </w:rPr>
        <w:t xml:space="preserve">Plato, </w:t>
      </w:r>
      <w:r>
        <w:rPr>
          <w:rFonts w:ascii="Arial" w:hAnsi="Arial" w:cs="Arial"/>
          <w:i/>
          <w:iCs/>
          <w:color w:val="000000"/>
          <w:sz w:val="19"/>
          <w:szCs w:val="19"/>
        </w:rPr>
        <w:t>Parmenides</w:t>
      </w:r>
      <w:r>
        <w:rPr>
          <w:rFonts w:ascii="Arial" w:hAnsi="Arial" w:cs="Arial"/>
          <w:color w:val="000000"/>
          <w:sz w:val="19"/>
          <w:szCs w:val="19"/>
          <w:shd w:val="clear" w:color="auto" w:fill="FFFFFF"/>
        </w:rPr>
        <w:t xml:space="preserve">, trans. by Samuel </w:t>
      </w:r>
      <w:proofErr w:type="spellStart"/>
      <w:r>
        <w:rPr>
          <w:rFonts w:ascii="Arial" w:hAnsi="Arial" w:cs="Arial"/>
          <w:color w:val="000000"/>
          <w:sz w:val="19"/>
          <w:szCs w:val="19"/>
          <w:shd w:val="clear" w:color="auto" w:fill="FFFFFF"/>
        </w:rPr>
        <w:t>Scolnicov</w:t>
      </w:r>
      <w:proofErr w:type="spellEnd"/>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Berkely</w:t>
      </w:r>
      <w:proofErr w:type="spellEnd"/>
      <w:r>
        <w:rPr>
          <w:rFonts w:ascii="Arial" w:hAnsi="Arial" w:cs="Arial"/>
          <w:color w:val="000000"/>
          <w:sz w:val="19"/>
          <w:szCs w:val="19"/>
          <w:shd w:val="clear" w:color="auto" w:fill="FFFFFF"/>
        </w:rPr>
        <w:t xml:space="preserve"> and Los Angeles, California: University </w:t>
      </w:r>
      <w:proofErr w:type="gramStart"/>
      <w:r>
        <w:rPr>
          <w:rFonts w:ascii="Arial" w:hAnsi="Arial" w:cs="Arial"/>
          <w:color w:val="000000"/>
          <w:sz w:val="19"/>
          <w:szCs w:val="19"/>
          <w:shd w:val="clear" w:color="auto" w:fill="FFFFFF"/>
        </w:rPr>
        <w:t>Of</w:t>
      </w:r>
      <w:proofErr w:type="gramEnd"/>
      <w:r>
        <w:rPr>
          <w:rFonts w:ascii="Arial" w:hAnsi="Arial" w:cs="Arial"/>
          <w:color w:val="000000"/>
          <w:sz w:val="19"/>
          <w:szCs w:val="19"/>
          <w:shd w:val="clear" w:color="auto" w:fill="FFFFFF"/>
        </w:rPr>
        <w:t xml:space="preserve"> California Press, 2003).</w:t>
      </w:r>
    </w:p>
  </w:footnote>
  <w:footnote w:id="2">
    <w:p w14:paraId="51C8848F" w14:textId="72EEA245" w:rsidR="001F67BF" w:rsidRDefault="001F67BF">
      <w:pPr>
        <w:pStyle w:val="FootnoteText"/>
      </w:pPr>
      <w:r>
        <w:rPr>
          <w:rStyle w:val="FootnoteReference"/>
        </w:rPr>
        <w:footnoteRef/>
      </w:r>
      <w:r>
        <w:t xml:space="preserve"> </w:t>
      </w:r>
      <w:r>
        <w:rPr>
          <w:rFonts w:ascii="Arial" w:hAnsi="Arial" w:cs="Arial"/>
          <w:color w:val="000000"/>
          <w:sz w:val="19"/>
          <w:szCs w:val="19"/>
          <w:shd w:val="clear" w:color="auto" w:fill="FFFFFF"/>
        </w:rPr>
        <w:t xml:space="preserve">Plato, </w:t>
      </w:r>
      <w:r>
        <w:rPr>
          <w:rFonts w:ascii="Arial" w:hAnsi="Arial" w:cs="Arial"/>
          <w:i/>
          <w:iCs/>
          <w:color w:val="000000"/>
          <w:sz w:val="19"/>
          <w:szCs w:val="19"/>
        </w:rPr>
        <w:t>The Republic</w:t>
      </w:r>
      <w:r>
        <w:rPr>
          <w:rFonts w:ascii="Arial" w:hAnsi="Arial" w:cs="Arial"/>
          <w:color w:val="000000"/>
          <w:sz w:val="19"/>
          <w:szCs w:val="19"/>
          <w:shd w:val="clear" w:color="auto" w:fill="FFFFFF"/>
        </w:rPr>
        <w:t>, trans. by Desmond Lee (London: Penguin Books, 1974), p. 240-248.</w:t>
      </w:r>
    </w:p>
  </w:footnote>
  <w:footnote w:id="3">
    <w:p w14:paraId="491C270A" w14:textId="7BF0BD14" w:rsidR="008D41B0" w:rsidRDefault="008D41B0">
      <w:pPr>
        <w:pStyle w:val="FootnoteText"/>
      </w:pPr>
      <w:r>
        <w:rPr>
          <w:rStyle w:val="FootnoteReference"/>
        </w:rPr>
        <w:footnoteRef/>
      </w:r>
      <w:r>
        <w:t xml:space="preserve"> </w:t>
      </w:r>
      <w:r>
        <w:rPr>
          <w:rFonts w:ascii="Arial" w:hAnsi="Arial" w:cs="Arial"/>
          <w:color w:val="000000"/>
          <w:sz w:val="19"/>
          <w:szCs w:val="19"/>
          <w:shd w:val="clear" w:color="auto" w:fill="FFFFFF"/>
        </w:rPr>
        <w:t xml:space="preserve">Bertrand Russell, </w:t>
      </w:r>
      <w:r>
        <w:rPr>
          <w:rFonts w:ascii="Arial" w:hAnsi="Arial" w:cs="Arial"/>
          <w:i/>
          <w:iCs/>
          <w:color w:val="000000"/>
          <w:sz w:val="19"/>
          <w:szCs w:val="19"/>
        </w:rPr>
        <w:t xml:space="preserve">The History </w:t>
      </w:r>
      <w:proofErr w:type="gramStart"/>
      <w:r>
        <w:rPr>
          <w:rFonts w:ascii="Arial" w:hAnsi="Arial" w:cs="Arial"/>
          <w:i/>
          <w:iCs/>
          <w:color w:val="000000"/>
          <w:sz w:val="19"/>
          <w:szCs w:val="19"/>
        </w:rPr>
        <w:t>Of</w:t>
      </w:r>
      <w:proofErr w:type="gramEnd"/>
      <w:r>
        <w:rPr>
          <w:rFonts w:ascii="Arial" w:hAnsi="Arial" w:cs="Arial"/>
          <w:i/>
          <w:iCs/>
          <w:color w:val="000000"/>
          <w:sz w:val="19"/>
          <w:szCs w:val="19"/>
        </w:rPr>
        <w:t xml:space="preserve"> Western Philosophy</w:t>
      </w:r>
      <w:r>
        <w:rPr>
          <w:rFonts w:ascii="Arial" w:hAnsi="Arial" w:cs="Arial"/>
          <w:color w:val="000000"/>
          <w:sz w:val="19"/>
          <w:szCs w:val="19"/>
          <w:shd w:val="clear" w:color="auto" w:fill="FFFFFF"/>
        </w:rPr>
        <w:t xml:space="preserve"> (London: Routledge, 2004), p. 126-130.</w:t>
      </w:r>
    </w:p>
  </w:footnote>
  <w:footnote w:id="4">
    <w:p w14:paraId="2B2710F2" w14:textId="32BC348C" w:rsidR="00774FD3" w:rsidRDefault="00774FD3">
      <w:pPr>
        <w:pStyle w:val="FootnoteText"/>
      </w:pPr>
      <w:r>
        <w:rPr>
          <w:rStyle w:val="FootnoteReference"/>
        </w:rPr>
        <w:footnoteRef/>
      </w:r>
      <w:r>
        <w:t xml:space="preserve"> </w:t>
      </w:r>
      <w:r>
        <w:rPr>
          <w:rFonts w:ascii="Arial" w:hAnsi="Arial" w:cs="Arial"/>
          <w:color w:val="000000"/>
          <w:sz w:val="19"/>
          <w:szCs w:val="19"/>
          <w:shd w:val="clear" w:color="auto" w:fill="FFFFFF"/>
        </w:rPr>
        <w:t xml:space="preserve">Stanford </w:t>
      </w:r>
      <w:proofErr w:type="spellStart"/>
      <w:r>
        <w:rPr>
          <w:rFonts w:ascii="Arial" w:hAnsi="Arial" w:cs="Arial"/>
          <w:color w:val="000000"/>
          <w:sz w:val="19"/>
          <w:szCs w:val="19"/>
          <w:shd w:val="clear" w:color="auto" w:fill="FFFFFF"/>
        </w:rPr>
        <w:t>Encyclopedia</w:t>
      </w:r>
      <w:proofErr w:type="spellEnd"/>
      <w:r>
        <w:rPr>
          <w:rFonts w:ascii="Arial" w:hAnsi="Arial" w:cs="Arial"/>
          <w:color w:val="000000"/>
          <w:sz w:val="19"/>
          <w:szCs w:val="19"/>
          <w:shd w:val="clear" w:color="auto" w:fill="FFFFFF"/>
        </w:rPr>
        <w:t xml:space="preserve"> of Philosophy, </w:t>
      </w:r>
      <w:r>
        <w:rPr>
          <w:rFonts w:ascii="Arial" w:hAnsi="Arial" w:cs="Arial"/>
          <w:i/>
          <w:iCs/>
          <w:color w:val="000000"/>
          <w:sz w:val="19"/>
          <w:szCs w:val="19"/>
        </w:rPr>
        <w:t>Heraclitus</w:t>
      </w:r>
      <w:r>
        <w:rPr>
          <w:rFonts w:ascii="Arial" w:hAnsi="Arial" w:cs="Arial"/>
          <w:color w:val="000000"/>
          <w:sz w:val="19"/>
          <w:szCs w:val="19"/>
          <w:shd w:val="clear" w:color="auto" w:fill="FFFFFF"/>
        </w:rPr>
        <w:t xml:space="preserve"> (3rd September 2019) &lt;https://plato.stanford.edu/entries/heraclitus/#Flu&gt; [accessed 18 December 2019].</w:t>
      </w:r>
    </w:p>
  </w:footnote>
  <w:footnote w:id="5">
    <w:p w14:paraId="59CAC57C" w14:textId="037AB959" w:rsidR="005A30C8" w:rsidRDefault="005A30C8">
      <w:pPr>
        <w:pStyle w:val="FootnoteText"/>
      </w:pPr>
      <w:r>
        <w:rPr>
          <w:rStyle w:val="FootnoteReference"/>
        </w:rPr>
        <w:footnoteRef/>
      </w:r>
      <w:r>
        <w:t xml:space="preserve"> </w:t>
      </w:r>
      <w:r>
        <w:rPr>
          <w:rFonts w:ascii="Arial" w:hAnsi="Arial" w:cs="Arial"/>
          <w:color w:val="000000"/>
          <w:sz w:val="19"/>
          <w:szCs w:val="19"/>
          <w:shd w:val="clear" w:color="auto" w:fill="FFFFFF"/>
        </w:rPr>
        <w:t xml:space="preserve">Plutarch, </w:t>
      </w:r>
      <w:r>
        <w:rPr>
          <w:rFonts w:ascii="Arial" w:hAnsi="Arial" w:cs="Arial"/>
          <w:i/>
          <w:iCs/>
          <w:color w:val="000000"/>
          <w:sz w:val="19"/>
          <w:szCs w:val="19"/>
        </w:rPr>
        <w:t xml:space="preserve">Life </w:t>
      </w:r>
      <w:proofErr w:type="gramStart"/>
      <w:r>
        <w:rPr>
          <w:rFonts w:ascii="Arial" w:hAnsi="Arial" w:cs="Arial"/>
          <w:i/>
          <w:iCs/>
          <w:color w:val="000000"/>
          <w:sz w:val="19"/>
          <w:szCs w:val="19"/>
        </w:rPr>
        <w:t>Of</w:t>
      </w:r>
      <w:proofErr w:type="gramEnd"/>
      <w:r>
        <w:rPr>
          <w:rFonts w:ascii="Arial" w:hAnsi="Arial" w:cs="Arial"/>
          <w:i/>
          <w:iCs/>
          <w:color w:val="000000"/>
          <w:sz w:val="19"/>
          <w:szCs w:val="19"/>
        </w:rPr>
        <w:t xml:space="preserve"> Theseus</w:t>
      </w:r>
      <w:r>
        <w:rPr>
          <w:rFonts w:ascii="Arial" w:hAnsi="Arial" w:cs="Arial"/>
          <w:color w:val="000000"/>
          <w:sz w:val="19"/>
          <w:szCs w:val="19"/>
          <w:shd w:val="clear" w:color="auto" w:fill="FFFFFF"/>
        </w:rPr>
        <w:t>, ed. by D. P. Curtin, trans. by Arthur Hugh Clough ([</w:t>
      </w:r>
      <w:proofErr w:type="spellStart"/>
      <w:r>
        <w:rPr>
          <w:rFonts w:ascii="Arial" w:hAnsi="Arial" w:cs="Arial"/>
          <w:color w:val="000000"/>
          <w:sz w:val="19"/>
          <w:szCs w:val="19"/>
          <w:shd w:val="clear" w:color="auto" w:fill="FFFFFF"/>
        </w:rPr>
        <w:t>n.p.</w:t>
      </w:r>
      <w:proofErr w:type="spellEnd"/>
      <w:r>
        <w:rPr>
          <w:rFonts w:ascii="Arial" w:hAnsi="Arial" w:cs="Arial"/>
          <w:color w:val="000000"/>
          <w:sz w:val="19"/>
          <w:szCs w:val="19"/>
          <w:shd w:val="clear" w:color="auto" w:fill="FFFFFF"/>
        </w:rPr>
        <w:t>]: Independently Published, 2019).</w:t>
      </w:r>
    </w:p>
  </w:footnote>
  <w:footnote w:id="6">
    <w:p w14:paraId="77516752" w14:textId="77777777" w:rsidR="00B70B96" w:rsidRPr="00B70B96" w:rsidRDefault="00B70B96" w:rsidP="00B70B96">
      <w:pPr>
        <w:rPr>
          <w:rFonts w:ascii="Arial" w:eastAsia="Times New Roman" w:hAnsi="Arial" w:cs="Arial"/>
          <w:color w:val="000000"/>
          <w:sz w:val="19"/>
          <w:szCs w:val="19"/>
          <w:lang w:eastAsia="en-GB"/>
        </w:rPr>
      </w:pPr>
      <w:r>
        <w:rPr>
          <w:rStyle w:val="FootnoteReference"/>
        </w:rPr>
        <w:footnoteRef/>
      </w:r>
      <w:r>
        <w:t xml:space="preserve"> </w:t>
      </w:r>
      <w:r w:rsidRPr="00B70B96">
        <w:rPr>
          <w:rFonts w:ascii="Arial" w:eastAsia="Times New Roman" w:hAnsi="Arial" w:cs="Arial"/>
          <w:color w:val="000000"/>
          <w:sz w:val="19"/>
          <w:szCs w:val="19"/>
          <w:lang w:eastAsia="en-GB"/>
        </w:rPr>
        <w:t xml:space="preserve">Alan E. Musgrave, </w:t>
      </w:r>
      <w:r w:rsidRPr="00B70B96">
        <w:rPr>
          <w:rFonts w:ascii="Arial" w:eastAsia="Times New Roman" w:hAnsi="Arial" w:cs="Arial"/>
          <w:i/>
          <w:iCs/>
          <w:color w:val="000000"/>
          <w:sz w:val="19"/>
          <w:szCs w:val="19"/>
          <w:lang w:eastAsia="en-GB"/>
        </w:rPr>
        <w:t>Common Sense, Science and Scepticism: A Historical Introduction to the Theory of Knowledge</w:t>
      </w:r>
      <w:r w:rsidRPr="00B70B96">
        <w:rPr>
          <w:rFonts w:ascii="Arial" w:eastAsia="Times New Roman" w:hAnsi="Arial" w:cs="Arial"/>
          <w:color w:val="000000"/>
          <w:sz w:val="19"/>
          <w:szCs w:val="19"/>
          <w:lang w:eastAsia="en-GB"/>
        </w:rPr>
        <w:t xml:space="preserve"> (Cambridge: Cambridge University Press, 1993).</w:t>
      </w:r>
    </w:p>
    <w:p w14:paraId="729F200B" w14:textId="08F5B598" w:rsidR="00B70B96" w:rsidRDefault="00B70B9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CB8"/>
    <w:rsid w:val="0010098B"/>
    <w:rsid w:val="00122EBD"/>
    <w:rsid w:val="0013013C"/>
    <w:rsid w:val="00140AC2"/>
    <w:rsid w:val="001F67BF"/>
    <w:rsid w:val="00221145"/>
    <w:rsid w:val="00257230"/>
    <w:rsid w:val="00273F57"/>
    <w:rsid w:val="002B54C8"/>
    <w:rsid w:val="002C3F80"/>
    <w:rsid w:val="00335787"/>
    <w:rsid w:val="00335CB8"/>
    <w:rsid w:val="00353FE1"/>
    <w:rsid w:val="0035425A"/>
    <w:rsid w:val="00435B7A"/>
    <w:rsid w:val="004E5A2B"/>
    <w:rsid w:val="00570938"/>
    <w:rsid w:val="005A30C8"/>
    <w:rsid w:val="005D3EB0"/>
    <w:rsid w:val="00606CCB"/>
    <w:rsid w:val="006567D9"/>
    <w:rsid w:val="00685C36"/>
    <w:rsid w:val="00695B53"/>
    <w:rsid w:val="00774FD3"/>
    <w:rsid w:val="007B5FC8"/>
    <w:rsid w:val="008D41B0"/>
    <w:rsid w:val="00A042EF"/>
    <w:rsid w:val="00AA6993"/>
    <w:rsid w:val="00AD7E62"/>
    <w:rsid w:val="00AF7A98"/>
    <w:rsid w:val="00B70B96"/>
    <w:rsid w:val="00BE6435"/>
    <w:rsid w:val="00BF5910"/>
    <w:rsid w:val="00C256F9"/>
    <w:rsid w:val="00C628F8"/>
    <w:rsid w:val="00C804DE"/>
    <w:rsid w:val="00D64B53"/>
    <w:rsid w:val="00DE38F8"/>
    <w:rsid w:val="00DF0FC5"/>
    <w:rsid w:val="00E127AE"/>
    <w:rsid w:val="00E146CA"/>
    <w:rsid w:val="00F10562"/>
    <w:rsid w:val="00F33FB5"/>
    <w:rsid w:val="00F556FF"/>
    <w:rsid w:val="00FD12D3"/>
    <w:rsid w:val="00FE2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AFBA2"/>
  <w15:chartTrackingRefBased/>
  <w15:docId w15:val="{1C2F0C91-1207-4916-B301-94A657F54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D3E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3EB0"/>
    <w:rPr>
      <w:sz w:val="20"/>
      <w:szCs w:val="20"/>
    </w:rPr>
  </w:style>
  <w:style w:type="character" w:styleId="FootnoteReference">
    <w:name w:val="footnote reference"/>
    <w:basedOn w:val="DefaultParagraphFont"/>
    <w:uiPriority w:val="99"/>
    <w:semiHidden/>
    <w:unhideWhenUsed/>
    <w:rsid w:val="005D3E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98610">
      <w:bodyDiv w:val="1"/>
      <w:marLeft w:val="0"/>
      <w:marRight w:val="0"/>
      <w:marTop w:val="0"/>
      <w:marBottom w:val="0"/>
      <w:divBdr>
        <w:top w:val="none" w:sz="0" w:space="0" w:color="auto"/>
        <w:left w:val="none" w:sz="0" w:space="0" w:color="auto"/>
        <w:bottom w:val="none" w:sz="0" w:space="0" w:color="auto"/>
        <w:right w:val="none" w:sz="0" w:space="0" w:color="auto"/>
      </w:divBdr>
    </w:div>
    <w:div w:id="321587662">
      <w:bodyDiv w:val="1"/>
      <w:marLeft w:val="0"/>
      <w:marRight w:val="0"/>
      <w:marTop w:val="0"/>
      <w:marBottom w:val="0"/>
      <w:divBdr>
        <w:top w:val="none" w:sz="0" w:space="0" w:color="auto"/>
        <w:left w:val="none" w:sz="0" w:space="0" w:color="auto"/>
        <w:bottom w:val="none" w:sz="0" w:space="0" w:color="auto"/>
        <w:right w:val="none" w:sz="0" w:space="0" w:color="auto"/>
      </w:divBdr>
    </w:div>
    <w:div w:id="1036808466">
      <w:bodyDiv w:val="1"/>
      <w:marLeft w:val="0"/>
      <w:marRight w:val="0"/>
      <w:marTop w:val="0"/>
      <w:marBottom w:val="0"/>
      <w:divBdr>
        <w:top w:val="none" w:sz="0" w:space="0" w:color="auto"/>
        <w:left w:val="none" w:sz="0" w:space="0" w:color="auto"/>
        <w:bottom w:val="none" w:sz="0" w:space="0" w:color="auto"/>
        <w:right w:val="none" w:sz="0" w:space="0" w:color="auto"/>
      </w:divBdr>
    </w:div>
    <w:div w:id="173299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40301-59B8-4C0E-8D74-3526E05A1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Sloanes</dc:creator>
  <cp:keywords/>
  <dc:description/>
  <cp:lastModifiedBy>Bradley Sloanes</cp:lastModifiedBy>
  <cp:revision>2</cp:revision>
  <dcterms:created xsi:type="dcterms:W3CDTF">2019-12-18T23:43:00Z</dcterms:created>
  <dcterms:modified xsi:type="dcterms:W3CDTF">2019-12-18T23:43:00Z</dcterms:modified>
</cp:coreProperties>
</file>