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7D0522C8" w:rsidR="000264A1" w:rsidRPr="00427F01" w:rsidRDefault="000264A1" w:rsidP="00427F01">
      <w:pPr>
        <w:spacing w:line="360" w:lineRule="auto"/>
        <w:rPr>
          <w:sz w:val="28"/>
          <w:szCs w:val="28"/>
        </w:rPr>
      </w:pPr>
      <w:r w:rsidRPr="00427F01">
        <w:rPr>
          <w:sz w:val="28"/>
          <w:szCs w:val="28"/>
        </w:rPr>
        <w:fldChar w:fldCharType="begin"/>
      </w:r>
      <w:r w:rsidR="0099374E">
        <w:rPr>
          <w:sz w:val="28"/>
          <w:szCs w:val="28"/>
        </w:rPr>
        <w:instrText xml:space="preserve"> INCLUDEPICTURE "C:\\Users\\biancasanfilippo\\Library\\Group Containers\\UBF8T346G9.ms\\WebArchiveCopyPasteTempFiles\\com.microsoft.Word\\UWTSD-Logo.jpg" \* MERGEFORMAT </w:instrText>
      </w:r>
      <w:r w:rsidRPr="00427F01">
        <w:rPr>
          <w:sz w:val="28"/>
          <w:szCs w:val="28"/>
        </w:rPr>
        <w:fldChar w:fldCharType="separate"/>
      </w:r>
      <w:r w:rsidRPr="00427F01">
        <w:rPr>
          <w:noProof/>
          <w:sz w:val="28"/>
          <w:szCs w:val="28"/>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rsidRPr="00427F01">
        <w:rPr>
          <w:sz w:val="28"/>
          <w:szCs w:val="28"/>
        </w:rPr>
        <w:fldChar w:fldCharType="end"/>
      </w:r>
    </w:p>
    <w:p w14:paraId="26F548A6" w14:textId="77777777" w:rsidR="000264A1" w:rsidRPr="00427F01" w:rsidRDefault="000264A1" w:rsidP="00427F01">
      <w:pPr>
        <w:spacing w:line="360" w:lineRule="auto"/>
        <w:rPr>
          <w:rStyle w:val="Strong"/>
          <w:rFonts w:ascii="Segoe UI" w:hAnsi="Segoe UI" w:cs="Segoe UI"/>
          <w:color w:val="1D2125"/>
          <w:sz w:val="28"/>
          <w:szCs w:val="28"/>
        </w:rPr>
      </w:pPr>
    </w:p>
    <w:p w14:paraId="5CD81D6D" w14:textId="77777777" w:rsidR="000264A1" w:rsidRPr="00427F01" w:rsidRDefault="000264A1" w:rsidP="00427F01">
      <w:pPr>
        <w:spacing w:line="360" w:lineRule="auto"/>
        <w:rPr>
          <w:rStyle w:val="Strong"/>
          <w:rFonts w:ascii="Arial" w:hAnsi="Arial" w:cs="Arial"/>
          <w:color w:val="1D2125"/>
          <w:sz w:val="28"/>
          <w:szCs w:val="28"/>
        </w:rPr>
      </w:pPr>
    </w:p>
    <w:p w14:paraId="63EE22A3" w14:textId="77777777" w:rsidR="000264A1" w:rsidRPr="00427F01" w:rsidRDefault="000264A1" w:rsidP="00427F01">
      <w:pPr>
        <w:spacing w:line="360" w:lineRule="auto"/>
        <w:jc w:val="center"/>
        <w:rPr>
          <w:rStyle w:val="Strong"/>
          <w:rFonts w:ascii="Arial" w:hAnsi="Arial" w:cs="Arial"/>
          <w:color w:val="1D2125"/>
          <w:sz w:val="28"/>
          <w:szCs w:val="28"/>
        </w:rPr>
      </w:pPr>
    </w:p>
    <w:p w14:paraId="195602A5" w14:textId="1473614C" w:rsidR="00722ABC" w:rsidRPr="00427F01" w:rsidRDefault="000264A1" w:rsidP="00427F01">
      <w:pPr>
        <w:spacing w:line="360" w:lineRule="auto"/>
        <w:jc w:val="center"/>
        <w:rPr>
          <w:rStyle w:val="Strong"/>
          <w:rFonts w:ascii="Arial" w:hAnsi="Arial" w:cs="Arial"/>
          <w:color w:val="1D2125"/>
          <w:sz w:val="28"/>
          <w:szCs w:val="28"/>
        </w:rPr>
      </w:pPr>
      <w:r w:rsidRPr="00427F01">
        <w:rPr>
          <w:rStyle w:val="Strong"/>
          <w:rFonts w:ascii="Arial" w:hAnsi="Arial" w:cs="Arial"/>
          <w:color w:val="1D2125"/>
          <w:sz w:val="28"/>
          <w:szCs w:val="28"/>
        </w:rPr>
        <w:t>BMHP6029-Psychopathological Classifications and Provisions</w:t>
      </w:r>
    </w:p>
    <w:p w14:paraId="2A88E453" w14:textId="77777777" w:rsidR="000264A1" w:rsidRPr="00427F01" w:rsidRDefault="000264A1" w:rsidP="00427F01">
      <w:pPr>
        <w:spacing w:line="360" w:lineRule="auto"/>
        <w:jc w:val="center"/>
        <w:rPr>
          <w:rStyle w:val="Strong"/>
          <w:rFonts w:ascii="Arial" w:hAnsi="Arial" w:cs="Arial"/>
          <w:color w:val="1D2125"/>
          <w:sz w:val="28"/>
          <w:szCs w:val="28"/>
        </w:rPr>
      </w:pPr>
    </w:p>
    <w:p w14:paraId="34AAAB14" w14:textId="77777777" w:rsidR="000264A1" w:rsidRPr="00427F01" w:rsidRDefault="000264A1" w:rsidP="00427F01">
      <w:pPr>
        <w:spacing w:line="360" w:lineRule="auto"/>
        <w:jc w:val="center"/>
        <w:rPr>
          <w:rStyle w:val="Strong"/>
          <w:rFonts w:ascii="Arial" w:hAnsi="Arial" w:cs="Arial"/>
          <w:color w:val="1D2125"/>
          <w:sz w:val="28"/>
          <w:szCs w:val="28"/>
        </w:rPr>
      </w:pPr>
    </w:p>
    <w:p w14:paraId="723DF23E" w14:textId="77777777" w:rsidR="000264A1" w:rsidRPr="00427F01" w:rsidRDefault="000264A1" w:rsidP="00427F01">
      <w:pPr>
        <w:spacing w:line="360" w:lineRule="auto"/>
        <w:jc w:val="center"/>
        <w:rPr>
          <w:rStyle w:val="Strong"/>
          <w:rFonts w:ascii="Arial" w:hAnsi="Arial" w:cs="Arial"/>
          <w:color w:val="1D2125"/>
          <w:sz w:val="28"/>
          <w:szCs w:val="28"/>
        </w:rPr>
      </w:pPr>
    </w:p>
    <w:p w14:paraId="25159706" w14:textId="77777777" w:rsidR="000264A1" w:rsidRPr="00427F01" w:rsidRDefault="000264A1" w:rsidP="00427F01">
      <w:pPr>
        <w:spacing w:line="360" w:lineRule="auto"/>
        <w:rPr>
          <w:rStyle w:val="Strong"/>
          <w:rFonts w:ascii="Arial" w:hAnsi="Arial" w:cs="Arial"/>
          <w:b w:val="0"/>
          <w:bCs w:val="0"/>
          <w:color w:val="1D2125"/>
          <w:sz w:val="28"/>
          <w:szCs w:val="28"/>
        </w:rPr>
      </w:pPr>
      <w:r w:rsidRPr="00427F01">
        <w:rPr>
          <w:rFonts w:ascii="Arial" w:hAnsi="Arial" w:cs="Arial"/>
          <w:b/>
          <w:bCs/>
          <w:color w:val="000000"/>
          <w:sz w:val="28"/>
          <w:szCs w:val="28"/>
        </w:rPr>
        <w:t>Component 2: Written Assignment (Report)</w:t>
      </w:r>
      <w:r w:rsidRPr="00427F01">
        <w:rPr>
          <w:rStyle w:val="Strong"/>
          <w:rFonts w:ascii="Arial" w:hAnsi="Arial" w:cs="Arial"/>
          <w:b w:val="0"/>
          <w:bCs w:val="0"/>
          <w:color w:val="1D2125"/>
          <w:sz w:val="28"/>
          <w:szCs w:val="28"/>
        </w:rPr>
        <w:t xml:space="preserve"> </w:t>
      </w:r>
    </w:p>
    <w:p w14:paraId="3DB89340" w14:textId="791E9B7D" w:rsidR="000264A1" w:rsidRPr="00427F01" w:rsidRDefault="000264A1" w:rsidP="00427F01">
      <w:pPr>
        <w:spacing w:line="360" w:lineRule="auto"/>
        <w:rPr>
          <w:rStyle w:val="Strong"/>
          <w:rFonts w:ascii="Arial" w:hAnsi="Arial" w:cs="Arial"/>
          <w:color w:val="1D2125"/>
          <w:sz w:val="28"/>
          <w:szCs w:val="28"/>
        </w:rPr>
      </w:pPr>
      <w:r w:rsidRPr="00427F01">
        <w:rPr>
          <w:rStyle w:val="Strong"/>
          <w:rFonts w:ascii="Arial" w:hAnsi="Arial" w:cs="Arial"/>
          <w:color w:val="1D2125"/>
          <w:sz w:val="28"/>
          <w:szCs w:val="28"/>
        </w:rPr>
        <w:t>Student name</w:t>
      </w:r>
      <w:r w:rsidR="00427F01" w:rsidRPr="00427F01">
        <w:rPr>
          <w:rStyle w:val="Strong"/>
          <w:rFonts w:ascii="Arial" w:hAnsi="Arial" w:cs="Arial"/>
          <w:color w:val="1D2125"/>
          <w:sz w:val="28"/>
          <w:szCs w:val="28"/>
        </w:rPr>
        <w:t>: Sara Panicocolo</w:t>
      </w:r>
    </w:p>
    <w:p w14:paraId="3F25C99D" w14:textId="7C523303" w:rsidR="000264A1" w:rsidRPr="00427F01" w:rsidRDefault="000264A1" w:rsidP="00427F01">
      <w:pPr>
        <w:spacing w:line="360" w:lineRule="auto"/>
        <w:rPr>
          <w:rStyle w:val="Strong"/>
          <w:rFonts w:ascii="Arial" w:hAnsi="Arial" w:cs="Arial"/>
          <w:color w:val="1D2125"/>
          <w:sz w:val="28"/>
          <w:szCs w:val="28"/>
        </w:rPr>
      </w:pPr>
      <w:r w:rsidRPr="00427F01">
        <w:rPr>
          <w:rStyle w:val="Strong"/>
          <w:rFonts w:ascii="Arial" w:hAnsi="Arial" w:cs="Arial"/>
          <w:color w:val="1D2125"/>
          <w:sz w:val="28"/>
          <w:szCs w:val="28"/>
        </w:rPr>
        <w:t>Student number</w:t>
      </w:r>
      <w:r w:rsidR="00427F01" w:rsidRPr="00427F01">
        <w:rPr>
          <w:rStyle w:val="Strong"/>
          <w:rFonts w:ascii="Arial" w:hAnsi="Arial" w:cs="Arial"/>
          <w:color w:val="1D2125"/>
          <w:sz w:val="28"/>
          <w:szCs w:val="28"/>
        </w:rPr>
        <w:t>: 2322396</w:t>
      </w:r>
      <w:r w:rsidRPr="00427F01">
        <w:rPr>
          <w:rStyle w:val="Strong"/>
          <w:rFonts w:ascii="Arial" w:hAnsi="Arial" w:cs="Arial"/>
          <w:color w:val="1D2125"/>
          <w:sz w:val="28"/>
          <w:szCs w:val="28"/>
        </w:rPr>
        <w:t xml:space="preserve"> </w:t>
      </w:r>
    </w:p>
    <w:p w14:paraId="7DD82387" w14:textId="77777777" w:rsidR="000264A1" w:rsidRPr="00427F01" w:rsidRDefault="000264A1" w:rsidP="00427F01">
      <w:pPr>
        <w:spacing w:line="360" w:lineRule="auto"/>
        <w:rPr>
          <w:rFonts w:ascii="Arial" w:hAnsi="Arial" w:cs="Arial"/>
          <w:sz w:val="28"/>
          <w:szCs w:val="28"/>
        </w:rPr>
      </w:pPr>
    </w:p>
    <w:p w14:paraId="563A7395" w14:textId="77777777" w:rsidR="000264A1" w:rsidRPr="00427F01" w:rsidRDefault="000264A1" w:rsidP="00427F01">
      <w:pPr>
        <w:spacing w:line="360" w:lineRule="auto"/>
        <w:rPr>
          <w:rFonts w:ascii="Arial" w:hAnsi="Arial" w:cs="Arial"/>
          <w:sz w:val="28"/>
          <w:szCs w:val="28"/>
        </w:rPr>
      </w:pPr>
    </w:p>
    <w:p w14:paraId="5805392B" w14:textId="77777777" w:rsidR="000264A1" w:rsidRPr="00427F01" w:rsidRDefault="000264A1" w:rsidP="00427F01">
      <w:pPr>
        <w:spacing w:line="360" w:lineRule="auto"/>
        <w:rPr>
          <w:rFonts w:ascii="Arial" w:hAnsi="Arial" w:cs="Arial"/>
          <w:sz w:val="28"/>
          <w:szCs w:val="28"/>
        </w:rPr>
      </w:pPr>
    </w:p>
    <w:p w14:paraId="4F5FBEC9" w14:textId="77777777" w:rsidR="000264A1" w:rsidRPr="00427F01" w:rsidRDefault="000264A1" w:rsidP="00427F01">
      <w:pPr>
        <w:spacing w:line="360" w:lineRule="auto"/>
        <w:rPr>
          <w:rFonts w:ascii="Arial" w:hAnsi="Arial" w:cs="Arial"/>
          <w:sz w:val="28"/>
          <w:szCs w:val="28"/>
        </w:rPr>
      </w:pPr>
    </w:p>
    <w:p w14:paraId="1DC432D4" w14:textId="77777777" w:rsidR="000264A1" w:rsidRPr="00427F01" w:rsidRDefault="000264A1" w:rsidP="00427F01">
      <w:pPr>
        <w:spacing w:line="360" w:lineRule="auto"/>
        <w:rPr>
          <w:rFonts w:ascii="Arial" w:hAnsi="Arial" w:cs="Arial"/>
          <w:sz w:val="28"/>
          <w:szCs w:val="28"/>
        </w:rPr>
      </w:pPr>
    </w:p>
    <w:p w14:paraId="6B65CDD9" w14:textId="77777777" w:rsidR="008A6D32" w:rsidRPr="00427F01" w:rsidRDefault="008A6D32" w:rsidP="00427F01">
      <w:pPr>
        <w:spacing w:line="360" w:lineRule="auto"/>
        <w:rPr>
          <w:rFonts w:ascii="Arial" w:hAnsi="Arial" w:cs="Arial"/>
          <w:sz w:val="28"/>
          <w:szCs w:val="28"/>
        </w:rPr>
      </w:pPr>
    </w:p>
    <w:p w14:paraId="1DEC40D5" w14:textId="77777777" w:rsidR="000264A1" w:rsidRPr="00427F01" w:rsidRDefault="000264A1" w:rsidP="00427F01">
      <w:pPr>
        <w:spacing w:line="360" w:lineRule="auto"/>
        <w:rPr>
          <w:rFonts w:ascii="Arial" w:hAnsi="Arial" w:cs="Arial"/>
          <w:sz w:val="28"/>
          <w:szCs w:val="28"/>
        </w:rPr>
      </w:pPr>
    </w:p>
    <w:p w14:paraId="432AEE04" w14:textId="77777777" w:rsidR="000264A1" w:rsidRPr="00427F01" w:rsidRDefault="000264A1" w:rsidP="00427F01">
      <w:pPr>
        <w:spacing w:line="360" w:lineRule="auto"/>
        <w:rPr>
          <w:rFonts w:ascii="Arial" w:hAnsi="Arial" w:cs="Arial"/>
          <w:sz w:val="28"/>
          <w:szCs w:val="28"/>
        </w:rPr>
      </w:pPr>
    </w:p>
    <w:p w14:paraId="6CA22EE1" w14:textId="752AA62E" w:rsidR="00427F01" w:rsidRPr="00427F01" w:rsidRDefault="00427F01" w:rsidP="00427F01">
      <w:pPr>
        <w:spacing w:line="360" w:lineRule="auto"/>
        <w:rPr>
          <w:rFonts w:ascii="Arial" w:hAnsi="Arial" w:cs="Arial"/>
          <w:b/>
          <w:bCs/>
          <w:sz w:val="28"/>
          <w:szCs w:val="28"/>
        </w:rPr>
      </w:pPr>
    </w:p>
    <w:p w14:paraId="24ED712A" w14:textId="77777777" w:rsidR="00427F01" w:rsidRPr="00427F01" w:rsidRDefault="00427F01" w:rsidP="00427F01">
      <w:pPr>
        <w:spacing w:line="360" w:lineRule="auto"/>
        <w:rPr>
          <w:rFonts w:ascii="Arial" w:hAnsi="Arial" w:cs="Arial"/>
          <w:b/>
          <w:bCs/>
          <w:sz w:val="28"/>
          <w:szCs w:val="28"/>
        </w:rPr>
      </w:pPr>
      <w:r w:rsidRPr="00427F01">
        <w:rPr>
          <w:rFonts w:ascii="Arial" w:hAnsi="Arial" w:cs="Arial"/>
          <w:b/>
          <w:bCs/>
          <w:sz w:val="28"/>
          <w:szCs w:val="28"/>
        </w:rPr>
        <w:t>Classification and Diagnosis</w:t>
      </w:r>
    </w:p>
    <w:p w14:paraId="441B22D0" w14:textId="46F60924"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Tourette syndrome (TS) is a complex neurodevelopmental condition characterised by the presence of both motor and vocal tics. Tics are sudden, rapid, recurrent, non-rhythmic movements or vocalisations that can vary in frequency, intensity, and type over time. The condition typically begins in childhood, with onset commonly occurring between the ages of 5 and </w:t>
      </w:r>
      <w:r w:rsidR="00B91405" w:rsidRPr="00427F01">
        <w:rPr>
          <w:rFonts w:ascii="Arial" w:hAnsi="Arial" w:cs="Arial"/>
          <w:sz w:val="28"/>
          <w:szCs w:val="28"/>
        </w:rPr>
        <w:t>7 and</w:t>
      </w:r>
      <w:r w:rsidRPr="00427F01">
        <w:rPr>
          <w:rFonts w:ascii="Arial" w:hAnsi="Arial" w:cs="Arial"/>
          <w:sz w:val="28"/>
          <w:szCs w:val="28"/>
        </w:rPr>
        <w:t xml:space="preserve"> often follows a fluctuating course with periods of exacerbation and remission.</w:t>
      </w:r>
    </w:p>
    <w:p w14:paraId="14EBF483" w14:textId="3FDC7449" w:rsidR="00B91405" w:rsidRPr="00B91405" w:rsidRDefault="00427F01" w:rsidP="00B91405">
      <w:pPr>
        <w:spacing w:line="360" w:lineRule="auto"/>
        <w:rPr>
          <w:rFonts w:ascii="Arial" w:hAnsi="Arial" w:cs="Arial"/>
          <w:b/>
          <w:bCs/>
          <w:sz w:val="28"/>
          <w:szCs w:val="28"/>
        </w:rPr>
      </w:pPr>
      <w:r w:rsidRPr="00427F01">
        <w:rPr>
          <w:rFonts w:ascii="Arial" w:hAnsi="Arial" w:cs="Arial"/>
          <w:sz w:val="28"/>
          <w:szCs w:val="28"/>
        </w:rPr>
        <w:t>According to the International Classification of Diseases, 11th Revision (ICD-11),</w:t>
      </w:r>
      <w:r w:rsidR="00B91405" w:rsidRPr="00B91405">
        <w:rPr>
          <w:rFonts w:ascii="Segoe UI" w:eastAsia="Times New Roman" w:hAnsi="Segoe UI" w:cs="Segoe UI"/>
          <w:b/>
          <w:bCs/>
          <w:color w:val="404040"/>
          <w:kern w:val="0"/>
          <w:sz w:val="29"/>
          <w:szCs w:val="29"/>
          <w:lang w:eastAsia="it-IT"/>
          <w14:ligatures w14:val="none"/>
        </w:rPr>
        <w:t xml:space="preserve"> </w:t>
      </w:r>
      <w:r w:rsidR="00B91405">
        <w:rPr>
          <w:rFonts w:ascii="Segoe UI" w:eastAsia="Times New Roman" w:hAnsi="Segoe UI" w:cs="Segoe UI"/>
          <w:b/>
          <w:bCs/>
          <w:color w:val="404040"/>
          <w:kern w:val="0"/>
          <w:sz w:val="29"/>
          <w:szCs w:val="29"/>
          <w:lang w:eastAsia="it-IT"/>
          <w14:ligatures w14:val="none"/>
        </w:rPr>
        <w:t>-</w:t>
      </w:r>
      <w:r w:rsidR="00B91405" w:rsidRPr="00B91405">
        <w:rPr>
          <w:rFonts w:ascii="Arial" w:hAnsi="Arial" w:cs="Arial"/>
          <w:sz w:val="28"/>
          <w:szCs w:val="28"/>
        </w:rPr>
        <w:t xml:space="preserve">6E8Y Other specified mental, </w:t>
      </w:r>
      <w:r w:rsidR="00B91405" w:rsidRPr="00B91405">
        <w:rPr>
          <w:rFonts w:ascii="Arial" w:hAnsi="Arial" w:cs="Arial"/>
          <w:sz w:val="28"/>
          <w:szCs w:val="28"/>
        </w:rPr>
        <w:t>behavioural,</w:t>
      </w:r>
      <w:r w:rsidR="00B91405" w:rsidRPr="00B91405">
        <w:rPr>
          <w:rFonts w:ascii="Arial" w:hAnsi="Arial" w:cs="Arial"/>
          <w:sz w:val="28"/>
          <w:szCs w:val="28"/>
        </w:rPr>
        <w:t xml:space="preserve"> or neurodevelopmental disorders</w:t>
      </w:r>
      <w:r w:rsidR="00B91405">
        <w:rPr>
          <w:rFonts w:ascii="Arial" w:hAnsi="Arial" w:cs="Arial"/>
          <w:sz w:val="28"/>
          <w:szCs w:val="28"/>
        </w:rPr>
        <w:t>-</w:t>
      </w:r>
    </w:p>
    <w:p w14:paraId="3B10116B" w14:textId="77777777" w:rsidR="00B91405" w:rsidRPr="00B91405" w:rsidRDefault="00B91405" w:rsidP="00B91405">
      <w:pPr>
        <w:spacing w:line="360" w:lineRule="auto"/>
        <w:rPr>
          <w:rFonts w:ascii="Arial" w:hAnsi="Arial" w:cs="Arial"/>
          <w:sz w:val="28"/>
          <w:szCs w:val="28"/>
        </w:rPr>
      </w:pPr>
      <w:r w:rsidRPr="00B91405">
        <w:rPr>
          <w:rFonts w:ascii="Arial" w:hAnsi="Arial" w:cs="Arial"/>
          <w:sz w:val="28"/>
          <w:szCs w:val="28"/>
        </w:rPr>
        <w:t>Code: 6E8Y</w:t>
      </w:r>
    </w:p>
    <w:p w14:paraId="60135522" w14:textId="4E52CA4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 Tourette syndrome is classified under neurodevelopmental disorders. This placement reflects the understanding that TS originates from atypical brain development, particularly involving cortico-</w:t>
      </w:r>
      <w:r w:rsidR="00B91405" w:rsidRPr="00427F01">
        <w:rPr>
          <w:rFonts w:ascii="Arial" w:hAnsi="Arial" w:cs="Arial"/>
          <w:sz w:val="28"/>
          <w:szCs w:val="28"/>
        </w:rPr>
        <w:t>striate</w:t>
      </w:r>
      <w:r w:rsidRPr="00427F01">
        <w:rPr>
          <w:rFonts w:ascii="Arial" w:hAnsi="Arial" w:cs="Arial"/>
          <w:sz w:val="28"/>
          <w:szCs w:val="28"/>
        </w:rPr>
        <w:t>-</w:t>
      </w:r>
      <w:r w:rsidR="00B91405" w:rsidRPr="00427F01">
        <w:rPr>
          <w:rFonts w:ascii="Arial" w:hAnsi="Arial" w:cs="Arial"/>
          <w:sz w:val="28"/>
          <w:szCs w:val="28"/>
        </w:rPr>
        <w:t>thalamus</w:t>
      </w:r>
      <w:r w:rsidRPr="00427F01">
        <w:rPr>
          <w:rFonts w:ascii="Arial" w:hAnsi="Arial" w:cs="Arial"/>
          <w:sz w:val="28"/>
          <w:szCs w:val="28"/>
        </w:rPr>
        <w:t xml:space="preserve">-cortical circuits. The ICD-11 uses the term </w:t>
      </w:r>
      <w:r w:rsidRPr="00427F01">
        <w:rPr>
          <w:rFonts w:ascii="Arial" w:hAnsi="Arial" w:cs="Arial"/>
          <w:i/>
          <w:iCs/>
          <w:sz w:val="28"/>
          <w:szCs w:val="28"/>
        </w:rPr>
        <w:t>disorder</w:t>
      </w:r>
      <w:r w:rsidRPr="00427F01">
        <w:rPr>
          <w:rFonts w:ascii="Arial" w:hAnsi="Arial" w:cs="Arial"/>
          <w:sz w:val="28"/>
          <w:szCs w:val="28"/>
        </w:rPr>
        <w:t>, which implies clinically significant impairment or distress. This terminology aligns with a biomedical model, although it has been subject to critique from neurodiversity perspectives.</w:t>
      </w:r>
    </w:p>
    <w:p w14:paraId="60B5F5CE"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The diagnostic criteria for Tourette syndrome in ICD-11 require:</w:t>
      </w:r>
    </w:p>
    <w:p w14:paraId="3FA3D4B9" w14:textId="02200B14" w:rsidR="00427F01" w:rsidRPr="00427F01" w:rsidRDefault="00427F01" w:rsidP="00427F01">
      <w:pPr>
        <w:numPr>
          <w:ilvl w:val="0"/>
          <w:numId w:val="1"/>
        </w:numPr>
        <w:spacing w:line="360" w:lineRule="auto"/>
        <w:rPr>
          <w:rFonts w:ascii="Arial" w:hAnsi="Arial" w:cs="Arial"/>
          <w:sz w:val="28"/>
          <w:szCs w:val="28"/>
        </w:rPr>
      </w:pPr>
      <w:r w:rsidRPr="00427F01">
        <w:rPr>
          <w:rFonts w:ascii="Arial" w:hAnsi="Arial" w:cs="Arial"/>
          <w:sz w:val="28"/>
          <w:szCs w:val="28"/>
        </w:rPr>
        <w:t>The presence of multiple motor tics and at least one vocal (phonic) tic at s</w:t>
      </w:r>
      <w:r w:rsidR="00B91405">
        <w:rPr>
          <w:rFonts w:ascii="Arial" w:hAnsi="Arial" w:cs="Arial"/>
          <w:sz w:val="28"/>
          <w:szCs w:val="28"/>
        </w:rPr>
        <w:t>pecific</w:t>
      </w:r>
      <w:r w:rsidRPr="00427F01">
        <w:rPr>
          <w:rFonts w:ascii="Arial" w:hAnsi="Arial" w:cs="Arial"/>
          <w:sz w:val="28"/>
          <w:szCs w:val="28"/>
        </w:rPr>
        <w:t xml:space="preserve"> point during the illness, though not necessarily concurrently</w:t>
      </w:r>
    </w:p>
    <w:p w14:paraId="0B24A4D6" w14:textId="77777777" w:rsidR="00427F01" w:rsidRPr="00427F01" w:rsidRDefault="00427F01" w:rsidP="00427F01">
      <w:pPr>
        <w:numPr>
          <w:ilvl w:val="0"/>
          <w:numId w:val="1"/>
        </w:numPr>
        <w:spacing w:line="360" w:lineRule="auto"/>
        <w:rPr>
          <w:rFonts w:ascii="Arial" w:hAnsi="Arial" w:cs="Arial"/>
          <w:sz w:val="28"/>
          <w:szCs w:val="28"/>
        </w:rPr>
      </w:pPr>
      <w:r w:rsidRPr="00427F01">
        <w:rPr>
          <w:rFonts w:ascii="Arial" w:hAnsi="Arial" w:cs="Arial"/>
          <w:sz w:val="28"/>
          <w:szCs w:val="28"/>
        </w:rPr>
        <w:t>Persistence of symptoms for more than one year</w:t>
      </w:r>
    </w:p>
    <w:p w14:paraId="17D4613D" w14:textId="7C4A7CE2" w:rsidR="00427F01" w:rsidRPr="00427F01" w:rsidRDefault="00427F01" w:rsidP="00427F01">
      <w:pPr>
        <w:numPr>
          <w:ilvl w:val="0"/>
          <w:numId w:val="1"/>
        </w:numPr>
        <w:spacing w:line="360" w:lineRule="auto"/>
        <w:rPr>
          <w:rFonts w:ascii="Arial" w:hAnsi="Arial" w:cs="Arial"/>
          <w:sz w:val="28"/>
          <w:szCs w:val="28"/>
        </w:rPr>
      </w:pPr>
      <w:r w:rsidRPr="00427F01">
        <w:rPr>
          <w:rFonts w:ascii="Arial" w:hAnsi="Arial" w:cs="Arial"/>
          <w:sz w:val="28"/>
          <w:szCs w:val="28"/>
        </w:rPr>
        <w:t xml:space="preserve">Onset before the age of </w:t>
      </w:r>
      <w:r w:rsidR="00B91405" w:rsidRPr="00427F01">
        <w:rPr>
          <w:rFonts w:ascii="Arial" w:hAnsi="Arial" w:cs="Arial"/>
          <w:sz w:val="28"/>
          <w:szCs w:val="28"/>
        </w:rPr>
        <w:t>eighteen</w:t>
      </w:r>
      <w:r w:rsidR="00B91405">
        <w:rPr>
          <w:rFonts w:ascii="Arial" w:hAnsi="Arial" w:cs="Arial"/>
          <w:sz w:val="28"/>
          <w:szCs w:val="28"/>
        </w:rPr>
        <w:t xml:space="preserve"> </w:t>
      </w:r>
    </w:p>
    <w:p w14:paraId="49A31D2D" w14:textId="599E1A81" w:rsidR="00427F01" w:rsidRPr="00427F01" w:rsidRDefault="00427F01" w:rsidP="00427F01">
      <w:pPr>
        <w:numPr>
          <w:ilvl w:val="0"/>
          <w:numId w:val="1"/>
        </w:numPr>
        <w:spacing w:line="360" w:lineRule="auto"/>
        <w:rPr>
          <w:rFonts w:ascii="Arial" w:hAnsi="Arial" w:cs="Arial"/>
          <w:sz w:val="28"/>
          <w:szCs w:val="28"/>
        </w:rPr>
      </w:pPr>
      <w:r w:rsidRPr="00427F01">
        <w:rPr>
          <w:rFonts w:ascii="Arial" w:hAnsi="Arial" w:cs="Arial"/>
          <w:sz w:val="28"/>
          <w:szCs w:val="28"/>
        </w:rPr>
        <w:lastRenderedPageBreak/>
        <w:t xml:space="preserve">Symptoms not attributable to substance use or another medical </w:t>
      </w:r>
      <w:r w:rsidR="00B91405" w:rsidRPr="00427F01">
        <w:rPr>
          <w:rFonts w:ascii="Arial" w:hAnsi="Arial" w:cs="Arial"/>
          <w:sz w:val="28"/>
          <w:szCs w:val="28"/>
        </w:rPr>
        <w:t>condition.</w:t>
      </w:r>
    </w:p>
    <w:p w14:paraId="11A33426"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Diagnosis is primarily clinical and relies on careful observation and patient history. There are no definitive laboratory tests or biomarkers for TS, which means clinicians must differentiate it from other tic disorders, such as persistent motor or vocal tic disorder, and from functional (psychogenic) movement disorders. The waxing and waning nature of tics can complicate diagnosis, as symptoms may not be consistently observable during clinical assessments.</w:t>
      </w:r>
    </w:p>
    <w:p w14:paraId="3D143F64" w14:textId="14C0917D"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In addition, comorbid conditions are highly prevalent in individuals with TS. Attention-deficit/hyperactivity disorder (ADHD) and obsessive-compulsive disorder (OCD) are among the most common, with studies suggesting that </w:t>
      </w:r>
      <w:r w:rsidR="00B91405" w:rsidRPr="00427F01">
        <w:rPr>
          <w:rFonts w:ascii="Arial" w:hAnsi="Arial" w:cs="Arial"/>
          <w:sz w:val="28"/>
          <w:szCs w:val="28"/>
        </w:rPr>
        <w:t>most</w:t>
      </w:r>
      <w:r w:rsidRPr="00427F01">
        <w:rPr>
          <w:rFonts w:ascii="Arial" w:hAnsi="Arial" w:cs="Arial"/>
          <w:sz w:val="28"/>
          <w:szCs w:val="28"/>
        </w:rPr>
        <w:t xml:space="preserve"> individuals with TS experience at least one co-occurring condition. These comorbidities can sometimes be more impairing than the tics themselves and</w:t>
      </w:r>
      <w:r w:rsidR="00B91405">
        <w:rPr>
          <w:rFonts w:ascii="Arial" w:hAnsi="Arial" w:cs="Arial"/>
          <w:sz w:val="28"/>
          <w:szCs w:val="28"/>
        </w:rPr>
        <w:t xml:space="preserve"> it</w:t>
      </w:r>
      <w:r w:rsidRPr="00427F01">
        <w:rPr>
          <w:rFonts w:ascii="Arial" w:hAnsi="Arial" w:cs="Arial"/>
          <w:sz w:val="28"/>
          <w:szCs w:val="28"/>
        </w:rPr>
        <w:t xml:space="preserve"> must be considered during diagnosis and treatment planning.</w:t>
      </w:r>
    </w:p>
    <w:p w14:paraId="4CD0B1E6"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The language used in classification systems such as ICD-11 and DSM-5—particularly the term </w:t>
      </w:r>
      <w:r w:rsidRPr="00427F01">
        <w:rPr>
          <w:rFonts w:ascii="Arial" w:hAnsi="Arial" w:cs="Arial"/>
          <w:i/>
          <w:iCs/>
          <w:sz w:val="28"/>
          <w:szCs w:val="28"/>
        </w:rPr>
        <w:t>disorder</w:t>
      </w:r>
      <w:r w:rsidRPr="00427F01">
        <w:rPr>
          <w:rFonts w:ascii="Arial" w:hAnsi="Arial" w:cs="Arial"/>
          <w:sz w:val="28"/>
          <w:szCs w:val="28"/>
        </w:rPr>
        <w:t>—has generated debate. While it facilitates access to medical services and legitimises the condition within healthcare systems, it may also contribute to stigma by framing TS primarily as a deficit. Alternative perspectives emphasise Tourette syndrome as a form of neurodivergence, highlighting differences in neurological functioning rather than pathology alone.</w:t>
      </w:r>
    </w:p>
    <w:p w14:paraId="7D45A4D6" w14:textId="542AB8BD" w:rsidR="00427F01" w:rsidRPr="00427F01" w:rsidRDefault="00427F01" w:rsidP="00427F01">
      <w:pPr>
        <w:spacing w:line="360" w:lineRule="auto"/>
        <w:rPr>
          <w:rFonts w:ascii="Arial" w:hAnsi="Arial" w:cs="Arial"/>
          <w:sz w:val="28"/>
          <w:szCs w:val="28"/>
          <w:lang w:val="it-IT"/>
        </w:rPr>
      </w:pPr>
    </w:p>
    <w:p w14:paraId="73D18F3D" w14:textId="77777777" w:rsidR="00427F01" w:rsidRPr="00427F01" w:rsidRDefault="00427F01" w:rsidP="00427F01">
      <w:pPr>
        <w:spacing w:line="360" w:lineRule="auto"/>
        <w:rPr>
          <w:rFonts w:ascii="Arial" w:hAnsi="Arial" w:cs="Arial"/>
          <w:b/>
          <w:bCs/>
          <w:sz w:val="28"/>
          <w:szCs w:val="28"/>
        </w:rPr>
      </w:pPr>
      <w:r w:rsidRPr="00427F01">
        <w:rPr>
          <w:rFonts w:ascii="Arial" w:hAnsi="Arial" w:cs="Arial"/>
          <w:b/>
          <w:bCs/>
          <w:sz w:val="28"/>
          <w:szCs w:val="28"/>
        </w:rPr>
        <w:t>Treatment and Rehabilitation</w:t>
      </w:r>
    </w:p>
    <w:p w14:paraId="49710DC5" w14:textId="7AFAF09F"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The management of Tourette syndrome is highly individualised and depends on the severity of symptoms and their impact on daily </w:t>
      </w:r>
      <w:r w:rsidRPr="00427F01">
        <w:rPr>
          <w:rFonts w:ascii="Arial" w:hAnsi="Arial" w:cs="Arial"/>
          <w:sz w:val="28"/>
          <w:szCs w:val="28"/>
        </w:rPr>
        <w:lastRenderedPageBreak/>
        <w:t xml:space="preserve">functioning. In </w:t>
      </w:r>
      <w:r w:rsidR="00B91405">
        <w:rPr>
          <w:rFonts w:ascii="Arial" w:hAnsi="Arial" w:cs="Arial"/>
          <w:sz w:val="28"/>
          <w:szCs w:val="28"/>
        </w:rPr>
        <w:t>specific</w:t>
      </w:r>
      <w:r w:rsidRPr="00427F01">
        <w:rPr>
          <w:rFonts w:ascii="Arial" w:hAnsi="Arial" w:cs="Arial"/>
          <w:sz w:val="28"/>
          <w:szCs w:val="28"/>
        </w:rPr>
        <w:t xml:space="preserve"> cases, especially where tics are mild and not distressing, no formal treatment is required. Instead, psychoeducation and reassurance may be sufficient.</w:t>
      </w:r>
    </w:p>
    <w:p w14:paraId="112A2D17" w14:textId="2AB615BD"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For individuals requiring intervention, behavioural therapies are widely regarded</w:t>
      </w:r>
      <w:r w:rsidR="00B91405">
        <w:rPr>
          <w:rFonts w:ascii="Arial" w:hAnsi="Arial" w:cs="Arial"/>
          <w:sz w:val="28"/>
          <w:szCs w:val="28"/>
        </w:rPr>
        <w:t xml:space="preserve"> (HRT) </w:t>
      </w:r>
      <w:r w:rsidRPr="00427F01">
        <w:rPr>
          <w:rFonts w:ascii="Arial" w:hAnsi="Arial" w:cs="Arial"/>
          <w:sz w:val="28"/>
          <w:szCs w:val="28"/>
        </w:rPr>
        <w:t>as first-line treatments. Habit Reversal Training (HRT) is one of the most established approaches and involves increasing awareness of tics and implementing competing responses to reduce their occurrence. Building on HRT, Comprehensive Behavioural Intervention for Tics (CBIT) incorporates additional components such as functional assessment and relaxation techniques. Evidence suggests that CBIT can significantly reduce tic severity and improve quality of life.</w:t>
      </w:r>
    </w:p>
    <w:p w14:paraId="1A107BC3"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Pharmacological treatments are typically considered when behavioural interventions are insufficient or inaccessible. Medications such as antipsychotics (e.g., risperidone and aripiprazole) are commonly used to manage tics by modulating dopamine pathways. Other medications, including alpha-2 adrenergic agonists like clonidine, may be used, particularly when ADHD symptoms are also present. However, pharmacological treatments are associated with potential side effects, including sedation, weight gain, and metabolic changes, which must be carefully weighed against their benefits.</w:t>
      </w:r>
    </w:p>
    <w:p w14:paraId="0568A85B"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Rehabilitation extends beyond direct symptom management and includes a broader biopsychosocial approach. Psychoeducation is crucial for individuals, families, and educators to foster understanding and reduce stigma. School-based interventions, such as allowing movement breaks or providing exam accommodations, can support academic participation. Family interventions may address stress, coping strategies, and communication patterns.</w:t>
      </w:r>
    </w:p>
    <w:p w14:paraId="1B0F6D99"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lastRenderedPageBreak/>
        <w:t>Support from organisations and community services also plays a significant role in rehabilitation. These services often provide resources, advocacy, and peer support, which can enhance social inclusion and well-being. Multidisciplinary care involving psychologists, psychiatrists, neurologists, and educators is often beneficial in addressing the diverse needs of individuals with TS.</w:t>
      </w:r>
    </w:p>
    <w:p w14:paraId="39EC4573" w14:textId="582D8555"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Despite these available interventions, </w:t>
      </w:r>
      <w:r w:rsidR="00AA4375">
        <w:rPr>
          <w:rFonts w:ascii="Arial" w:hAnsi="Arial" w:cs="Arial"/>
          <w:sz w:val="28"/>
          <w:szCs w:val="28"/>
        </w:rPr>
        <w:t>a vast number</w:t>
      </w:r>
      <w:r w:rsidR="00B91405">
        <w:rPr>
          <w:rFonts w:ascii="Arial" w:hAnsi="Arial" w:cs="Arial"/>
          <w:sz w:val="28"/>
          <w:szCs w:val="28"/>
        </w:rPr>
        <w:t xml:space="preserve"> of</w:t>
      </w:r>
      <w:r w:rsidRPr="00427F01">
        <w:rPr>
          <w:rFonts w:ascii="Arial" w:hAnsi="Arial" w:cs="Arial"/>
          <w:sz w:val="28"/>
          <w:szCs w:val="28"/>
        </w:rPr>
        <w:t xml:space="preserve"> limitations persist. Access to specialised behavioural therapies such as CBIT may be limited due to a shortage of trained professionals. Waiting times within public health systems can delay treatment, and disparities in service provision may affect outcomes. Furthermore, not all individuals respond equally to treatment, highlighting the need for ongoing research into more effective and personalised approaches.</w:t>
      </w:r>
    </w:p>
    <w:p w14:paraId="38310F77" w14:textId="2533ED7E" w:rsidR="00427F01" w:rsidRPr="00427F01" w:rsidRDefault="00427F01" w:rsidP="00427F01">
      <w:pPr>
        <w:spacing w:line="360" w:lineRule="auto"/>
        <w:rPr>
          <w:rFonts w:ascii="Arial" w:hAnsi="Arial" w:cs="Arial"/>
          <w:sz w:val="28"/>
          <w:szCs w:val="28"/>
          <w:lang w:val="it-IT"/>
        </w:rPr>
      </w:pPr>
    </w:p>
    <w:p w14:paraId="4D2B1508" w14:textId="77777777" w:rsidR="00427F01" w:rsidRPr="00427F01" w:rsidRDefault="00427F01" w:rsidP="00427F01">
      <w:pPr>
        <w:spacing w:line="360" w:lineRule="auto"/>
        <w:rPr>
          <w:rFonts w:ascii="Arial" w:hAnsi="Arial" w:cs="Arial"/>
          <w:b/>
          <w:bCs/>
          <w:sz w:val="28"/>
          <w:szCs w:val="28"/>
        </w:rPr>
      </w:pPr>
      <w:r w:rsidRPr="00427F01">
        <w:rPr>
          <w:rFonts w:ascii="Arial" w:hAnsi="Arial" w:cs="Arial"/>
          <w:b/>
          <w:bCs/>
          <w:sz w:val="28"/>
          <w:szCs w:val="28"/>
        </w:rPr>
        <w:t>Current Debates and Emerging Issues</w:t>
      </w:r>
    </w:p>
    <w:p w14:paraId="08D2B4B8" w14:textId="08A018DB"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Tourette syndrome is at the centre of </w:t>
      </w:r>
      <w:r w:rsidR="00B91405">
        <w:rPr>
          <w:rFonts w:ascii="Arial" w:hAnsi="Arial" w:cs="Arial"/>
          <w:sz w:val="28"/>
          <w:szCs w:val="28"/>
        </w:rPr>
        <w:t xml:space="preserve">many </w:t>
      </w:r>
      <w:r w:rsidRPr="00427F01">
        <w:rPr>
          <w:rFonts w:ascii="Arial" w:hAnsi="Arial" w:cs="Arial"/>
          <w:sz w:val="28"/>
          <w:szCs w:val="28"/>
        </w:rPr>
        <w:t>ongoing debates within clinical practice, research, and society. One of the most prominent discussions concerns its classification as a disorder versus its conceptualisation within a neurodiversity framework. Advocates of neurodiversity argue that TS should be understood as a natural variation in human neurology rather than solely as a pathological condition. This perspective emphasises strengths, identity, and acceptance, challenging deficit-based models.</w:t>
      </w:r>
    </w:p>
    <w:p w14:paraId="166B9E09"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However, critics of this approach argue that the neurodiversity framework may underplay the significant impairments experienced by some individuals with severe TS. For these individuals, tics can be physically painful, socially isolating, and functionally disabling. Therefore, </w:t>
      </w:r>
      <w:r w:rsidRPr="00427F01">
        <w:rPr>
          <w:rFonts w:ascii="Arial" w:hAnsi="Arial" w:cs="Arial"/>
          <w:sz w:val="28"/>
          <w:szCs w:val="28"/>
        </w:rPr>
        <w:lastRenderedPageBreak/>
        <w:t>a balanced approach that acknowledges both challenges and differences is necessary.</w:t>
      </w:r>
    </w:p>
    <w:p w14:paraId="399A72AC" w14:textId="1F6F6FBA"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Another key issue is stigma and public misunderstanding. Tourette syndrome is </w:t>
      </w:r>
      <w:r w:rsidR="00AA4375">
        <w:rPr>
          <w:rFonts w:ascii="Arial" w:hAnsi="Arial" w:cs="Arial"/>
          <w:sz w:val="28"/>
          <w:szCs w:val="28"/>
        </w:rPr>
        <w:t>often stereotyped</w:t>
      </w:r>
      <w:r w:rsidRPr="00427F01">
        <w:rPr>
          <w:rFonts w:ascii="Arial" w:hAnsi="Arial" w:cs="Arial"/>
          <w:sz w:val="28"/>
          <w:szCs w:val="28"/>
        </w:rPr>
        <w:t xml:space="preserve"> as being synonymous with coprolalia, the involuntary utterance of socially inappropriate or obscene words. </w:t>
      </w:r>
      <w:r w:rsidR="00B91405" w:rsidRPr="00427F01">
        <w:rPr>
          <w:rFonts w:ascii="Arial" w:hAnsi="Arial" w:cs="Arial"/>
          <w:sz w:val="28"/>
          <w:szCs w:val="28"/>
        </w:rPr>
        <w:t>Coprolalia</w:t>
      </w:r>
      <w:r w:rsidRPr="00427F01">
        <w:rPr>
          <w:rFonts w:ascii="Arial" w:hAnsi="Arial" w:cs="Arial"/>
          <w:sz w:val="28"/>
          <w:szCs w:val="28"/>
        </w:rPr>
        <w:t xml:space="preserve"> occurs in a minority of cases. Media portrayals have contributed to this misconception, which can lead to social exclusion and discrimination.</w:t>
      </w:r>
    </w:p>
    <w:p w14:paraId="752DFB2F" w14:textId="4514963D"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The film </w:t>
      </w:r>
      <w:r w:rsidRPr="00427F01">
        <w:rPr>
          <w:rFonts w:ascii="Arial" w:hAnsi="Arial" w:cs="Arial"/>
          <w:i/>
          <w:iCs/>
          <w:sz w:val="28"/>
          <w:szCs w:val="28"/>
        </w:rPr>
        <w:t>Swear</w:t>
      </w:r>
      <w:r w:rsidRPr="00427F01">
        <w:rPr>
          <w:rFonts w:ascii="Arial" w:hAnsi="Arial" w:cs="Arial"/>
          <w:sz w:val="28"/>
          <w:szCs w:val="28"/>
        </w:rPr>
        <w:t xml:space="preserve"> provides an example of how media can both challenge and reinforce stereotypes. </w:t>
      </w:r>
      <w:r w:rsidR="00B91405">
        <w:rPr>
          <w:rFonts w:ascii="Arial" w:hAnsi="Arial" w:cs="Arial"/>
          <w:sz w:val="28"/>
          <w:szCs w:val="28"/>
        </w:rPr>
        <w:t>Depicting</w:t>
      </w:r>
      <w:r w:rsidRPr="00427F01">
        <w:rPr>
          <w:rFonts w:ascii="Arial" w:hAnsi="Arial" w:cs="Arial"/>
          <w:sz w:val="28"/>
          <w:szCs w:val="28"/>
        </w:rPr>
        <w:t xml:space="preserve"> the lived experiences of individuals with Tourette syndrome, it raises awareness and promotes empathy. However, its focus on more visible and socially disruptive symptoms may inadvertently reinforce narrow perceptions of the condition.</w:t>
      </w:r>
    </w:p>
    <w:p w14:paraId="000A3DF4"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Comorbidity presents another area of complexity and debate. The high prevalence of ADHD, OCD, anxiety, and depression in individuals with TS raises questions about whether these conditions share underlying mechanisms or represent distinct but overlapping disorders. This has implications for classification systems and treatment strategies, as integrated approaches may be required.</w:t>
      </w:r>
    </w:p>
    <w:p w14:paraId="23F76121"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There is also increasing interest in the role of environmental and psychosocial factors in the expression of tics. Stress, fatigue, and social context can influence tic severity, suggesting that TS cannot be fully understood through a purely biological lens. This has led to calls for more holistic models that integrate biological, psychological, and social perspectives.</w:t>
      </w:r>
    </w:p>
    <w:p w14:paraId="6455FE43"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Emerging research into neurobiology and genetics continues to shape understanding of TS. Advances in neuroimaging and molecular genetics </w:t>
      </w:r>
      <w:r w:rsidRPr="00427F01">
        <w:rPr>
          <w:rFonts w:ascii="Arial" w:hAnsi="Arial" w:cs="Arial"/>
          <w:sz w:val="28"/>
          <w:szCs w:val="28"/>
        </w:rPr>
        <w:lastRenderedPageBreak/>
        <w:t>have identified potential pathways involved in tic generation, although findings remain inconclusive. These developments may eventually inform more targeted treatments, including neuromodulation techniques such as deep brain stimulation for severe, treatment-resistant cases.</w:t>
      </w:r>
    </w:p>
    <w:p w14:paraId="52083E8F"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Ethical considerations also arise in relation to treatment, particularly in children. Decisions about medication use must balance potential benefits against risks, and the child's autonomy and quality of life should be central to decision-making. Additionally, the increasing visibility of TS on social media platforms has sparked debate about the potential for symptom modelling or misrepresentation, further complicating public understanding.</w:t>
      </w:r>
    </w:p>
    <w:p w14:paraId="2154D535" w14:textId="77B99271" w:rsidR="00427F01" w:rsidRPr="00427F01" w:rsidRDefault="00427F01" w:rsidP="00427F01">
      <w:pPr>
        <w:spacing w:line="360" w:lineRule="auto"/>
        <w:rPr>
          <w:rFonts w:ascii="Arial" w:hAnsi="Arial" w:cs="Arial"/>
          <w:sz w:val="28"/>
          <w:szCs w:val="28"/>
          <w:lang w:val="it-IT"/>
        </w:rPr>
      </w:pPr>
    </w:p>
    <w:p w14:paraId="4E842340" w14:textId="77777777" w:rsidR="00427F01" w:rsidRPr="00427F01" w:rsidRDefault="00427F01" w:rsidP="00427F01">
      <w:pPr>
        <w:spacing w:line="360" w:lineRule="auto"/>
        <w:rPr>
          <w:rFonts w:ascii="Arial" w:hAnsi="Arial" w:cs="Arial"/>
          <w:b/>
          <w:bCs/>
          <w:sz w:val="28"/>
          <w:szCs w:val="28"/>
        </w:rPr>
      </w:pPr>
      <w:r w:rsidRPr="00427F01">
        <w:rPr>
          <w:rFonts w:ascii="Arial" w:hAnsi="Arial" w:cs="Arial"/>
          <w:b/>
          <w:bCs/>
          <w:sz w:val="28"/>
          <w:szCs w:val="28"/>
        </w:rPr>
        <w:t>Recommendations</w:t>
      </w:r>
    </w:p>
    <w:p w14:paraId="3E4935A7" w14:textId="2074A97F" w:rsidR="00427F01" w:rsidRPr="00427F01" w:rsidRDefault="00B91405" w:rsidP="00427F01">
      <w:pPr>
        <w:spacing w:line="360" w:lineRule="auto"/>
        <w:rPr>
          <w:rFonts w:ascii="Arial" w:hAnsi="Arial" w:cs="Arial"/>
          <w:sz w:val="28"/>
          <w:szCs w:val="28"/>
        </w:rPr>
      </w:pPr>
      <w:r w:rsidRPr="00427F01">
        <w:rPr>
          <w:rFonts w:ascii="Arial" w:hAnsi="Arial" w:cs="Arial"/>
          <w:sz w:val="28"/>
          <w:szCs w:val="28"/>
        </w:rPr>
        <w:t>Considering</w:t>
      </w:r>
      <w:r w:rsidR="00427F01" w:rsidRPr="00427F01">
        <w:rPr>
          <w:rFonts w:ascii="Arial" w:hAnsi="Arial" w:cs="Arial"/>
          <w:sz w:val="28"/>
          <w:szCs w:val="28"/>
        </w:rPr>
        <w:t xml:space="preserve"> the issues discussed, several recommendations can be made to improve the classification, diagnosis, treatment, and rehabilitation of Tourette syndrome.</w:t>
      </w:r>
    </w:p>
    <w:p w14:paraId="199C149F"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First, classification systems such as ICD-11 should incorporate more nuanced language that acknowledges both impairment and neurodiversity. While maintaining clinical utility, this approach could reduce stigma and promote a more balanced understanding of TS.</w:t>
      </w:r>
    </w:p>
    <w:p w14:paraId="13CFE025"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Second, access to evidence-based behavioural therapies such as CBIT should be expanded. This may involve increased funding, training of healthcare professionals, and the development of digital or remote interventions to reach underserved populations.</w:t>
      </w:r>
    </w:p>
    <w:p w14:paraId="28D6B0C0"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Third, early identification and intervention should be prioritised. Training for primary care providers, teachers, and other frontline professionals </w:t>
      </w:r>
      <w:r w:rsidRPr="00427F01">
        <w:rPr>
          <w:rFonts w:ascii="Arial" w:hAnsi="Arial" w:cs="Arial"/>
          <w:sz w:val="28"/>
          <w:szCs w:val="28"/>
        </w:rPr>
        <w:lastRenderedPageBreak/>
        <w:t>can improve recognition of TS and facilitate timely referral to appropriate services.</w:t>
      </w:r>
    </w:p>
    <w:p w14:paraId="4F479043"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Fourth, public education campaigns are essential to address misconceptions and reduce stigma. These campaigns should emphasise the diversity of experiences associated with TS and challenge stereotypes related to coprolalia.</w:t>
      </w:r>
    </w:p>
    <w:p w14:paraId="0776445E"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Fifth, research funding should be increased to support studies into the underlying mechanisms of TS, as well as the development of more effective and personalised treatments. Longitudinal studies are particularly important in understanding the developmental trajectory of the condition.</w:t>
      </w:r>
    </w:p>
    <w:p w14:paraId="5F297E72"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Sixth, a multidisciplinary and person-centred approach to care should be promoted. This includes integrating medical, psychological, educational, and social support to address the complex needs of individuals with TS.</w:t>
      </w:r>
    </w:p>
    <w:p w14:paraId="55E4D360"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Finally, policy initiatives should ensure equitable access to services and support, regardless of geographic location or socioeconomic status. Collaboration between healthcare providers, educational institutions, and community organisations is crucial in achieving this goal.</w:t>
      </w:r>
    </w:p>
    <w:p w14:paraId="468DDC4C" w14:textId="36084E88" w:rsidR="00427F01" w:rsidRPr="00427F01" w:rsidRDefault="00427F01" w:rsidP="00427F01">
      <w:pPr>
        <w:spacing w:line="360" w:lineRule="auto"/>
        <w:rPr>
          <w:rFonts w:ascii="Arial" w:hAnsi="Arial" w:cs="Arial"/>
          <w:sz w:val="28"/>
          <w:szCs w:val="28"/>
          <w:lang w:val="it-IT"/>
        </w:rPr>
      </w:pPr>
    </w:p>
    <w:p w14:paraId="4B4921F5" w14:textId="77777777" w:rsidR="00427F01" w:rsidRPr="00427F01" w:rsidRDefault="00427F01" w:rsidP="00427F01">
      <w:pPr>
        <w:spacing w:line="360" w:lineRule="auto"/>
        <w:rPr>
          <w:rFonts w:ascii="Arial" w:hAnsi="Arial" w:cs="Arial"/>
          <w:b/>
          <w:bCs/>
          <w:sz w:val="28"/>
          <w:szCs w:val="28"/>
        </w:rPr>
      </w:pPr>
      <w:r w:rsidRPr="00427F01">
        <w:rPr>
          <w:rFonts w:ascii="Arial" w:hAnsi="Arial" w:cs="Arial"/>
          <w:b/>
          <w:bCs/>
          <w:sz w:val="28"/>
          <w:szCs w:val="28"/>
        </w:rPr>
        <w:t>Conclusion</w:t>
      </w:r>
    </w:p>
    <w:p w14:paraId="4FA87F62" w14:textId="63C73F49"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Tourette syndrome is a multifaceted neurodevelopmental condition that presents significant challenges for classification, diagnosis, and treatment. While ICD-11 provides a structured framework, it reflects a </w:t>
      </w:r>
      <w:r w:rsidR="00B91405" w:rsidRPr="00427F01">
        <w:rPr>
          <w:rFonts w:ascii="Arial" w:hAnsi="Arial" w:cs="Arial"/>
          <w:sz w:val="28"/>
          <w:szCs w:val="28"/>
        </w:rPr>
        <w:t>biomedical</w:t>
      </w:r>
      <w:r w:rsidRPr="00427F01">
        <w:rPr>
          <w:rFonts w:ascii="Arial" w:hAnsi="Arial" w:cs="Arial"/>
          <w:sz w:val="28"/>
          <w:szCs w:val="28"/>
        </w:rPr>
        <w:t xml:space="preserve"> perspective that may not fully capture the lived experiences of individuals with TS. The condition is characterised by considerable </w:t>
      </w:r>
      <w:r w:rsidRPr="00427F01">
        <w:rPr>
          <w:rFonts w:ascii="Arial" w:hAnsi="Arial" w:cs="Arial"/>
          <w:sz w:val="28"/>
          <w:szCs w:val="28"/>
        </w:rPr>
        <w:lastRenderedPageBreak/>
        <w:t>variability, with symptoms ranging from mild to severe and often accompanied by comorbid conditions.</w:t>
      </w:r>
    </w:p>
    <w:p w14:paraId="0E2BA21B"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Current treatment approaches, including behavioural therapies and pharmacological interventions, can be effective but are not without limitations. Access to care remains uneven, and there is a need for more comprehensive and individualised approaches. Ongoing debates surrounding neurodiversity, stigma, and media representation highlight the importance of adopting a balanced and inclusive perspective.</w:t>
      </w:r>
    </w:p>
    <w:p w14:paraId="3AF68E92"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Future developments should focus on improving access to evidence-based treatments, enhancing public understanding, and advancing research into the underlying mechanisms of TS. By integrating clinical expertise with the perspectives of individuals with lived experience, it is possible to develop more effective and compassionate approaches to care.</w:t>
      </w:r>
    </w:p>
    <w:p w14:paraId="1FC849B0" w14:textId="046F1F16" w:rsidR="00427F01" w:rsidRPr="00427F01" w:rsidRDefault="00427F01" w:rsidP="00427F01">
      <w:pPr>
        <w:spacing w:line="360" w:lineRule="auto"/>
        <w:rPr>
          <w:rFonts w:ascii="Arial" w:hAnsi="Arial" w:cs="Arial"/>
          <w:sz w:val="28"/>
          <w:szCs w:val="28"/>
          <w:lang w:val="it-IT"/>
        </w:rPr>
      </w:pPr>
    </w:p>
    <w:p w14:paraId="61BFA5D3" w14:textId="77777777" w:rsidR="00427F01" w:rsidRDefault="00427F01" w:rsidP="00427F01">
      <w:pPr>
        <w:spacing w:line="360" w:lineRule="auto"/>
        <w:rPr>
          <w:rFonts w:ascii="Arial" w:hAnsi="Arial" w:cs="Arial"/>
          <w:b/>
          <w:bCs/>
          <w:sz w:val="28"/>
          <w:szCs w:val="28"/>
          <w:lang w:val="it-IT"/>
        </w:rPr>
      </w:pPr>
      <w:r w:rsidRPr="00427F01">
        <w:rPr>
          <w:rFonts w:ascii="Arial" w:hAnsi="Arial" w:cs="Arial"/>
          <w:b/>
          <w:bCs/>
          <w:sz w:val="28"/>
          <w:szCs w:val="28"/>
          <w:lang w:val="it-IT"/>
        </w:rPr>
        <w:t>References</w:t>
      </w:r>
    </w:p>
    <w:p w14:paraId="178961F2"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American Psychiatric Association (2013) </w:t>
      </w:r>
      <w:r w:rsidRPr="00427F01">
        <w:rPr>
          <w:rFonts w:ascii="Arial" w:hAnsi="Arial" w:cs="Arial"/>
          <w:i/>
          <w:iCs/>
          <w:sz w:val="28"/>
          <w:szCs w:val="28"/>
        </w:rPr>
        <w:t>Diagnostic and Statistical Manual of Mental Disorders (DSM-5).</w:t>
      </w:r>
      <w:r w:rsidRPr="00427F01">
        <w:rPr>
          <w:rFonts w:ascii="Arial" w:hAnsi="Arial" w:cs="Arial"/>
          <w:sz w:val="28"/>
          <w:szCs w:val="28"/>
        </w:rPr>
        <w:t xml:space="preserve"> Washington, DC: APA.</w:t>
      </w:r>
    </w:p>
    <w:p w14:paraId="0C7F3751"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Cavanna, A.E. and Seri, S. (2013) ‘Tourette’s syndrome’, </w:t>
      </w:r>
      <w:r w:rsidRPr="00427F01">
        <w:rPr>
          <w:rFonts w:ascii="Arial" w:hAnsi="Arial" w:cs="Arial"/>
          <w:i/>
          <w:iCs/>
          <w:sz w:val="28"/>
          <w:szCs w:val="28"/>
        </w:rPr>
        <w:t>The Lancet</w:t>
      </w:r>
      <w:r w:rsidRPr="00427F01">
        <w:rPr>
          <w:rFonts w:ascii="Arial" w:hAnsi="Arial" w:cs="Arial"/>
          <w:sz w:val="28"/>
          <w:szCs w:val="28"/>
        </w:rPr>
        <w:t>, 381(9861), pp. 153–163.</w:t>
      </w:r>
    </w:p>
    <w:p w14:paraId="0779CCF6"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Children and Family Health (2021) </w:t>
      </w:r>
      <w:r w:rsidRPr="00427F01">
        <w:rPr>
          <w:rFonts w:ascii="Arial" w:hAnsi="Arial" w:cs="Arial"/>
          <w:i/>
          <w:iCs/>
          <w:sz w:val="28"/>
          <w:szCs w:val="28"/>
        </w:rPr>
        <w:t>Tourette syndrome in children.</w:t>
      </w:r>
      <w:r w:rsidRPr="00427F01">
        <w:rPr>
          <w:rFonts w:ascii="Arial" w:hAnsi="Arial" w:cs="Arial"/>
          <w:sz w:val="28"/>
          <w:szCs w:val="28"/>
        </w:rPr>
        <w:t xml:space="preserve"> Available at: </w:t>
      </w:r>
      <w:hyperlink r:id="rId8" w:tgtFrame="_new" w:history="1">
        <w:r w:rsidRPr="00427F01">
          <w:rPr>
            <w:rStyle w:val="Hyperlink"/>
            <w:rFonts w:ascii="Arial" w:hAnsi="Arial" w:cs="Arial"/>
            <w:sz w:val="28"/>
            <w:szCs w:val="28"/>
          </w:rPr>
          <w:t>https://www.schn.health.nsw.gov.au</w:t>
        </w:r>
      </w:hyperlink>
      <w:r w:rsidRPr="00427F01">
        <w:rPr>
          <w:rFonts w:ascii="Arial" w:hAnsi="Arial" w:cs="Arial"/>
          <w:sz w:val="28"/>
          <w:szCs w:val="28"/>
        </w:rPr>
        <w:t xml:space="preserve"> (Accessed: 17 March 2026).</w:t>
      </w:r>
    </w:p>
    <w:p w14:paraId="66B8A520"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National Institute of Neurological Disorders and Stroke (NINDS) (2022) </w:t>
      </w:r>
      <w:r w:rsidRPr="00427F01">
        <w:rPr>
          <w:rFonts w:ascii="Arial" w:hAnsi="Arial" w:cs="Arial"/>
          <w:i/>
          <w:iCs/>
          <w:sz w:val="28"/>
          <w:szCs w:val="28"/>
        </w:rPr>
        <w:t>Tourette Syndrome Information Page.</w:t>
      </w:r>
      <w:r w:rsidRPr="00427F01">
        <w:rPr>
          <w:rFonts w:ascii="Arial" w:hAnsi="Arial" w:cs="Arial"/>
          <w:sz w:val="28"/>
          <w:szCs w:val="28"/>
        </w:rPr>
        <w:t xml:space="preserve"> Available at: </w:t>
      </w:r>
      <w:hyperlink r:id="rId9" w:tgtFrame="_new" w:history="1">
        <w:r w:rsidRPr="00427F01">
          <w:rPr>
            <w:rStyle w:val="Hyperlink"/>
            <w:rFonts w:ascii="Arial" w:hAnsi="Arial" w:cs="Arial"/>
            <w:sz w:val="28"/>
            <w:szCs w:val="28"/>
          </w:rPr>
          <w:t>https://www.ninds.nih.gov</w:t>
        </w:r>
      </w:hyperlink>
      <w:r w:rsidRPr="00427F01">
        <w:rPr>
          <w:rFonts w:ascii="Arial" w:hAnsi="Arial" w:cs="Arial"/>
          <w:sz w:val="28"/>
          <w:szCs w:val="28"/>
        </w:rPr>
        <w:t xml:space="preserve"> (Accessed: 17 March 2026).</w:t>
      </w:r>
    </w:p>
    <w:p w14:paraId="54A39976"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lastRenderedPageBreak/>
        <w:t xml:space="preserve">NHS (2023) </w:t>
      </w:r>
      <w:r w:rsidRPr="00427F01">
        <w:rPr>
          <w:rFonts w:ascii="Arial" w:hAnsi="Arial" w:cs="Arial"/>
          <w:i/>
          <w:iCs/>
          <w:sz w:val="28"/>
          <w:szCs w:val="28"/>
        </w:rPr>
        <w:t>Tourette’s syndrome.</w:t>
      </w:r>
      <w:r w:rsidRPr="00427F01">
        <w:rPr>
          <w:rFonts w:ascii="Arial" w:hAnsi="Arial" w:cs="Arial"/>
          <w:sz w:val="28"/>
          <w:szCs w:val="28"/>
        </w:rPr>
        <w:t xml:space="preserve"> Available at: </w:t>
      </w:r>
      <w:hyperlink r:id="rId10" w:tgtFrame="_new" w:history="1">
        <w:r w:rsidRPr="00427F01">
          <w:rPr>
            <w:rStyle w:val="Hyperlink"/>
            <w:rFonts w:ascii="Arial" w:hAnsi="Arial" w:cs="Arial"/>
            <w:sz w:val="28"/>
            <w:szCs w:val="28"/>
          </w:rPr>
          <w:t>https://www.nhs.uk</w:t>
        </w:r>
      </w:hyperlink>
      <w:r w:rsidRPr="00427F01">
        <w:rPr>
          <w:rFonts w:ascii="Arial" w:hAnsi="Arial" w:cs="Arial"/>
          <w:sz w:val="28"/>
          <w:szCs w:val="28"/>
        </w:rPr>
        <w:t xml:space="preserve"> (Accessed: 17 March 2026).</w:t>
      </w:r>
    </w:p>
    <w:p w14:paraId="23431FBB"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Patient.info (2023) </w:t>
      </w:r>
      <w:r w:rsidRPr="00427F01">
        <w:rPr>
          <w:rFonts w:ascii="Arial" w:hAnsi="Arial" w:cs="Arial"/>
          <w:i/>
          <w:iCs/>
          <w:sz w:val="28"/>
          <w:szCs w:val="28"/>
        </w:rPr>
        <w:t>Tourette’s Syndrome.</w:t>
      </w:r>
      <w:r w:rsidRPr="00427F01">
        <w:rPr>
          <w:rFonts w:ascii="Arial" w:hAnsi="Arial" w:cs="Arial"/>
          <w:sz w:val="28"/>
          <w:szCs w:val="28"/>
        </w:rPr>
        <w:t xml:space="preserve"> Available at: </w:t>
      </w:r>
      <w:hyperlink r:id="rId11" w:tgtFrame="_new" w:history="1">
        <w:r w:rsidRPr="00427F01">
          <w:rPr>
            <w:rStyle w:val="Hyperlink"/>
            <w:rFonts w:ascii="Arial" w:hAnsi="Arial" w:cs="Arial"/>
            <w:sz w:val="28"/>
            <w:szCs w:val="28"/>
          </w:rPr>
          <w:t>https://patient.info</w:t>
        </w:r>
      </w:hyperlink>
      <w:r w:rsidRPr="00427F01">
        <w:rPr>
          <w:rFonts w:ascii="Arial" w:hAnsi="Arial" w:cs="Arial"/>
          <w:sz w:val="28"/>
          <w:szCs w:val="28"/>
        </w:rPr>
        <w:t xml:space="preserve"> (Accessed: 17 March 2026).</w:t>
      </w:r>
    </w:p>
    <w:p w14:paraId="612516EF"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Robertson, M. (2015) ‘Tourette syndrome: clinical features and treatment’, </w:t>
      </w:r>
      <w:r w:rsidRPr="00427F01">
        <w:rPr>
          <w:rFonts w:ascii="Arial" w:hAnsi="Arial" w:cs="Arial"/>
          <w:i/>
          <w:iCs/>
          <w:sz w:val="28"/>
          <w:szCs w:val="28"/>
        </w:rPr>
        <w:t>Journal of Neurology, Neurosurgery &amp; Psychiatry</w:t>
      </w:r>
      <w:r w:rsidRPr="00427F01">
        <w:rPr>
          <w:rFonts w:ascii="Arial" w:hAnsi="Arial" w:cs="Arial"/>
          <w:sz w:val="28"/>
          <w:szCs w:val="28"/>
        </w:rPr>
        <w:t>, 86(6), pp. 621–628.</w:t>
      </w:r>
    </w:p>
    <w:p w14:paraId="66EDAC08" w14:textId="77777777" w:rsidR="00427F01" w:rsidRPr="00427F01" w:rsidRDefault="00427F01" w:rsidP="00427F01">
      <w:pPr>
        <w:spacing w:line="360" w:lineRule="auto"/>
        <w:rPr>
          <w:rFonts w:ascii="Arial" w:hAnsi="Arial" w:cs="Arial"/>
          <w:sz w:val="28"/>
          <w:szCs w:val="28"/>
        </w:rPr>
      </w:pPr>
      <w:r w:rsidRPr="00427F01">
        <w:rPr>
          <w:rFonts w:ascii="Arial" w:hAnsi="Arial" w:cs="Arial"/>
          <w:sz w:val="28"/>
          <w:szCs w:val="28"/>
        </w:rPr>
        <w:t xml:space="preserve">Tourettes Action (2022) </w:t>
      </w:r>
      <w:r w:rsidRPr="00427F01">
        <w:rPr>
          <w:rFonts w:ascii="Arial" w:hAnsi="Arial" w:cs="Arial"/>
          <w:i/>
          <w:iCs/>
          <w:sz w:val="28"/>
          <w:szCs w:val="28"/>
        </w:rPr>
        <w:t>About Tourette syndrome.</w:t>
      </w:r>
      <w:r w:rsidRPr="00427F01">
        <w:rPr>
          <w:rFonts w:ascii="Arial" w:hAnsi="Arial" w:cs="Arial"/>
          <w:sz w:val="28"/>
          <w:szCs w:val="28"/>
        </w:rPr>
        <w:t xml:space="preserve"> Available at: </w:t>
      </w:r>
      <w:hyperlink r:id="rId12" w:tgtFrame="_new" w:history="1">
        <w:r w:rsidRPr="00427F01">
          <w:rPr>
            <w:rStyle w:val="Hyperlink"/>
            <w:rFonts w:ascii="Arial" w:hAnsi="Arial" w:cs="Arial"/>
            <w:sz w:val="28"/>
            <w:szCs w:val="28"/>
          </w:rPr>
          <w:t>https://www.tourettes-action.org.uk</w:t>
        </w:r>
      </w:hyperlink>
      <w:r w:rsidRPr="00427F01">
        <w:rPr>
          <w:rFonts w:ascii="Arial" w:hAnsi="Arial" w:cs="Arial"/>
          <w:sz w:val="28"/>
          <w:szCs w:val="28"/>
        </w:rPr>
        <w:t xml:space="preserve"> (Accessed: 17 March 2026).</w:t>
      </w:r>
    </w:p>
    <w:p w14:paraId="46EDAD9C" w14:textId="77777777" w:rsidR="00427F01" w:rsidRPr="00427F01" w:rsidRDefault="00427F01" w:rsidP="00427F01">
      <w:pPr>
        <w:spacing w:line="360" w:lineRule="auto"/>
        <w:rPr>
          <w:rFonts w:ascii="Arial" w:hAnsi="Arial" w:cs="Arial"/>
          <w:sz w:val="28"/>
          <w:szCs w:val="28"/>
          <w:lang w:val="it-IT"/>
        </w:rPr>
      </w:pPr>
      <w:r w:rsidRPr="00427F01">
        <w:rPr>
          <w:rFonts w:ascii="Arial" w:hAnsi="Arial" w:cs="Arial"/>
          <w:sz w:val="28"/>
          <w:szCs w:val="28"/>
        </w:rPr>
        <w:t xml:space="preserve">World Health Organization (2019) </w:t>
      </w:r>
      <w:r w:rsidRPr="00427F01">
        <w:rPr>
          <w:rFonts w:ascii="Arial" w:hAnsi="Arial" w:cs="Arial"/>
          <w:i/>
          <w:iCs/>
          <w:sz w:val="28"/>
          <w:szCs w:val="28"/>
        </w:rPr>
        <w:t>International Classification of Diseases (ICD-11).</w:t>
      </w:r>
      <w:r w:rsidRPr="00427F01">
        <w:rPr>
          <w:rFonts w:ascii="Arial" w:hAnsi="Arial" w:cs="Arial"/>
          <w:sz w:val="28"/>
          <w:szCs w:val="28"/>
        </w:rPr>
        <w:t xml:space="preserve"> </w:t>
      </w:r>
      <w:r w:rsidRPr="00427F01">
        <w:rPr>
          <w:rFonts w:ascii="Arial" w:hAnsi="Arial" w:cs="Arial"/>
          <w:sz w:val="28"/>
          <w:szCs w:val="28"/>
          <w:lang w:val="it-IT"/>
        </w:rPr>
        <w:t xml:space="preserve">Available at: </w:t>
      </w:r>
      <w:hyperlink r:id="rId13" w:tgtFrame="_new" w:history="1">
        <w:r w:rsidRPr="00427F01">
          <w:rPr>
            <w:rStyle w:val="Hyperlink"/>
            <w:rFonts w:ascii="Arial" w:hAnsi="Arial" w:cs="Arial"/>
            <w:sz w:val="28"/>
            <w:szCs w:val="28"/>
            <w:lang w:val="it-IT"/>
          </w:rPr>
          <w:t>https://icd.who.int</w:t>
        </w:r>
      </w:hyperlink>
      <w:r w:rsidRPr="00427F01">
        <w:rPr>
          <w:rFonts w:ascii="Arial" w:hAnsi="Arial" w:cs="Arial"/>
          <w:sz w:val="28"/>
          <w:szCs w:val="28"/>
          <w:lang w:val="it-IT"/>
        </w:rPr>
        <w:t xml:space="preserve"> (Accessed: 17 March 2026).</w:t>
      </w:r>
    </w:p>
    <w:p w14:paraId="272A196F" w14:textId="3C8CE662" w:rsidR="00427F01" w:rsidRPr="00427F01" w:rsidRDefault="00427F01" w:rsidP="00427F01">
      <w:pPr>
        <w:spacing w:line="360" w:lineRule="auto"/>
        <w:rPr>
          <w:rFonts w:ascii="Arial" w:hAnsi="Arial" w:cs="Arial"/>
          <w:sz w:val="28"/>
          <w:szCs w:val="28"/>
        </w:rPr>
      </w:pPr>
      <w:r w:rsidRPr="00427F01">
        <w:rPr>
          <w:rFonts w:ascii="Arial" w:hAnsi="Arial" w:cs="Arial"/>
          <w:i/>
          <w:iCs/>
          <w:sz w:val="28"/>
          <w:szCs w:val="28"/>
        </w:rPr>
        <w:t>Swear</w:t>
      </w:r>
      <w:r w:rsidRPr="00427F01">
        <w:rPr>
          <w:rFonts w:ascii="Arial" w:hAnsi="Arial" w:cs="Arial"/>
          <w:sz w:val="28"/>
          <w:szCs w:val="28"/>
        </w:rPr>
        <w:t xml:space="preserve"> (</w:t>
      </w:r>
      <w:r w:rsidRPr="00427F01">
        <w:rPr>
          <w:rFonts w:ascii="Arial" w:hAnsi="Arial" w:cs="Arial"/>
          <w:sz w:val="28"/>
          <w:szCs w:val="28"/>
        </w:rPr>
        <w:t>2026</w:t>
      </w:r>
      <w:r w:rsidRPr="00427F01">
        <w:rPr>
          <w:rFonts w:ascii="Arial" w:hAnsi="Arial" w:cs="Arial"/>
          <w:sz w:val="28"/>
          <w:szCs w:val="28"/>
        </w:rPr>
        <w:t>) Film. Available at: [insert platform] (Accessed: 17 March 2026).</w:t>
      </w:r>
    </w:p>
    <w:p w14:paraId="021C7766" w14:textId="77777777" w:rsidR="00427F01" w:rsidRPr="00427F01" w:rsidRDefault="00427F01" w:rsidP="00427F01">
      <w:pPr>
        <w:spacing w:line="360" w:lineRule="auto"/>
        <w:rPr>
          <w:rFonts w:ascii="Arial" w:hAnsi="Arial" w:cs="Arial"/>
          <w:b/>
          <w:bCs/>
          <w:sz w:val="28"/>
          <w:szCs w:val="28"/>
        </w:rPr>
      </w:pPr>
    </w:p>
    <w:sectPr w:rsidR="00427F01" w:rsidRPr="00427F01">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2B4089" w14:textId="77777777" w:rsidR="005A126A" w:rsidRDefault="005A126A" w:rsidP="000264A1">
      <w:pPr>
        <w:spacing w:after="0" w:line="240" w:lineRule="auto"/>
      </w:pPr>
      <w:r>
        <w:separator/>
      </w:r>
    </w:p>
  </w:endnote>
  <w:endnote w:type="continuationSeparator" w:id="0">
    <w:p w14:paraId="53DC4CF1" w14:textId="77777777" w:rsidR="005A126A" w:rsidRDefault="005A126A"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F6BFB" w14:textId="77777777" w:rsidR="005A126A" w:rsidRDefault="005A126A" w:rsidP="000264A1">
      <w:pPr>
        <w:spacing w:after="0" w:line="240" w:lineRule="auto"/>
      </w:pPr>
      <w:r>
        <w:separator/>
      </w:r>
    </w:p>
  </w:footnote>
  <w:footnote w:type="continuationSeparator" w:id="0">
    <w:p w14:paraId="607C5A52" w14:textId="77777777" w:rsidR="005A126A" w:rsidRDefault="005A126A"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44183E"/>
    <w:multiLevelType w:val="multilevel"/>
    <w:tmpl w:val="840E8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742BEC"/>
    <w:multiLevelType w:val="multilevel"/>
    <w:tmpl w:val="6C043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2933295">
    <w:abstractNumId w:val="0"/>
  </w:num>
  <w:num w:numId="2" w16cid:durableId="11950026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64A1"/>
    <w:rsid w:val="00060FB4"/>
    <w:rsid w:val="00427F01"/>
    <w:rsid w:val="00556503"/>
    <w:rsid w:val="005A126A"/>
    <w:rsid w:val="00637171"/>
    <w:rsid w:val="00722ABC"/>
    <w:rsid w:val="00843325"/>
    <w:rsid w:val="008A6D32"/>
    <w:rsid w:val="008C3C52"/>
    <w:rsid w:val="0099374E"/>
    <w:rsid w:val="00AA4375"/>
    <w:rsid w:val="00B91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427F01"/>
    <w:rPr>
      <w:color w:val="467886" w:themeColor="hyperlink"/>
      <w:u w:val="single"/>
    </w:rPr>
  </w:style>
  <w:style w:type="character" w:styleId="UnresolvedMention">
    <w:name w:val="Unresolved Mention"/>
    <w:basedOn w:val="DefaultParagraphFont"/>
    <w:uiPriority w:val="99"/>
    <w:semiHidden/>
    <w:unhideWhenUsed/>
    <w:rsid w:val="00427F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hn.health.nsw.gov.au" TargetMode="External"/><Relationship Id="rId13" Type="http://schemas.openxmlformats.org/officeDocument/2006/relationships/hyperlink" Target="https://icd.who.int"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ourettes-action.org.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tient.info"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nhs.uk" TargetMode="External"/><Relationship Id="rId4" Type="http://schemas.openxmlformats.org/officeDocument/2006/relationships/webSettings" Target="webSettings.xml"/><Relationship Id="rId9" Type="http://schemas.openxmlformats.org/officeDocument/2006/relationships/hyperlink" Target="https://www.ninds.nih.gov"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10</Pages>
  <Words>2064</Words>
  <Characters>11765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Sara Panicocolo (2322396)</cp:lastModifiedBy>
  <cp:revision>3</cp:revision>
  <dcterms:created xsi:type="dcterms:W3CDTF">2026-03-17T10:33:00Z</dcterms:created>
  <dcterms:modified xsi:type="dcterms:W3CDTF">2026-03-17T11:56:00Z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004b1cdd-041e-4dfb-9454-b9a93d17cd17</vt:lpwstr>
  </property>
</Properties>
</file>