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4DECD" w14:textId="77777777" w:rsidR="00B515BC" w:rsidRDefault="00C5351F">
      <w:pPr>
        <w:widowControl w:val="0"/>
        <w:spacing w:line="240" w:lineRule="auto"/>
        <w:ind w:left="261"/>
        <w:jc w:val="left"/>
        <w:rPr>
          <w:rFonts w:ascii="Arial" w:eastAsia="Arial" w:hAnsi="Arial" w:cs="Arial"/>
          <w:sz w:val="22"/>
          <w:szCs w:val="22"/>
        </w:rPr>
      </w:pPr>
      <w:r>
        <w:rPr>
          <w:rFonts w:ascii="Arial" w:eastAsia="Arial" w:hAnsi="Arial" w:cs="Arial"/>
          <w:noProof/>
          <w:sz w:val="22"/>
          <w:szCs w:val="22"/>
        </w:rPr>
        <w:drawing>
          <wp:inline distT="19050" distB="19050" distL="19050" distR="19050" wp14:anchorId="1564DFA6" wp14:editId="1564DFA7">
            <wp:extent cx="2966720" cy="12922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2966720" cy="1292225"/>
                    </a:xfrm>
                    <a:prstGeom prst="rect">
                      <a:avLst/>
                    </a:prstGeom>
                    <a:ln/>
                  </pic:spPr>
                </pic:pic>
              </a:graphicData>
            </a:graphic>
          </wp:inline>
        </w:drawing>
      </w:r>
    </w:p>
    <w:p w14:paraId="555C88C0" w14:textId="77777777" w:rsidR="00B61B44" w:rsidRDefault="00B61B44" w:rsidP="00B61B44">
      <w:pPr>
        <w:widowControl w:val="0"/>
        <w:spacing w:before="313" w:line="363" w:lineRule="auto"/>
        <w:ind w:right="144"/>
        <w:jc w:val="center"/>
        <w:rPr>
          <w:rFonts w:eastAsia="Calibri"/>
          <w:b/>
          <w:sz w:val="36"/>
          <w:szCs w:val="36"/>
        </w:rPr>
      </w:pPr>
    </w:p>
    <w:p w14:paraId="1B36C4F6" w14:textId="77777777" w:rsidR="00B61B44" w:rsidRDefault="00C5351F" w:rsidP="00B61B44">
      <w:pPr>
        <w:widowControl w:val="0"/>
        <w:spacing w:before="313" w:line="363" w:lineRule="auto"/>
        <w:ind w:right="144"/>
        <w:jc w:val="center"/>
        <w:rPr>
          <w:rFonts w:eastAsia="Calibri"/>
          <w:b/>
          <w:sz w:val="36"/>
          <w:szCs w:val="36"/>
        </w:rPr>
      </w:pPr>
      <w:r w:rsidRPr="00B61B44">
        <w:rPr>
          <w:rFonts w:eastAsia="Calibri"/>
          <w:b/>
          <w:sz w:val="36"/>
          <w:szCs w:val="36"/>
        </w:rPr>
        <w:t>Management and Organisational Behaviour</w:t>
      </w:r>
    </w:p>
    <w:p w14:paraId="62CC06E9" w14:textId="04273597" w:rsidR="00B61B44" w:rsidRDefault="00B61B44" w:rsidP="00B61B44">
      <w:pPr>
        <w:widowControl w:val="0"/>
        <w:spacing w:before="313" w:line="363" w:lineRule="auto"/>
        <w:ind w:right="144"/>
        <w:jc w:val="center"/>
        <w:rPr>
          <w:rFonts w:eastAsia="Calibri"/>
          <w:b/>
          <w:sz w:val="36"/>
          <w:szCs w:val="36"/>
        </w:rPr>
      </w:pPr>
      <w:r>
        <w:rPr>
          <w:rFonts w:eastAsia="Calibri"/>
          <w:b/>
          <w:sz w:val="36"/>
          <w:szCs w:val="36"/>
        </w:rPr>
        <w:t>BMIH5004</w:t>
      </w:r>
    </w:p>
    <w:p w14:paraId="77561845" w14:textId="3AE06456" w:rsidR="00B61B44" w:rsidRDefault="00B61B44" w:rsidP="00B61B44">
      <w:pPr>
        <w:widowControl w:val="0"/>
        <w:spacing w:before="313" w:line="363" w:lineRule="auto"/>
        <w:ind w:right="144"/>
        <w:jc w:val="center"/>
        <w:rPr>
          <w:rFonts w:eastAsia="Calibri"/>
          <w:b/>
          <w:sz w:val="36"/>
          <w:szCs w:val="36"/>
        </w:rPr>
      </w:pPr>
      <w:r>
        <w:rPr>
          <w:rFonts w:eastAsia="Calibri"/>
          <w:b/>
          <w:sz w:val="36"/>
          <w:szCs w:val="36"/>
        </w:rPr>
        <w:t>BOGDAN-ADRIAN GISCA (</w:t>
      </w:r>
      <w:r w:rsidR="00B9108F">
        <w:rPr>
          <w:rFonts w:eastAsia="Calibri"/>
          <w:b/>
          <w:sz w:val="36"/>
          <w:szCs w:val="36"/>
        </w:rPr>
        <w:t>2118571)</w:t>
      </w:r>
    </w:p>
    <w:p w14:paraId="1564DED7" w14:textId="35EBD04D" w:rsidR="00B515BC" w:rsidRPr="00B9108F" w:rsidRDefault="00B9108F" w:rsidP="00B61B44">
      <w:pPr>
        <w:jc w:val="center"/>
        <w:rPr>
          <w:sz w:val="36"/>
          <w:szCs w:val="36"/>
        </w:rPr>
      </w:pPr>
      <w:r w:rsidRPr="00B9108F">
        <w:rPr>
          <w:rFonts w:eastAsia="Calibri"/>
          <w:b/>
          <w:sz w:val="36"/>
          <w:szCs w:val="36"/>
        </w:rPr>
        <w:t>Lecturer: Dale Clarke</w:t>
      </w:r>
    </w:p>
    <w:p w14:paraId="1564DED8" w14:textId="77777777" w:rsidR="00B515BC" w:rsidRDefault="00B515BC">
      <w:pPr>
        <w:pStyle w:val="Titlu"/>
      </w:pPr>
      <w:bookmarkStart w:id="0" w:name="_f3b5x9ie24jn" w:colFirst="0" w:colLast="0"/>
      <w:bookmarkEnd w:id="0"/>
    </w:p>
    <w:p w14:paraId="1564DED9" w14:textId="77777777" w:rsidR="00C5351F" w:rsidRDefault="00C5351F">
      <w:pPr>
        <w:pStyle w:val="Titlu"/>
      </w:pPr>
      <w:bookmarkStart w:id="1" w:name="_bflowrifhb4u" w:colFirst="0" w:colLast="0"/>
      <w:bookmarkEnd w:id="1"/>
    </w:p>
    <w:p w14:paraId="1564DEDA" w14:textId="77777777" w:rsidR="00C5351F" w:rsidRDefault="00C5351F">
      <w:pPr>
        <w:pStyle w:val="Titlu"/>
      </w:pPr>
    </w:p>
    <w:p w14:paraId="1564DEDB" w14:textId="77777777" w:rsidR="00C5351F" w:rsidRDefault="00C5351F">
      <w:pPr>
        <w:pStyle w:val="Titlu"/>
      </w:pPr>
    </w:p>
    <w:p w14:paraId="1564DEDC" w14:textId="77777777" w:rsidR="00C5351F" w:rsidRDefault="00C5351F">
      <w:pPr>
        <w:pStyle w:val="Titlu"/>
      </w:pPr>
    </w:p>
    <w:p w14:paraId="1564DEDD" w14:textId="77777777" w:rsidR="00C5351F" w:rsidRDefault="00C5351F">
      <w:pPr>
        <w:pStyle w:val="Titlu"/>
        <w:rPr>
          <w:highlight w:val="none"/>
        </w:rPr>
      </w:pPr>
    </w:p>
    <w:p w14:paraId="2D9904F5" w14:textId="77777777" w:rsidR="00B9108F" w:rsidRDefault="00B9108F" w:rsidP="00B9108F"/>
    <w:p w14:paraId="13DB3B5E" w14:textId="77777777" w:rsidR="00B9108F" w:rsidRDefault="00B9108F" w:rsidP="00B9108F"/>
    <w:p w14:paraId="540D77EC" w14:textId="77777777" w:rsidR="00B9108F" w:rsidRPr="00B9108F" w:rsidRDefault="00B9108F" w:rsidP="00B9108F"/>
    <w:p w14:paraId="1564DEDE" w14:textId="77777777" w:rsidR="00C5351F" w:rsidRDefault="00C5351F">
      <w:pPr>
        <w:pStyle w:val="Titlu"/>
      </w:pPr>
    </w:p>
    <w:p w14:paraId="1564DEDF" w14:textId="77777777" w:rsidR="00B515BC" w:rsidRDefault="00C5351F">
      <w:pPr>
        <w:pStyle w:val="Titlu"/>
      </w:pPr>
      <w:r>
        <w:t xml:space="preserve">ASSESSMENT 1 </w:t>
      </w:r>
    </w:p>
    <w:p w14:paraId="1564DEE0" w14:textId="77777777" w:rsidR="00B515BC" w:rsidRDefault="00C5351F">
      <w:pPr>
        <w:pStyle w:val="Titlu"/>
      </w:pPr>
      <w:bookmarkStart w:id="2" w:name="_lowsabgqi253" w:colFirst="0" w:colLast="0"/>
      <w:bookmarkEnd w:id="2"/>
      <w:r>
        <w:t>(ESSAY)</w:t>
      </w:r>
    </w:p>
    <w:p w14:paraId="6A1F1DA2" w14:textId="77777777" w:rsidR="00B9108F" w:rsidRPr="00B9108F" w:rsidRDefault="00B9108F" w:rsidP="00B9108F">
      <w:bookmarkStart w:id="3" w:name="_l93mg5d983dh" w:colFirst="0" w:colLast="0"/>
      <w:bookmarkStart w:id="4" w:name="_dx42pkkof9sd" w:colFirst="0" w:colLast="0"/>
      <w:bookmarkEnd w:id="3"/>
      <w:bookmarkEnd w:id="4"/>
    </w:p>
    <w:p w14:paraId="1564DEF4" w14:textId="77777777" w:rsidR="00B515BC" w:rsidRDefault="00C5351F">
      <w:pPr>
        <w:pStyle w:val="Titlu1"/>
      </w:pPr>
      <w:bookmarkStart w:id="5" w:name="_bo33vjhni8ax" w:colFirst="0" w:colLast="0"/>
      <w:bookmarkStart w:id="6" w:name="_Toc148459702"/>
      <w:bookmarkEnd w:id="5"/>
      <w:r>
        <w:lastRenderedPageBreak/>
        <w:t>Introduction</w:t>
      </w:r>
      <w:bookmarkEnd w:id="6"/>
    </w:p>
    <w:p w14:paraId="1564DEF5" w14:textId="77777777" w:rsidR="00B515BC" w:rsidRDefault="00C5351F">
      <w:r>
        <w:t xml:space="preserve">The study is going to discuss a critical evaluation of Craig Poole, the general manager of Doubletree by Hilton. It is going to place the manager in the Blake and Mouton Managerial Grid and analyse the Management style of Craig Poole. In addition to that, the essay is also going to discuss the leadership of the manager using Adair’s model of Action Centred Leadership. Based on this model, Craig Poole is going to be evaluated on the basis of 3 important managerial functions within the aspect of leadership at the organisation. </w:t>
      </w:r>
    </w:p>
    <w:p w14:paraId="10E61E9B" w14:textId="77777777" w:rsidR="00B9108F" w:rsidRDefault="00B9108F"/>
    <w:p w14:paraId="1564DEF6" w14:textId="77777777" w:rsidR="00B515BC" w:rsidRDefault="00C5351F">
      <w:pPr>
        <w:pStyle w:val="Titlu1"/>
      </w:pPr>
      <w:bookmarkStart w:id="7" w:name="_z1jbv4cemtgb" w:colFirst="0" w:colLast="0"/>
      <w:bookmarkStart w:id="8" w:name="_Toc148459703"/>
      <w:bookmarkEnd w:id="7"/>
      <w:r>
        <w:t>Discussion</w:t>
      </w:r>
      <w:bookmarkEnd w:id="8"/>
    </w:p>
    <w:p w14:paraId="1564DEF7" w14:textId="77777777" w:rsidR="00B515BC" w:rsidRDefault="00C5351F">
      <w:pPr>
        <w:pStyle w:val="Titlu2"/>
      </w:pPr>
      <w:bookmarkStart w:id="9" w:name="_wj70nnvjf7m" w:colFirst="0" w:colLast="0"/>
      <w:bookmarkStart w:id="10" w:name="_Toc148459704"/>
      <w:bookmarkEnd w:id="9"/>
      <w:r>
        <w:t>1. With reference to the Blake and Mouton Managerial Grid, construct a critical evaluation of Doubletree by Hilton (Reading Pennsylvania) General Manager Craig Poole</w:t>
      </w:r>
      <w:bookmarkEnd w:id="10"/>
    </w:p>
    <w:tbl>
      <w:tblPr>
        <w:tblStyle w:val="a"/>
        <w:tblW w:w="9420" w:type="dxa"/>
        <w:tblInd w:w="-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45"/>
        <w:gridCol w:w="855"/>
        <w:gridCol w:w="855"/>
        <w:gridCol w:w="855"/>
        <w:gridCol w:w="855"/>
        <w:gridCol w:w="855"/>
        <w:gridCol w:w="855"/>
        <w:gridCol w:w="855"/>
        <w:gridCol w:w="855"/>
        <w:gridCol w:w="855"/>
        <w:gridCol w:w="780"/>
      </w:tblGrid>
      <w:tr w:rsidR="00B515BC" w14:paraId="1564DF03" w14:textId="77777777">
        <w:trPr>
          <w:trHeight w:val="953"/>
        </w:trPr>
        <w:tc>
          <w:tcPr>
            <w:tcW w:w="945" w:type="dxa"/>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EF8" w14:textId="77777777" w:rsidR="00B515BC" w:rsidRDefault="00C5351F">
            <w:pPr>
              <w:widowControl w:val="0"/>
              <w:spacing w:line="240" w:lineRule="auto"/>
              <w:jc w:val="left"/>
            </w:pPr>
            <w:r>
              <w:t>High</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EF9" w14:textId="77777777" w:rsidR="00B515BC" w:rsidRDefault="00C5351F">
            <w:pPr>
              <w:widowControl w:val="0"/>
              <w:spacing w:line="240" w:lineRule="auto"/>
              <w:jc w:val="left"/>
            </w:pPr>
            <w:r>
              <w:t>9</w:t>
            </w:r>
          </w:p>
        </w:tc>
        <w:tc>
          <w:tcPr>
            <w:tcW w:w="855" w:type="dxa"/>
            <w:tcBorders>
              <w:left w:val="single" w:sz="18" w:space="0" w:color="000000"/>
            </w:tcBorders>
            <w:shd w:val="clear" w:color="auto" w:fill="auto"/>
            <w:tcMar>
              <w:top w:w="100" w:type="dxa"/>
              <w:left w:w="100" w:type="dxa"/>
              <w:bottom w:w="100" w:type="dxa"/>
              <w:right w:w="100" w:type="dxa"/>
            </w:tcMar>
          </w:tcPr>
          <w:p w14:paraId="1564DEFA"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EFB"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EFC"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EFD"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EFE"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EFF"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0"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1" w14:textId="77777777" w:rsidR="00B515BC" w:rsidRDefault="00C5351F">
            <w:pPr>
              <w:widowControl w:val="0"/>
              <w:spacing w:line="240" w:lineRule="auto"/>
              <w:jc w:val="center"/>
              <w:rPr>
                <w:b/>
              </w:rPr>
            </w:pPr>
            <w:r>
              <w:rPr>
                <w:b/>
              </w:rPr>
              <w:t>9,8</w:t>
            </w:r>
          </w:p>
        </w:tc>
        <w:tc>
          <w:tcPr>
            <w:tcW w:w="780" w:type="dxa"/>
            <w:shd w:val="clear" w:color="auto" w:fill="auto"/>
            <w:tcMar>
              <w:top w:w="100" w:type="dxa"/>
              <w:left w:w="100" w:type="dxa"/>
              <w:bottom w:w="100" w:type="dxa"/>
              <w:right w:w="100" w:type="dxa"/>
            </w:tcMar>
          </w:tcPr>
          <w:p w14:paraId="1564DF02" w14:textId="77777777" w:rsidR="00B515BC" w:rsidRDefault="00B515BC">
            <w:pPr>
              <w:widowControl w:val="0"/>
              <w:spacing w:line="240" w:lineRule="auto"/>
              <w:jc w:val="left"/>
            </w:pPr>
          </w:p>
        </w:tc>
      </w:tr>
      <w:tr w:rsidR="00B515BC" w14:paraId="1564DF0F" w14:textId="77777777">
        <w:trPr>
          <w:trHeight w:val="440"/>
        </w:trPr>
        <w:tc>
          <w:tcPr>
            <w:tcW w:w="945" w:type="dxa"/>
            <w:vMerge w:val="restart"/>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04" w14:textId="77777777" w:rsidR="00B515BC" w:rsidRDefault="00C5351F">
            <w:pPr>
              <w:widowControl w:val="0"/>
              <w:spacing w:line="240" w:lineRule="auto"/>
              <w:jc w:val="left"/>
              <w:rPr>
                <w:i/>
              </w:rPr>
            </w:pPr>
            <w:r>
              <w:rPr>
                <w:i/>
              </w:rPr>
              <w:t xml:space="preserve">Concern for people </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05" w14:textId="77777777" w:rsidR="00B515BC" w:rsidRDefault="00C5351F">
            <w:pPr>
              <w:widowControl w:val="0"/>
              <w:spacing w:line="240" w:lineRule="auto"/>
              <w:jc w:val="left"/>
            </w:pPr>
            <w:r>
              <w:t>8</w:t>
            </w:r>
          </w:p>
        </w:tc>
        <w:tc>
          <w:tcPr>
            <w:tcW w:w="855" w:type="dxa"/>
            <w:tcBorders>
              <w:left w:val="single" w:sz="18" w:space="0" w:color="000000"/>
            </w:tcBorders>
            <w:shd w:val="clear" w:color="auto" w:fill="auto"/>
            <w:tcMar>
              <w:top w:w="100" w:type="dxa"/>
              <w:left w:w="100" w:type="dxa"/>
              <w:bottom w:w="100" w:type="dxa"/>
              <w:right w:w="100" w:type="dxa"/>
            </w:tcMar>
          </w:tcPr>
          <w:p w14:paraId="1564DF06"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7"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8"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9"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A"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B"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C"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0D" w14:textId="77777777" w:rsidR="00B515BC" w:rsidRDefault="00B515BC">
            <w:pPr>
              <w:widowControl w:val="0"/>
              <w:spacing w:line="240" w:lineRule="auto"/>
              <w:jc w:val="left"/>
            </w:pPr>
          </w:p>
        </w:tc>
        <w:tc>
          <w:tcPr>
            <w:tcW w:w="780" w:type="dxa"/>
            <w:shd w:val="clear" w:color="auto" w:fill="auto"/>
            <w:tcMar>
              <w:top w:w="100" w:type="dxa"/>
              <w:left w:w="100" w:type="dxa"/>
              <w:bottom w:w="100" w:type="dxa"/>
              <w:right w:w="100" w:type="dxa"/>
            </w:tcMar>
          </w:tcPr>
          <w:p w14:paraId="1564DF0E" w14:textId="77777777" w:rsidR="00B515BC" w:rsidRDefault="00B515BC">
            <w:pPr>
              <w:widowControl w:val="0"/>
              <w:spacing w:line="240" w:lineRule="auto"/>
              <w:jc w:val="left"/>
            </w:pPr>
          </w:p>
        </w:tc>
      </w:tr>
      <w:tr w:rsidR="00B515BC" w14:paraId="1564DF1B" w14:textId="77777777">
        <w:trPr>
          <w:trHeight w:val="440"/>
        </w:trPr>
        <w:tc>
          <w:tcPr>
            <w:tcW w:w="945" w:type="dxa"/>
            <w:vMerge/>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10" w14:textId="77777777" w:rsidR="00B515BC" w:rsidRDefault="00B515BC">
            <w:pPr>
              <w:widowControl w:val="0"/>
              <w:spacing w:line="240" w:lineRule="auto"/>
              <w:jc w:val="left"/>
            </w:pP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11" w14:textId="77777777" w:rsidR="00B515BC" w:rsidRDefault="00C5351F">
            <w:pPr>
              <w:widowControl w:val="0"/>
              <w:spacing w:line="240" w:lineRule="auto"/>
              <w:jc w:val="left"/>
            </w:pPr>
            <w:r>
              <w:t>7</w:t>
            </w:r>
          </w:p>
        </w:tc>
        <w:tc>
          <w:tcPr>
            <w:tcW w:w="855" w:type="dxa"/>
            <w:tcBorders>
              <w:left w:val="single" w:sz="18" w:space="0" w:color="000000"/>
            </w:tcBorders>
            <w:shd w:val="clear" w:color="auto" w:fill="auto"/>
            <w:tcMar>
              <w:top w:w="100" w:type="dxa"/>
              <w:left w:w="100" w:type="dxa"/>
              <w:bottom w:w="100" w:type="dxa"/>
              <w:right w:w="100" w:type="dxa"/>
            </w:tcMar>
          </w:tcPr>
          <w:p w14:paraId="1564DF12"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13"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14"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15"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16"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17"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18"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19" w14:textId="77777777" w:rsidR="00B515BC" w:rsidRDefault="00B515BC">
            <w:pPr>
              <w:widowControl w:val="0"/>
              <w:spacing w:line="240" w:lineRule="auto"/>
              <w:jc w:val="left"/>
            </w:pPr>
          </w:p>
        </w:tc>
        <w:tc>
          <w:tcPr>
            <w:tcW w:w="780" w:type="dxa"/>
            <w:shd w:val="clear" w:color="auto" w:fill="auto"/>
            <w:tcMar>
              <w:top w:w="100" w:type="dxa"/>
              <w:left w:w="100" w:type="dxa"/>
              <w:bottom w:w="100" w:type="dxa"/>
              <w:right w:w="100" w:type="dxa"/>
            </w:tcMar>
          </w:tcPr>
          <w:p w14:paraId="1564DF1A" w14:textId="77777777" w:rsidR="00B515BC" w:rsidRDefault="00B515BC">
            <w:pPr>
              <w:widowControl w:val="0"/>
              <w:spacing w:line="240" w:lineRule="auto"/>
              <w:jc w:val="left"/>
            </w:pPr>
          </w:p>
        </w:tc>
      </w:tr>
      <w:tr w:rsidR="00B515BC" w14:paraId="1564DF27" w14:textId="77777777">
        <w:trPr>
          <w:trHeight w:val="440"/>
        </w:trPr>
        <w:tc>
          <w:tcPr>
            <w:tcW w:w="945" w:type="dxa"/>
            <w:vMerge/>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1C" w14:textId="77777777" w:rsidR="00B515BC" w:rsidRDefault="00B515BC">
            <w:pPr>
              <w:widowControl w:val="0"/>
              <w:spacing w:line="240" w:lineRule="auto"/>
              <w:jc w:val="left"/>
            </w:pP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1D" w14:textId="77777777" w:rsidR="00B515BC" w:rsidRDefault="00C5351F">
            <w:pPr>
              <w:widowControl w:val="0"/>
              <w:spacing w:line="240" w:lineRule="auto"/>
              <w:jc w:val="left"/>
            </w:pPr>
            <w:r>
              <w:t>6</w:t>
            </w:r>
          </w:p>
        </w:tc>
        <w:tc>
          <w:tcPr>
            <w:tcW w:w="855" w:type="dxa"/>
            <w:tcBorders>
              <w:left w:val="single" w:sz="18" w:space="0" w:color="000000"/>
            </w:tcBorders>
            <w:shd w:val="clear" w:color="auto" w:fill="auto"/>
            <w:tcMar>
              <w:top w:w="100" w:type="dxa"/>
              <w:left w:w="100" w:type="dxa"/>
              <w:bottom w:w="100" w:type="dxa"/>
              <w:right w:w="100" w:type="dxa"/>
            </w:tcMar>
          </w:tcPr>
          <w:p w14:paraId="1564DF1E"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1F"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0"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1"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2"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3"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4"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5" w14:textId="77777777" w:rsidR="00B515BC" w:rsidRDefault="00B515BC">
            <w:pPr>
              <w:widowControl w:val="0"/>
              <w:spacing w:line="240" w:lineRule="auto"/>
              <w:jc w:val="left"/>
            </w:pPr>
          </w:p>
        </w:tc>
        <w:tc>
          <w:tcPr>
            <w:tcW w:w="780" w:type="dxa"/>
            <w:shd w:val="clear" w:color="auto" w:fill="auto"/>
            <w:tcMar>
              <w:top w:w="100" w:type="dxa"/>
              <w:left w:w="100" w:type="dxa"/>
              <w:bottom w:w="100" w:type="dxa"/>
              <w:right w:w="100" w:type="dxa"/>
            </w:tcMar>
          </w:tcPr>
          <w:p w14:paraId="1564DF26" w14:textId="77777777" w:rsidR="00B515BC" w:rsidRDefault="00B515BC">
            <w:pPr>
              <w:widowControl w:val="0"/>
              <w:spacing w:line="240" w:lineRule="auto"/>
              <w:jc w:val="left"/>
            </w:pPr>
          </w:p>
        </w:tc>
      </w:tr>
      <w:tr w:rsidR="00B515BC" w14:paraId="1564DF33" w14:textId="77777777">
        <w:trPr>
          <w:trHeight w:val="440"/>
        </w:trPr>
        <w:tc>
          <w:tcPr>
            <w:tcW w:w="945" w:type="dxa"/>
            <w:vMerge/>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28" w14:textId="77777777" w:rsidR="00B515BC" w:rsidRDefault="00B515BC">
            <w:pPr>
              <w:widowControl w:val="0"/>
              <w:spacing w:line="240" w:lineRule="auto"/>
              <w:jc w:val="left"/>
            </w:pP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29" w14:textId="77777777" w:rsidR="00B515BC" w:rsidRDefault="00C5351F">
            <w:pPr>
              <w:widowControl w:val="0"/>
              <w:spacing w:line="240" w:lineRule="auto"/>
              <w:jc w:val="left"/>
            </w:pPr>
            <w:r>
              <w:t>5</w:t>
            </w:r>
          </w:p>
        </w:tc>
        <w:tc>
          <w:tcPr>
            <w:tcW w:w="855" w:type="dxa"/>
            <w:tcBorders>
              <w:left w:val="single" w:sz="18" w:space="0" w:color="000000"/>
            </w:tcBorders>
            <w:shd w:val="clear" w:color="auto" w:fill="auto"/>
            <w:tcMar>
              <w:top w:w="100" w:type="dxa"/>
              <w:left w:w="100" w:type="dxa"/>
              <w:bottom w:w="100" w:type="dxa"/>
              <w:right w:w="100" w:type="dxa"/>
            </w:tcMar>
          </w:tcPr>
          <w:p w14:paraId="1564DF2A"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B"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C"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D"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E"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2F"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0"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1" w14:textId="77777777" w:rsidR="00B515BC" w:rsidRDefault="00B515BC">
            <w:pPr>
              <w:widowControl w:val="0"/>
              <w:spacing w:line="240" w:lineRule="auto"/>
              <w:jc w:val="left"/>
            </w:pPr>
          </w:p>
        </w:tc>
        <w:tc>
          <w:tcPr>
            <w:tcW w:w="780" w:type="dxa"/>
            <w:shd w:val="clear" w:color="auto" w:fill="auto"/>
            <w:tcMar>
              <w:top w:w="100" w:type="dxa"/>
              <w:left w:w="100" w:type="dxa"/>
              <w:bottom w:w="100" w:type="dxa"/>
              <w:right w:w="100" w:type="dxa"/>
            </w:tcMar>
          </w:tcPr>
          <w:p w14:paraId="1564DF32" w14:textId="77777777" w:rsidR="00B515BC" w:rsidRDefault="00B515BC">
            <w:pPr>
              <w:widowControl w:val="0"/>
              <w:spacing w:line="240" w:lineRule="auto"/>
              <w:jc w:val="left"/>
            </w:pPr>
          </w:p>
        </w:tc>
      </w:tr>
      <w:tr w:rsidR="00B515BC" w14:paraId="1564DF3F" w14:textId="77777777">
        <w:trPr>
          <w:trHeight w:val="440"/>
        </w:trPr>
        <w:tc>
          <w:tcPr>
            <w:tcW w:w="945" w:type="dxa"/>
            <w:vMerge/>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34" w14:textId="77777777" w:rsidR="00B515BC" w:rsidRDefault="00B515BC">
            <w:pPr>
              <w:widowControl w:val="0"/>
              <w:spacing w:line="240" w:lineRule="auto"/>
              <w:jc w:val="left"/>
            </w:pP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35" w14:textId="77777777" w:rsidR="00B515BC" w:rsidRDefault="00C5351F">
            <w:pPr>
              <w:widowControl w:val="0"/>
              <w:spacing w:line="240" w:lineRule="auto"/>
              <w:jc w:val="left"/>
            </w:pPr>
            <w:r>
              <w:t>4</w:t>
            </w:r>
          </w:p>
        </w:tc>
        <w:tc>
          <w:tcPr>
            <w:tcW w:w="855" w:type="dxa"/>
            <w:tcBorders>
              <w:left w:val="single" w:sz="18" w:space="0" w:color="000000"/>
            </w:tcBorders>
            <w:shd w:val="clear" w:color="auto" w:fill="auto"/>
            <w:tcMar>
              <w:top w:w="100" w:type="dxa"/>
              <w:left w:w="100" w:type="dxa"/>
              <w:bottom w:w="100" w:type="dxa"/>
              <w:right w:w="100" w:type="dxa"/>
            </w:tcMar>
          </w:tcPr>
          <w:p w14:paraId="1564DF36"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7"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8"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9"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A"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B"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C"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3D" w14:textId="77777777" w:rsidR="00B515BC" w:rsidRDefault="00B515BC">
            <w:pPr>
              <w:widowControl w:val="0"/>
              <w:spacing w:line="240" w:lineRule="auto"/>
              <w:jc w:val="left"/>
            </w:pPr>
          </w:p>
        </w:tc>
        <w:tc>
          <w:tcPr>
            <w:tcW w:w="780" w:type="dxa"/>
            <w:shd w:val="clear" w:color="auto" w:fill="auto"/>
            <w:tcMar>
              <w:top w:w="100" w:type="dxa"/>
              <w:left w:w="100" w:type="dxa"/>
              <w:bottom w:w="100" w:type="dxa"/>
              <w:right w:w="100" w:type="dxa"/>
            </w:tcMar>
          </w:tcPr>
          <w:p w14:paraId="1564DF3E" w14:textId="77777777" w:rsidR="00B515BC" w:rsidRDefault="00B515BC">
            <w:pPr>
              <w:widowControl w:val="0"/>
              <w:spacing w:line="240" w:lineRule="auto"/>
              <w:jc w:val="left"/>
            </w:pPr>
          </w:p>
        </w:tc>
      </w:tr>
      <w:tr w:rsidR="00B515BC" w14:paraId="1564DF4B" w14:textId="77777777">
        <w:trPr>
          <w:trHeight w:val="440"/>
        </w:trPr>
        <w:tc>
          <w:tcPr>
            <w:tcW w:w="945" w:type="dxa"/>
            <w:vMerge/>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40" w14:textId="77777777" w:rsidR="00B515BC" w:rsidRDefault="00B515BC">
            <w:pPr>
              <w:widowControl w:val="0"/>
              <w:spacing w:line="240" w:lineRule="auto"/>
              <w:jc w:val="left"/>
            </w:pP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41" w14:textId="77777777" w:rsidR="00B515BC" w:rsidRDefault="00C5351F">
            <w:pPr>
              <w:widowControl w:val="0"/>
              <w:spacing w:line="240" w:lineRule="auto"/>
              <w:jc w:val="left"/>
            </w:pPr>
            <w:r>
              <w:t>3</w:t>
            </w:r>
          </w:p>
        </w:tc>
        <w:tc>
          <w:tcPr>
            <w:tcW w:w="855" w:type="dxa"/>
            <w:tcBorders>
              <w:left w:val="single" w:sz="18" w:space="0" w:color="000000"/>
            </w:tcBorders>
            <w:shd w:val="clear" w:color="auto" w:fill="auto"/>
            <w:tcMar>
              <w:top w:w="100" w:type="dxa"/>
              <w:left w:w="100" w:type="dxa"/>
              <w:bottom w:w="100" w:type="dxa"/>
              <w:right w:w="100" w:type="dxa"/>
            </w:tcMar>
          </w:tcPr>
          <w:p w14:paraId="1564DF42"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43"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44"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45"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46"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47"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48"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49" w14:textId="77777777" w:rsidR="00B515BC" w:rsidRDefault="00B515BC">
            <w:pPr>
              <w:widowControl w:val="0"/>
              <w:spacing w:line="240" w:lineRule="auto"/>
              <w:jc w:val="left"/>
            </w:pPr>
          </w:p>
        </w:tc>
        <w:tc>
          <w:tcPr>
            <w:tcW w:w="780" w:type="dxa"/>
            <w:shd w:val="clear" w:color="auto" w:fill="auto"/>
            <w:tcMar>
              <w:top w:w="100" w:type="dxa"/>
              <w:left w:w="100" w:type="dxa"/>
              <w:bottom w:w="100" w:type="dxa"/>
              <w:right w:w="100" w:type="dxa"/>
            </w:tcMar>
          </w:tcPr>
          <w:p w14:paraId="1564DF4A" w14:textId="77777777" w:rsidR="00B515BC" w:rsidRDefault="00B515BC">
            <w:pPr>
              <w:widowControl w:val="0"/>
              <w:spacing w:line="240" w:lineRule="auto"/>
              <w:jc w:val="left"/>
            </w:pPr>
          </w:p>
        </w:tc>
      </w:tr>
      <w:tr w:rsidR="00B515BC" w14:paraId="1564DF57" w14:textId="77777777">
        <w:trPr>
          <w:trHeight w:val="440"/>
        </w:trPr>
        <w:tc>
          <w:tcPr>
            <w:tcW w:w="945" w:type="dxa"/>
            <w:vMerge/>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4C" w14:textId="77777777" w:rsidR="00B515BC" w:rsidRDefault="00B515BC">
            <w:pPr>
              <w:widowControl w:val="0"/>
              <w:spacing w:line="240" w:lineRule="auto"/>
              <w:jc w:val="left"/>
            </w:pP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4D" w14:textId="77777777" w:rsidR="00B515BC" w:rsidRDefault="00C5351F">
            <w:pPr>
              <w:widowControl w:val="0"/>
              <w:spacing w:line="240" w:lineRule="auto"/>
              <w:jc w:val="left"/>
            </w:pPr>
            <w:r>
              <w:t>2</w:t>
            </w:r>
          </w:p>
        </w:tc>
        <w:tc>
          <w:tcPr>
            <w:tcW w:w="855" w:type="dxa"/>
            <w:tcBorders>
              <w:left w:val="single" w:sz="18" w:space="0" w:color="000000"/>
            </w:tcBorders>
            <w:shd w:val="clear" w:color="auto" w:fill="auto"/>
            <w:tcMar>
              <w:top w:w="100" w:type="dxa"/>
              <w:left w:w="100" w:type="dxa"/>
              <w:bottom w:w="100" w:type="dxa"/>
              <w:right w:w="100" w:type="dxa"/>
            </w:tcMar>
          </w:tcPr>
          <w:p w14:paraId="1564DF4E"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4F"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50"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51"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52"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53"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54" w14:textId="77777777" w:rsidR="00B515BC" w:rsidRDefault="00B515BC">
            <w:pPr>
              <w:widowControl w:val="0"/>
              <w:spacing w:line="240" w:lineRule="auto"/>
              <w:jc w:val="left"/>
            </w:pPr>
          </w:p>
        </w:tc>
        <w:tc>
          <w:tcPr>
            <w:tcW w:w="855" w:type="dxa"/>
            <w:shd w:val="clear" w:color="auto" w:fill="auto"/>
            <w:tcMar>
              <w:top w:w="100" w:type="dxa"/>
              <w:left w:w="100" w:type="dxa"/>
              <w:bottom w:w="100" w:type="dxa"/>
              <w:right w:w="100" w:type="dxa"/>
            </w:tcMar>
          </w:tcPr>
          <w:p w14:paraId="1564DF55" w14:textId="77777777" w:rsidR="00B515BC" w:rsidRDefault="00B515BC">
            <w:pPr>
              <w:widowControl w:val="0"/>
              <w:spacing w:line="240" w:lineRule="auto"/>
              <w:jc w:val="left"/>
            </w:pPr>
          </w:p>
        </w:tc>
        <w:tc>
          <w:tcPr>
            <w:tcW w:w="780" w:type="dxa"/>
            <w:shd w:val="clear" w:color="auto" w:fill="auto"/>
            <w:tcMar>
              <w:top w:w="100" w:type="dxa"/>
              <w:left w:w="100" w:type="dxa"/>
              <w:bottom w:w="100" w:type="dxa"/>
              <w:right w:w="100" w:type="dxa"/>
            </w:tcMar>
          </w:tcPr>
          <w:p w14:paraId="1564DF56" w14:textId="77777777" w:rsidR="00B515BC" w:rsidRDefault="00B515BC">
            <w:pPr>
              <w:widowControl w:val="0"/>
              <w:spacing w:line="240" w:lineRule="auto"/>
              <w:jc w:val="left"/>
            </w:pPr>
          </w:p>
        </w:tc>
      </w:tr>
      <w:tr w:rsidR="00B515BC" w14:paraId="1564DF63" w14:textId="77777777">
        <w:trPr>
          <w:trHeight w:val="440"/>
        </w:trPr>
        <w:tc>
          <w:tcPr>
            <w:tcW w:w="945" w:type="dxa"/>
            <w:vMerge/>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58" w14:textId="77777777" w:rsidR="00B515BC" w:rsidRDefault="00B515BC">
            <w:pPr>
              <w:widowControl w:val="0"/>
              <w:spacing w:line="240" w:lineRule="auto"/>
              <w:jc w:val="left"/>
            </w:pP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59" w14:textId="77777777" w:rsidR="00B515BC" w:rsidRDefault="00C5351F">
            <w:pPr>
              <w:widowControl w:val="0"/>
              <w:spacing w:line="240" w:lineRule="auto"/>
              <w:jc w:val="left"/>
            </w:pPr>
            <w:r>
              <w:t>1</w:t>
            </w:r>
          </w:p>
        </w:tc>
        <w:tc>
          <w:tcPr>
            <w:tcW w:w="855" w:type="dxa"/>
            <w:tcBorders>
              <w:left w:val="single" w:sz="18" w:space="0" w:color="000000"/>
              <w:bottom w:val="single" w:sz="18" w:space="0" w:color="000000"/>
            </w:tcBorders>
            <w:shd w:val="clear" w:color="auto" w:fill="auto"/>
            <w:tcMar>
              <w:top w:w="100" w:type="dxa"/>
              <w:left w:w="100" w:type="dxa"/>
              <w:bottom w:w="100" w:type="dxa"/>
              <w:right w:w="100" w:type="dxa"/>
            </w:tcMar>
          </w:tcPr>
          <w:p w14:paraId="1564DF5A" w14:textId="77777777" w:rsidR="00B515BC" w:rsidRDefault="00B515BC">
            <w:pPr>
              <w:widowControl w:val="0"/>
              <w:spacing w:line="240" w:lineRule="auto"/>
              <w:jc w:val="left"/>
            </w:pPr>
          </w:p>
        </w:tc>
        <w:tc>
          <w:tcPr>
            <w:tcW w:w="855" w:type="dxa"/>
            <w:tcBorders>
              <w:bottom w:val="single" w:sz="18" w:space="0" w:color="000000"/>
            </w:tcBorders>
            <w:shd w:val="clear" w:color="auto" w:fill="auto"/>
            <w:tcMar>
              <w:top w:w="100" w:type="dxa"/>
              <w:left w:w="100" w:type="dxa"/>
              <w:bottom w:w="100" w:type="dxa"/>
              <w:right w:w="100" w:type="dxa"/>
            </w:tcMar>
          </w:tcPr>
          <w:p w14:paraId="1564DF5B" w14:textId="77777777" w:rsidR="00B515BC" w:rsidRDefault="00B515BC">
            <w:pPr>
              <w:widowControl w:val="0"/>
              <w:spacing w:line="240" w:lineRule="auto"/>
              <w:jc w:val="left"/>
            </w:pPr>
          </w:p>
        </w:tc>
        <w:tc>
          <w:tcPr>
            <w:tcW w:w="855" w:type="dxa"/>
            <w:tcBorders>
              <w:bottom w:val="single" w:sz="18" w:space="0" w:color="000000"/>
            </w:tcBorders>
            <w:shd w:val="clear" w:color="auto" w:fill="auto"/>
            <w:tcMar>
              <w:top w:w="100" w:type="dxa"/>
              <w:left w:w="100" w:type="dxa"/>
              <w:bottom w:w="100" w:type="dxa"/>
              <w:right w:w="100" w:type="dxa"/>
            </w:tcMar>
          </w:tcPr>
          <w:p w14:paraId="1564DF5C" w14:textId="77777777" w:rsidR="00B515BC" w:rsidRDefault="00B515BC">
            <w:pPr>
              <w:widowControl w:val="0"/>
              <w:spacing w:line="240" w:lineRule="auto"/>
              <w:jc w:val="left"/>
            </w:pPr>
          </w:p>
        </w:tc>
        <w:tc>
          <w:tcPr>
            <w:tcW w:w="855" w:type="dxa"/>
            <w:tcBorders>
              <w:bottom w:val="single" w:sz="18" w:space="0" w:color="000000"/>
            </w:tcBorders>
            <w:shd w:val="clear" w:color="auto" w:fill="auto"/>
            <w:tcMar>
              <w:top w:w="100" w:type="dxa"/>
              <w:left w:w="100" w:type="dxa"/>
              <w:bottom w:w="100" w:type="dxa"/>
              <w:right w:w="100" w:type="dxa"/>
            </w:tcMar>
          </w:tcPr>
          <w:p w14:paraId="1564DF5D" w14:textId="77777777" w:rsidR="00B515BC" w:rsidRDefault="00B515BC">
            <w:pPr>
              <w:widowControl w:val="0"/>
              <w:spacing w:line="240" w:lineRule="auto"/>
              <w:jc w:val="left"/>
            </w:pPr>
          </w:p>
        </w:tc>
        <w:tc>
          <w:tcPr>
            <w:tcW w:w="855" w:type="dxa"/>
            <w:tcBorders>
              <w:bottom w:val="single" w:sz="18" w:space="0" w:color="000000"/>
            </w:tcBorders>
            <w:shd w:val="clear" w:color="auto" w:fill="auto"/>
            <w:tcMar>
              <w:top w:w="100" w:type="dxa"/>
              <w:left w:w="100" w:type="dxa"/>
              <w:bottom w:w="100" w:type="dxa"/>
              <w:right w:w="100" w:type="dxa"/>
            </w:tcMar>
          </w:tcPr>
          <w:p w14:paraId="1564DF5E" w14:textId="77777777" w:rsidR="00B515BC" w:rsidRDefault="00B515BC">
            <w:pPr>
              <w:widowControl w:val="0"/>
              <w:spacing w:line="240" w:lineRule="auto"/>
              <w:jc w:val="left"/>
            </w:pPr>
          </w:p>
        </w:tc>
        <w:tc>
          <w:tcPr>
            <w:tcW w:w="855" w:type="dxa"/>
            <w:tcBorders>
              <w:bottom w:val="single" w:sz="18" w:space="0" w:color="000000"/>
            </w:tcBorders>
            <w:shd w:val="clear" w:color="auto" w:fill="auto"/>
            <w:tcMar>
              <w:top w:w="100" w:type="dxa"/>
              <w:left w:w="100" w:type="dxa"/>
              <w:bottom w:w="100" w:type="dxa"/>
              <w:right w:w="100" w:type="dxa"/>
            </w:tcMar>
          </w:tcPr>
          <w:p w14:paraId="1564DF5F" w14:textId="77777777" w:rsidR="00B515BC" w:rsidRDefault="00B515BC">
            <w:pPr>
              <w:widowControl w:val="0"/>
              <w:spacing w:line="240" w:lineRule="auto"/>
              <w:jc w:val="left"/>
            </w:pPr>
          </w:p>
        </w:tc>
        <w:tc>
          <w:tcPr>
            <w:tcW w:w="855" w:type="dxa"/>
            <w:tcBorders>
              <w:bottom w:val="single" w:sz="18" w:space="0" w:color="000000"/>
            </w:tcBorders>
            <w:shd w:val="clear" w:color="auto" w:fill="auto"/>
            <w:tcMar>
              <w:top w:w="100" w:type="dxa"/>
              <w:left w:w="100" w:type="dxa"/>
              <w:bottom w:w="100" w:type="dxa"/>
              <w:right w:w="100" w:type="dxa"/>
            </w:tcMar>
          </w:tcPr>
          <w:p w14:paraId="1564DF60" w14:textId="77777777" w:rsidR="00B515BC" w:rsidRDefault="00B515BC">
            <w:pPr>
              <w:widowControl w:val="0"/>
              <w:spacing w:line="240" w:lineRule="auto"/>
              <w:jc w:val="left"/>
            </w:pPr>
          </w:p>
        </w:tc>
        <w:tc>
          <w:tcPr>
            <w:tcW w:w="855" w:type="dxa"/>
            <w:tcBorders>
              <w:bottom w:val="single" w:sz="18" w:space="0" w:color="000000"/>
            </w:tcBorders>
            <w:shd w:val="clear" w:color="auto" w:fill="auto"/>
            <w:tcMar>
              <w:top w:w="100" w:type="dxa"/>
              <w:left w:w="100" w:type="dxa"/>
              <w:bottom w:w="100" w:type="dxa"/>
              <w:right w:w="100" w:type="dxa"/>
            </w:tcMar>
          </w:tcPr>
          <w:p w14:paraId="1564DF61" w14:textId="77777777" w:rsidR="00B515BC" w:rsidRDefault="00B515BC">
            <w:pPr>
              <w:widowControl w:val="0"/>
              <w:spacing w:line="240" w:lineRule="auto"/>
              <w:jc w:val="left"/>
            </w:pPr>
          </w:p>
        </w:tc>
        <w:tc>
          <w:tcPr>
            <w:tcW w:w="780" w:type="dxa"/>
            <w:tcBorders>
              <w:bottom w:val="single" w:sz="18" w:space="0" w:color="000000"/>
            </w:tcBorders>
            <w:shd w:val="clear" w:color="auto" w:fill="auto"/>
            <w:tcMar>
              <w:top w:w="100" w:type="dxa"/>
              <w:left w:w="100" w:type="dxa"/>
              <w:bottom w:w="100" w:type="dxa"/>
              <w:right w:w="100" w:type="dxa"/>
            </w:tcMar>
          </w:tcPr>
          <w:p w14:paraId="1564DF62" w14:textId="77777777" w:rsidR="00B515BC" w:rsidRDefault="00B515BC">
            <w:pPr>
              <w:widowControl w:val="0"/>
              <w:spacing w:line="240" w:lineRule="auto"/>
              <w:jc w:val="left"/>
            </w:pPr>
          </w:p>
        </w:tc>
      </w:tr>
      <w:tr w:rsidR="00B515BC" w14:paraId="1564DF6F" w14:textId="77777777">
        <w:trPr>
          <w:trHeight w:val="440"/>
        </w:trPr>
        <w:tc>
          <w:tcPr>
            <w:tcW w:w="945" w:type="dxa"/>
            <w:vMerge/>
            <w:tcBorders>
              <w:top w:val="single" w:sz="8" w:space="0" w:color="FFFFFF"/>
              <w:left w:val="single" w:sz="8" w:space="0" w:color="FFFFFF"/>
              <w:bottom w:val="single" w:sz="8" w:space="0" w:color="FFFFFF"/>
              <w:right w:val="single" w:sz="18" w:space="0" w:color="000000"/>
            </w:tcBorders>
            <w:shd w:val="clear" w:color="auto" w:fill="auto"/>
            <w:tcMar>
              <w:top w:w="100" w:type="dxa"/>
              <w:left w:w="100" w:type="dxa"/>
              <w:bottom w:w="100" w:type="dxa"/>
              <w:right w:w="100" w:type="dxa"/>
            </w:tcMar>
          </w:tcPr>
          <w:p w14:paraId="1564DF64" w14:textId="77777777" w:rsidR="00B515BC" w:rsidRDefault="00B515BC">
            <w:pPr>
              <w:widowControl w:val="0"/>
              <w:spacing w:line="240" w:lineRule="auto"/>
              <w:jc w:val="left"/>
            </w:pP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5" w14:textId="77777777" w:rsidR="00B515BC" w:rsidRDefault="00C5351F">
            <w:pPr>
              <w:widowControl w:val="0"/>
              <w:spacing w:line="240" w:lineRule="auto"/>
              <w:jc w:val="left"/>
            </w:pPr>
            <w:r>
              <w:t>Low</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6" w14:textId="77777777" w:rsidR="00B515BC" w:rsidRDefault="00C5351F">
            <w:pPr>
              <w:widowControl w:val="0"/>
              <w:spacing w:line="240" w:lineRule="auto"/>
              <w:jc w:val="left"/>
            </w:pPr>
            <w:r>
              <w:t>1</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7" w14:textId="77777777" w:rsidR="00B515BC" w:rsidRDefault="00C5351F">
            <w:pPr>
              <w:widowControl w:val="0"/>
              <w:spacing w:line="240" w:lineRule="auto"/>
              <w:jc w:val="left"/>
            </w:pPr>
            <w:r>
              <w:t>2</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8" w14:textId="77777777" w:rsidR="00B515BC" w:rsidRDefault="00C5351F">
            <w:pPr>
              <w:widowControl w:val="0"/>
              <w:spacing w:line="240" w:lineRule="auto"/>
              <w:jc w:val="left"/>
            </w:pPr>
            <w:r>
              <w:t>3</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9" w14:textId="77777777" w:rsidR="00B515BC" w:rsidRDefault="00C5351F">
            <w:pPr>
              <w:widowControl w:val="0"/>
              <w:spacing w:line="240" w:lineRule="auto"/>
              <w:jc w:val="left"/>
            </w:pPr>
            <w:r>
              <w:t>4</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A" w14:textId="77777777" w:rsidR="00B515BC" w:rsidRDefault="00C5351F">
            <w:pPr>
              <w:widowControl w:val="0"/>
              <w:spacing w:line="240" w:lineRule="auto"/>
              <w:jc w:val="left"/>
            </w:pPr>
            <w:r>
              <w:t>5</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B" w14:textId="77777777" w:rsidR="00B515BC" w:rsidRDefault="00C5351F">
            <w:pPr>
              <w:widowControl w:val="0"/>
              <w:spacing w:line="240" w:lineRule="auto"/>
              <w:jc w:val="left"/>
            </w:pPr>
            <w:r>
              <w:t>6</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C" w14:textId="77777777" w:rsidR="00B515BC" w:rsidRDefault="00C5351F">
            <w:pPr>
              <w:widowControl w:val="0"/>
              <w:spacing w:line="240" w:lineRule="auto"/>
              <w:jc w:val="left"/>
            </w:pPr>
            <w:r>
              <w:t>7</w:t>
            </w:r>
          </w:p>
        </w:tc>
        <w:tc>
          <w:tcPr>
            <w:tcW w:w="855"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D" w14:textId="77777777" w:rsidR="00B515BC" w:rsidRDefault="00C5351F">
            <w:pPr>
              <w:widowControl w:val="0"/>
              <w:spacing w:line="240" w:lineRule="auto"/>
              <w:jc w:val="left"/>
            </w:pPr>
            <w:r>
              <w:t>8</w:t>
            </w:r>
          </w:p>
        </w:tc>
        <w:tc>
          <w:tcPr>
            <w:tcW w:w="780" w:type="dxa"/>
            <w:tcBorders>
              <w:top w:val="single" w:sz="18" w:space="0" w:color="000000"/>
              <w:left w:val="single" w:sz="18" w:space="0" w:color="000000"/>
              <w:bottom w:val="single" w:sz="18" w:space="0" w:color="000000"/>
              <w:right w:val="single" w:sz="18" w:space="0" w:color="000000"/>
            </w:tcBorders>
            <w:shd w:val="clear" w:color="auto" w:fill="auto"/>
            <w:tcMar>
              <w:top w:w="100" w:type="dxa"/>
              <w:left w:w="100" w:type="dxa"/>
              <w:bottom w:w="100" w:type="dxa"/>
              <w:right w:w="100" w:type="dxa"/>
            </w:tcMar>
          </w:tcPr>
          <w:p w14:paraId="1564DF6E" w14:textId="77777777" w:rsidR="00B515BC" w:rsidRDefault="00C5351F">
            <w:pPr>
              <w:widowControl w:val="0"/>
              <w:spacing w:line="240" w:lineRule="auto"/>
              <w:jc w:val="left"/>
            </w:pPr>
            <w:r>
              <w:t>9</w:t>
            </w:r>
          </w:p>
        </w:tc>
      </w:tr>
      <w:tr w:rsidR="00B515BC" w14:paraId="1564DF72" w14:textId="77777777">
        <w:trPr>
          <w:trHeight w:val="440"/>
        </w:trPr>
        <w:tc>
          <w:tcPr>
            <w:tcW w:w="8640" w:type="dxa"/>
            <w:gridSpan w:val="10"/>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1564DF70" w14:textId="77777777" w:rsidR="00B515BC" w:rsidRDefault="00C5351F">
            <w:pPr>
              <w:widowControl w:val="0"/>
              <w:spacing w:line="240" w:lineRule="auto"/>
              <w:jc w:val="center"/>
              <w:rPr>
                <w:i/>
              </w:rPr>
            </w:pPr>
            <w:r>
              <w:rPr>
                <w:i/>
              </w:rPr>
              <w:t>Concern for production</w:t>
            </w:r>
          </w:p>
        </w:tc>
        <w:tc>
          <w:tcPr>
            <w:tcW w:w="780" w:type="dxa"/>
            <w:tcBorders>
              <w:top w:val="single" w:sz="18" w:space="0" w:color="000000"/>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1564DF71" w14:textId="77777777" w:rsidR="00B515BC" w:rsidRDefault="00C5351F">
            <w:pPr>
              <w:widowControl w:val="0"/>
              <w:spacing w:line="240" w:lineRule="auto"/>
              <w:jc w:val="left"/>
            </w:pPr>
            <w:r>
              <w:t xml:space="preserve"> High </w:t>
            </w:r>
          </w:p>
        </w:tc>
      </w:tr>
    </w:tbl>
    <w:p w14:paraId="1564DF73" w14:textId="77777777" w:rsidR="00B515BC" w:rsidRDefault="00C5351F">
      <w:r>
        <w:lastRenderedPageBreak/>
        <w:t xml:space="preserve"> </w:t>
      </w:r>
    </w:p>
    <w:p w14:paraId="1564DF74" w14:textId="77777777" w:rsidR="00B515BC" w:rsidRDefault="00C5351F">
      <w:r>
        <w:t xml:space="preserve">Blake and Mouton’s Managerial Grid is a tool used for assessing individuals at managerial positions in organisations (Mindapa, 2022). Using the tool, Craig Poole has been assessed with regard to the operations as a General Manager at Doubletree in Reading, Pennsylvania. The tool is capable of analysing the activities of a manager on the basis of two independent dimensions which include concern for people which is placed on the y-axis of the grid and concern for production placed on the x-axis (Islam and Hassan Jalil Shah, 2022). Analysing the operations performed by Craig Poole, it has been identified that the manager is highly inclined towards team management. The individual focuses on leading the people of the hotel effectively and at the same time, looking after the people and their needs. </w:t>
      </w:r>
    </w:p>
    <w:p w14:paraId="1564DF75" w14:textId="77777777" w:rsidR="00B515BC" w:rsidRDefault="00C5351F">
      <w:r>
        <w:t xml:space="preserve">Craig Poole has been placed at 9 on the y-axis because the manager puts a lot of emphasis on the well-being of the people associated with the organisation. The individual takes care of the likes and dislikes of the workers in the organisation as well as believes in giving second chances to people. As stated by Mullins and McLean (2019), managers who believe in pushing employees forward and challenging them correctly are able to help them become confident. Similarly, Craig provides the necessary support required by individuals including the employees in the organisation as well as the guests of the hotel to have a pleasant experience and values human emotions. Hence, a 9 on the concern for people axis is justified. A high score on the axis showing concern towards the people by managers shows that the individual is motivated to perform the activities necessary for the position effectively. Managers with positive attitudes are able to develop a close relationship with the employee who enables the organisation to perform at its best potential (Yue </w:t>
      </w:r>
      <w:r>
        <w:rPr>
          <w:i/>
        </w:rPr>
        <w:t xml:space="preserve">et al., </w:t>
      </w:r>
      <w:r>
        <w:t xml:space="preserve">2021). Therefore, it can be said that Craig Poole is a people person. </w:t>
      </w:r>
    </w:p>
    <w:p w14:paraId="1564DF76" w14:textId="4B02B5D9" w:rsidR="00B515BC" w:rsidRDefault="00C5351F">
      <w:r>
        <w:t xml:space="preserve">On the other hand, in the case of the x-axis, Craig Poole has been able to take Doubletree out of shambles and push it towards success in terms of brand reputation and effective hospitality. However, the manager lacked a little emphasis on generating greater revenue for the organisation and enhancing the production of the hotel. Mr Poole did not give much emphasis on marketing initiatives for the organisation. Marketing operations enable hotels and other organisations operating in the hospitality industry to gain exposure in the marketplace (Anser </w:t>
      </w:r>
      <w:r>
        <w:rPr>
          <w:i/>
        </w:rPr>
        <w:t xml:space="preserve">et al., </w:t>
      </w:r>
      <w:r>
        <w:t xml:space="preserve">2020). As a result, they </w:t>
      </w:r>
      <w:r w:rsidR="00281AE0">
        <w:t>can</w:t>
      </w:r>
      <w:r>
        <w:t xml:space="preserve"> attract investors from national and international spaces which increase the chances of expansion of business. However, the limited emphasis of Mr. Poole on marketing the </w:t>
      </w:r>
      <w:r>
        <w:lastRenderedPageBreak/>
        <w:t xml:space="preserve">hotel caused the organisation to stay within the bounds of Reading. Hence, he has been placed at 8 in the managerial grid and the preferred managerial style of Craig Poole is team management. </w:t>
      </w:r>
    </w:p>
    <w:p w14:paraId="1564DF77" w14:textId="77777777" w:rsidR="00B515BC" w:rsidRDefault="00C5351F">
      <w:r>
        <w:t xml:space="preserve">For the purpose of running an organisation effectively, it is important for the manager of the organisation to interact with the employees as well as the stakeholders of the organisation effectively (Kalogiannidis, 2020). Without proper organisational behaviour on the part of the manager, it is impossible for the organisation to run smoothly and for the employees to work efficiently (Andre, 2008). It is the responsibility of the manager to make the workers feel appreciated. This in turn motivates the workers to put in their efforts to the best of their abilities and generate desirable output for the organisation. In a similar manner, it is the responsibility of Craig Poole to make the workers at Doubletree feel welcomed. This motivated the workers and the employees in the hotel to show up each day at their workplace and do their work with great enthusiasm. </w:t>
      </w:r>
    </w:p>
    <w:p w14:paraId="1564DF78" w14:textId="77777777" w:rsidR="00B515BC" w:rsidRDefault="00C5351F">
      <w:r>
        <w:t xml:space="preserve">As per the statement by Werdhiastutie </w:t>
      </w:r>
      <w:r>
        <w:rPr>
          <w:i/>
        </w:rPr>
        <w:t xml:space="preserve">et al. </w:t>
      </w:r>
      <w:r>
        <w:t xml:space="preserve">(2020), a proper understanding of human relations is important for an individual to solve the position of a manager in an organisation. Understanding important aspects of human relations allows individuals to build strong relationships with their peers, coworkers as well as subordinates (Chen and Fellenz, 2020). In this regard, Craig Poole is responsible for managing the employees at Doubletree and communicating with them in a way that helps them feel secure in the organisation. The manager of Doubletree, Craig Poole has won multiple awards for his contribution to the hotel and his activities as a manager. For example, as a General Manager, he was awarded the Legacy Award by Doubletree. This shows that the individual has been able to work as a manager productively in the hospitality industry. </w:t>
      </w:r>
    </w:p>
    <w:p w14:paraId="1564DF79" w14:textId="77777777" w:rsidR="00B515BC" w:rsidRDefault="00C5351F">
      <w:r>
        <w:t xml:space="preserve">On the other hand, BODDY (2014) state that the manager in an organisation is at the head of management activities and is responsible for supervising operations related to human resource management, resource allocation, operations management and others. They are also responsible for hiring workers for an organisation in order to facilitate the operations of the organisation. Leadership is an important aspect of a business organisation where the leaders guide their subordinates and help with their work performance (Armstrong, 2012). In this regard, Craig Poole has also recruited workers and helped them grow in terms of their career prospects. He gave a chance to people belonging to different backgrounds and having different abilities. He also ensured that the workers were paid equally and worked towards making a productive </w:t>
      </w:r>
      <w:r>
        <w:lastRenderedPageBreak/>
        <w:t xml:space="preserve">organisation. Hence, it can be concluded that Craig Poole is an efficient manager who prefers team management as a managerial style in the hotel. </w:t>
      </w:r>
    </w:p>
    <w:p w14:paraId="566AA100" w14:textId="77777777" w:rsidR="00B9108F" w:rsidRDefault="00B9108F"/>
    <w:p w14:paraId="1564DF7A" w14:textId="77777777" w:rsidR="00B515BC" w:rsidRDefault="00C5351F">
      <w:pPr>
        <w:pStyle w:val="Titlu2"/>
      </w:pPr>
      <w:bookmarkStart w:id="11" w:name="_c02l5h2elb4z" w:colFirst="0" w:colLast="0"/>
      <w:bookmarkStart w:id="12" w:name="_Toc148459705"/>
      <w:bookmarkEnd w:id="11"/>
      <w:r>
        <w:t>2. Discussion of the effectiveness of Craig Poole according to Adair’s model of Action Centred Leadership (ACL)</w:t>
      </w:r>
      <w:bookmarkEnd w:id="12"/>
      <w:r>
        <w:t xml:space="preserve"> </w:t>
      </w:r>
    </w:p>
    <w:p w14:paraId="1564DF7B" w14:textId="77777777" w:rsidR="00B515BC" w:rsidRDefault="00C5351F">
      <w:r>
        <w:t xml:space="preserve">As stated by Adair (2009), a leader or an individual in an authoritative position in a business makes use of his best ideas in order to direct strategic leadership within the organisation. He introduces perspective and thoughts in a concise manner so that it becomes easier for the individuals in the organisation to walk the path to organisational success. In this aspect, Craig Poole prioritised offering meaningful and pleasant service to the employees in the organisation. </w:t>
      </w:r>
    </w:p>
    <w:p w14:paraId="1564DF7C" w14:textId="77777777" w:rsidR="00B515BC" w:rsidRDefault="00C5351F">
      <w:r>
        <w:t>Action-centred leadership (</w:t>
      </w:r>
      <w:smartTag w:uri="urn:schemas-microsoft-com:office:smarttags" w:element="stockticker">
        <w:r>
          <w:t>ACL</w:t>
        </w:r>
      </w:smartTag>
      <w:r>
        <w:t xml:space="preserve">) is a leadership Framework that helps managers and leaders in an organisation to effectively look after their team and help them achieve organisational goals in the organisation (Rulismi </w:t>
      </w:r>
      <w:r>
        <w:rPr>
          <w:i/>
        </w:rPr>
        <w:t>et al.</w:t>
      </w:r>
      <w:r>
        <w:t xml:space="preserve">, 2023). </w:t>
      </w:r>
    </w:p>
    <w:p w14:paraId="1564DF7D" w14:textId="77777777" w:rsidR="00B515BC" w:rsidRDefault="00C5351F">
      <w:pPr>
        <w:jc w:val="center"/>
      </w:pPr>
      <w:r>
        <w:rPr>
          <w:noProof/>
        </w:rPr>
        <w:drawing>
          <wp:inline distT="114300" distB="114300" distL="114300" distR="114300" wp14:anchorId="1564DFA8" wp14:editId="1564DFA9">
            <wp:extent cx="4867275" cy="33051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867275" cy="3305175"/>
                    </a:xfrm>
                    <a:prstGeom prst="rect">
                      <a:avLst/>
                    </a:prstGeom>
                    <a:ln/>
                  </pic:spPr>
                </pic:pic>
              </a:graphicData>
            </a:graphic>
          </wp:inline>
        </w:drawing>
      </w:r>
    </w:p>
    <w:p w14:paraId="1564DF7E" w14:textId="77777777" w:rsidR="00B515BC" w:rsidRDefault="00C5351F">
      <w:pPr>
        <w:jc w:val="center"/>
        <w:rPr>
          <w:b/>
        </w:rPr>
      </w:pPr>
      <w:r>
        <w:rPr>
          <w:b/>
        </w:rPr>
        <w:t>Figure 1: ACL model</w:t>
      </w:r>
    </w:p>
    <w:p w14:paraId="1564DF7F" w14:textId="77777777" w:rsidR="00B515BC" w:rsidRDefault="00C5351F">
      <w:pPr>
        <w:jc w:val="center"/>
      </w:pPr>
      <w:r>
        <w:t xml:space="preserve">(Source: Rulismi </w:t>
      </w:r>
      <w:r>
        <w:rPr>
          <w:i/>
        </w:rPr>
        <w:t>et al.</w:t>
      </w:r>
      <w:r>
        <w:t xml:space="preserve">, 2023) </w:t>
      </w:r>
    </w:p>
    <w:p w14:paraId="1564DF80" w14:textId="4A9ED2C6" w:rsidR="00B515BC" w:rsidRDefault="00C5351F">
      <w:r>
        <w:t xml:space="preserve">As per the above image, ACL leadership is divided into three aspects which include accomplishing tasks, developing and managing a team as well as helping individuals get empowered in an organisation. </w:t>
      </w:r>
      <w:r w:rsidR="00816476">
        <w:t>T</w:t>
      </w:r>
      <w:r>
        <w:t>he argument of Krumins (2022)</w:t>
      </w:r>
      <w:r w:rsidR="00816476">
        <w:t xml:space="preserve"> say</w:t>
      </w:r>
      <w:r w:rsidR="00D60E9D">
        <w:t>s that</w:t>
      </w:r>
      <w:r>
        <w:t xml:space="preserve"> a leader focusing on </w:t>
      </w:r>
      <w:r>
        <w:lastRenderedPageBreak/>
        <w:t xml:space="preserve">ACL leadership is </w:t>
      </w:r>
      <w:r w:rsidR="002E1C5D">
        <w:t>cap</w:t>
      </w:r>
      <w:r>
        <w:t>able to look after the needs of individual workers in the organisation. The leaders provide effective guidance to the</w:t>
      </w:r>
      <w:r w:rsidR="00E53157">
        <w:t>ir</w:t>
      </w:r>
      <w:r>
        <w:t xml:space="preserve"> workers and make active efforts to establish synergy in terms of the work performance of the team members. Craig exhibits leadership in alignment with the ACL model. </w:t>
      </w:r>
    </w:p>
    <w:p w14:paraId="1564DF81" w14:textId="77777777" w:rsidR="00B515BC" w:rsidRDefault="00C5351F">
      <w:pPr>
        <w:rPr>
          <w:i/>
        </w:rPr>
      </w:pPr>
      <w:r>
        <w:rPr>
          <w:i/>
        </w:rPr>
        <w:t xml:space="preserve">Tasks: </w:t>
      </w:r>
    </w:p>
    <w:p w14:paraId="1564DF82" w14:textId="77777777" w:rsidR="00B515BC" w:rsidRDefault="00C5351F">
      <w:r>
        <w:t xml:space="preserve">In terms of the key aspects of the model, the managerial activities of Craig can be analysed. With regard to task as a key aspect of ACL, Craig Poole looks after recruitment and supervising the staff members at the hotel. In accordance with YouTube (2021), the manager has recruited an employee who is formally a criminal. As per the statement by Prescott and Starr (2019), organisations are generally reluctant to provide employment opportunities to individuals with previous criminal records or those who have been detained in the past due to safety reasons. However, Craig took the chance to believe in the individual and their capability at present instead of relying on their past record. This shows that Craig is a leader who prefers to look at the present and is task-oriented. Instead of judging the individuals on the basis of their past mistakes, Craig chose to hire them in the hotel and guide them to become better in their work. Hence, tasks held a recognisable spot in the way Craig handled the organisational operations in the hotel and focused on promoting effective functionality and productivity in the organisation. He focused on developing a cohesive organisational culture and brought about a change in the organisation and its internal operation gradually over the course of time. </w:t>
      </w:r>
    </w:p>
    <w:p w14:paraId="1564DF83" w14:textId="77777777" w:rsidR="00B515BC" w:rsidRDefault="00C5351F">
      <w:pPr>
        <w:rPr>
          <w:i/>
        </w:rPr>
      </w:pPr>
      <w:r>
        <w:rPr>
          <w:i/>
        </w:rPr>
        <w:t xml:space="preserve">Team: </w:t>
      </w:r>
    </w:p>
    <w:p w14:paraId="1564DF84" w14:textId="64594234" w:rsidR="00B515BC" w:rsidRDefault="00C5351F">
      <w:r>
        <w:t xml:space="preserve">Without teamwork, it is impossible for an organisation to work collectively in order to achieve its strategic goals and plans (Obiekwe </w:t>
      </w:r>
      <w:r>
        <w:rPr>
          <w:i/>
        </w:rPr>
        <w:t xml:space="preserve">et al., </w:t>
      </w:r>
      <w:r>
        <w:t xml:space="preserve">2019). Hence, building a strong team of workers and managing the individual responsibly is an important aspect of managerial operations. As argued by Khuwaja </w:t>
      </w:r>
      <w:r>
        <w:rPr>
          <w:i/>
        </w:rPr>
        <w:t xml:space="preserve">et al. </w:t>
      </w:r>
      <w:r>
        <w:t xml:space="preserve">(2020), the friendly and supportive attitude of managers helps the growth of not only the workers but also the organisation itself. Craig Poole </w:t>
      </w:r>
      <w:r w:rsidR="00AF4819">
        <w:t>is</w:t>
      </w:r>
      <w:r>
        <w:t xml:space="preserve"> extremely focused on helping people in need and preferred to make people feel welcomed in </w:t>
      </w:r>
      <w:r w:rsidR="00E46AB2">
        <w:t>organization (or company)</w:t>
      </w:r>
      <w:r w:rsidR="00462E3A">
        <w:t>,</w:t>
      </w:r>
      <w:r>
        <w:t xml:space="preserve"> </w:t>
      </w:r>
      <w:r w:rsidR="0068357A">
        <w:t>regardless of whether</w:t>
      </w:r>
      <w:r w:rsidR="000939C4">
        <w:t xml:space="preserve"> </w:t>
      </w:r>
      <w:r>
        <w:t xml:space="preserve">it </w:t>
      </w:r>
      <w:r w:rsidR="000939C4">
        <w:t xml:space="preserve">is, </w:t>
      </w:r>
      <w:r>
        <w:t xml:space="preserve">a new employee or a guest. As a result, everyone in the organisation looks forward to working with Craig Poole. The friendliness and warm attitude of the manager towards the employees motivated them to work with the organisation to the best of their abilities (He </w:t>
      </w:r>
      <w:r>
        <w:rPr>
          <w:i/>
        </w:rPr>
        <w:t xml:space="preserve">et al., </w:t>
      </w:r>
      <w:r>
        <w:t xml:space="preserve">2021). </w:t>
      </w:r>
      <w:r w:rsidR="00EB03A0">
        <w:t>It means</w:t>
      </w:r>
      <w:r>
        <w:t xml:space="preserve">, the leader </w:t>
      </w:r>
      <w:r w:rsidR="00EB03A0">
        <w:t>is</w:t>
      </w:r>
      <w:r>
        <w:t xml:space="preserve"> able to develop a strong bond with the workers at Doubletree and build a team whose members believed in each other and could rely on </w:t>
      </w:r>
      <w:r>
        <w:lastRenderedPageBreak/>
        <w:t xml:space="preserve">them for anything. It is the responsibility of the manager in an organisation to look after the needs and resources required for fulfilling the work responsibilities in the organisation. Hence, the zeal to manage responsibilities at Doubletree and work towards the betterment of the organisation allowed Craig to build a supportive team of workers. Workers who are capable of working with a manager closely are able to utilise the experience of the manager and enhance their work performance. In a similar way, staff members at Doubletree looked up to Craig and fulfilled responsibilities in the organisation. </w:t>
      </w:r>
    </w:p>
    <w:p w14:paraId="1564DF85" w14:textId="77777777" w:rsidR="00B515BC" w:rsidRDefault="00C5351F">
      <w:pPr>
        <w:rPr>
          <w:i/>
        </w:rPr>
      </w:pPr>
      <w:r>
        <w:rPr>
          <w:i/>
        </w:rPr>
        <w:t xml:space="preserve">Individuals: </w:t>
      </w:r>
    </w:p>
    <w:p w14:paraId="1564DF86" w14:textId="77777777" w:rsidR="00B515BC" w:rsidRDefault="00C5351F">
      <w:r>
        <w:t xml:space="preserve">One of the most important aspects of being a good manager is to hold together everyone in an organisation and help workers achieve career success (HRM Guide, 2021). Craig also focused on helping the staff at Doubletree grow and helped them with their responsibilities. He provided them with effective guidance and allowed them to explore the workplace on their own. Incorporating inclusivity and diversity in an organisation allows a manager to ensure that individuals having varied understandings and perspectives are included in an organisation. This helps in developing a wide spectrum of perspectives in the organisation. Hence, the positive attitude towards inclusive and diversified workplace development by Craig Poole at Doubletree allowed the organisation to have differently-abled individuals. The organisation included staff members having Down syndrome and other disabilities. Mullins and McLean (2019) argued that workers feel motivated when they face discrimination in terms of their work responsibilities as well as the compensation they receive for their hard work. However, in terms of salary, the workers did not face any discrimination and were fairly compensated as any other individual at Doubletree. Hence, under the leadership of Craig Poole, the organisation has been able to achieve new heights in the hospitality industry of Pennsylvania and allowed the workers to grow in terms of their professional careers as well. </w:t>
      </w:r>
    </w:p>
    <w:p w14:paraId="5FF2D0D2" w14:textId="77777777" w:rsidR="00B9108F" w:rsidRDefault="00B9108F"/>
    <w:p w14:paraId="1564DF87" w14:textId="77777777" w:rsidR="00B515BC" w:rsidRDefault="00C5351F">
      <w:pPr>
        <w:pStyle w:val="Titlu1"/>
      </w:pPr>
      <w:bookmarkStart w:id="13" w:name="_xx9cs92wbsv6" w:colFirst="0" w:colLast="0"/>
      <w:bookmarkStart w:id="14" w:name="_Toc148459706"/>
      <w:bookmarkEnd w:id="13"/>
      <w:r>
        <w:t>Conclusion</w:t>
      </w:r>
      <w:bookmarkEnd w:id="14"/>
    </w:p>
    <w:p w14:paraId="1564DF8A" w14:textId="5BA4A496" w:rsidR="00B515BC" w:rsidRDefault="00C5351F">
      <w:r>
        <w:t xml:space="preserve">Based on the above discussion and analysis, it can be inferred that Craig Poole is a great manager and an even better individual. The friendly and supportive nature of the individual has helped Doubletree by Hilton to grow in the industry and leave a mark in Reading. The study has provided a clear justification of managerial activities with regard to ACL leadership and has also analysed the work performed by Craig Poole in line with the Blake and Mouton Managerial grid. </w:t>
      </w:r>
    </w:p>
    <w:p w14:paraId="1564DF8B" w14:textId="77777777" w:rsidR="00B515BC" w:rsidRDefault="00C5351F">
      <w:pPr>
        <w:pStyle w:val="Titlu1"/>
      </w:pPr>
      <w:bookmarkStart w:id="15" w:name="_5fk7fsy2dd3j" w:colFirst="0" w:colLast="0"/>
      <w:bookmarkStart w:id="16" w:name="_Toc148459707"/>
      <w:bookmarkEnd w:id="15"/>
      <w:r>
        <w:lastRenderedPageBreak/>
        <w:t>Reference</w:t>
      </w:r>
      <w:bookmarkEnd w:id="16"/>
    </w:p>
    <w:p w14:paraId="1564DF8C" w14:textId="77777777" w:rsidR="00B515BC" w:rsidRDefault="00C5351F">
      <w:pPr>
        <w:rPr>
          <w:color w:val="222222"/>
          <w:highlight w:val="white"/>
        </w:rPr>
      </w:pPr>
      <w:r>
        <w:rPr>
          <w:color w:val="222222"/>
          <w:highlight w:val="white"/>
        </w:rPr>
        <w:t xml:space="preserve">Andre, R., 2008. </w:t>
      </w:r>
      <w:r>
        <w:rPr>
          <w:i/>
          <w:color w:val="222222"/>
          <w:highlight w:val="white"/>
        </w:rPr>
        <w:t>Organizational behavior</w:t>
      </w:r>
      <w:r>
        <w:rPr>
          <w:color w:val="222222"/>
          <w:highlight w:val="white"/>
        </w:rPr>
        <w:t>. Pearson Education India.</w:t>
      </w:r>
    </w:p>
    <w:p w14:paraId="1564DF8D" w14:textId="77777777" w:rsidR="00B515BC" w:rsidRDefault="00C5351F">
      <w:r>
        <w:rPr>
          <w:color w:val="222222"/>
          <w:highlight w:val="white"/>
        </w:rPr>
        <w:t xml:space="preserve">Anser, M.K., Yousaf, Z., Usman, M. and Yousaf, S., 2020. Towards strategic business performance of the hospitality sector: Nexus of ICT, E-marketing and organizational readiness. </w:t>
      </w:r>
      <w:r>
        <w:rPr>
          <w:i/>
          <w:color w:val="222222"/>
          <w:highlight w:val="white"/>
        </w:rPr>
        <w:t>Sustainability</w:t>
      </w:r>
      <w:r>
        <w:rPr>
          <w:color w:val="222222"/>
          <w:highlight w:val="white"/>
        </w:rPr>
        <w:t xml:space="preserve">, </w:t>
      </w:r>
      <w:r>
        <w:rPr>
          <w:i/>
          <w:color w:val="222222"/>
          <w:highlight w:val="white"/>
        </w:rPr>
        <w:t>12</w:t>
      </w:r>
      <w:r>
        <w:rPr>
          <w:color w:val="222222"/>
          <w:highlight w:val="white"/>
        </w:rPr>
        <w:t>(4), p.1346.</w:t>
      </w:r>
    </w:p>
    <w:p w14:paraId="1564DF8E" w14:textId="77777777" w:rsidR="00B515BC" w:rsidRDefault="00C5351F">
      <w:r>
        <w:rPr>
          <w:color w:val="222222"/>
          <w:highlight w:val="white"/>
        </w:rPr>
        <w:t xml:space="preserve">Armstrong, M., 2012. </w:t>
      </w:r>
      <w:r>
        <w:rPr>
          <w:i/>
          <w:color w:val="222222"/>
          <w:highlight w:val="white"/>
        </w:rPr>
        <w:t>Armstrong's handbook of management and leadership: developing effective people skills for better leadership and management</w:t>
      </w:r>
      <w:r>
        <w:rPr>
          <w:color w:val="222222"/>
          <w:highlight w:val="white"/>
        </w:rPr>
        <w:t>. Kogan Page Publishers.</w:t>
      </w:r>
    </w:p>
    <w:p w14:paraId="1564DF8F" w14:textId="77777777" w:rsidR="00B515BC" w:rsidRDefault="00C5351F">
      <w:pPr>
        <w:rPr>
          <w:color w:val="222222"/>
          <w:highlight w:val="white"/>
        </w:rPr>
      </w:pPr>
      <w:r>
        <w:rPr>
          <w:color w:val="222222"/>
          <w:highlight w:val="white"/>
        </w:rPr>
        <w:t>BODDY, D., 2014. Management: An Introduction, Harlow.</w:t>
      </w:r>
    </w:p>
    <w:p w14:paraId="1564DF90" w14:textId="77777777" w:rsidR="00B515BC" w:rsidRDefault="00C5351F">
      <w:pPr>
        <w:rPr>
          <w:color w:val="222222"/>
          <w:highlight w:val="white"/>
        </w:rPr>
      </w:pPr>
      <w:r>
        <w:rPr>
          <w:color w:val="222222"/>
          <w:highlight w:val="white"/>
        </w:rPr>
        <w:t xml:space="preserve">Chen, I.S. and Fellenz, M.R., 2020. Personal resources and personal demands for work engagement: Evidence from employees in the service industry. </w:t>
      </w:r>
      <w:r>
        <w:rPr>
          <w:i/>
          <w:color w:val="222222"/>
          <w:highlight w:val="white"/>
        </w:rPr>
        <w:t>International journal of hospitality management</w:t>
      </w:r>
      <w:r>
        <w:rPr>
          <w:color w:val="222222"/>
          <w:highlight w:val="white"/>
        </w:rPr>
        <w:t xml:space="preserve">, </w:t>
      </w:r>
      <w:r>
        <w:rPr>
          <w:i/>
          <w:color w:val="222222"/>
          <w:highlight w:val="white"/>
        </w:rPr>
        <w:t>90</w:t>
      </w:r>
      <w:r>
        <w:rPr>
          <w:color w:val="222222"/>
          <w:highlight w:val="white"/>
        </w:rPr>
        <w:t>, p.102600.</w:t>
      </w:r>
    </w:p>
    <w:p w14:paraId="1564DF91" w14:textId="77777777" w:rsidR="00B515BC" w:rsidRDefault="00C5351F">
      <w:pPr>
        <w:rPr>
          <w:color w:val="222222"/>
          <w:highlight w:val="white"/>
        </w:rPr>
      </w:pPr>
      <w:r>
        <w:rPr>
          <w:color w:val="222222"/>
          <w:highlight w:val="white"/>
        </w:rPr>
        <w:t xml:space="preserve">He, J., Mao, Y., Morrison, A.M. and Coca-Stefaniak, J.A., 2021. On being warm and friendly: the effect of socially responsible human resource management on employee fears of the threats of COVID-19. </w:t>
      </w:r>
      <w:r>
        <w:rPr>
          <w:i/>
          <w:color w:val="222222"/>
          <w:highlight w:val="white"/>
        </w:rPr>
        <w:t>International Journal of Contemporary Hospitality Management</w:t>
      </w:r>
      <w:r>
        <w:rPr>
          <w:color w:val="222222"/>
          <w:highlight w:val="white"/>
        </w:rPr>
        <w:t xml:space="preserve">, </w:t>
      </w:r>
      <w:r>
        <w:rPr>
          <w:i/>
          <w:color w:val="222222"/>
          <w:highlight w:val="white"/>
        </w:rPr>
        <w:t>33</w:t>
      </w:r>
      <w:r>
        <w:rPr>
          <w:color w:val="222222"/>
          <w:highlight w:val="white"/>
        </w:rPr>
        <w:t>(1), pp.346-366.</w:t>
      </w:r>
    </w:p>
    <w:p w14:paraId="1564DF92" w14:textId="77777777" w:rsidR="00B515BC" w:rsidRDefault="00C5351F">
      <w:pPr>
        <w:rPr>
          <w:color w:val="222222"/>
          <w:highlight w:val="white"/>
        </w:rPr>
      </w:pPr>
      <w:r>
        <w:t xml:space="preserve">HRM Guide, 2021. Available at: </w:t>
      </w:r>
      <w:hyperlink r:id="rId7">
        <w:r>
          <w:rPr>
            <w:color w:val="1155CC"/>
            <w:u w:val="single"/>
          </w:rPr>
          <w:t>https://www.hrmguide.net/management/what-makes-a-good-manager.htm</w:t>
        </w:r>
      </w:hyperlink>
      <w:r>
        <w:t xml:space="preserve"> </w:t>
      </w:r>
    </w:p>
    <w:p w14:paraId="1564DF93" w14:textId="77777777" w:rsidR="00B515BC" w:rsidRDefault="00C5351F">
      <w:r>
        <w:rPr>
          <w:color w:val="222222"/>
          <w:highlight w:val="white"/>
        </w:rPr>
        <w:t xml:space="preserve">Islam, R. and Hassan Jalil Shah, D.S.H.A., 2022. THE MANAGERIAL GRID–THE MAKING OF A CLEVER DEVICE FOR DEPICTING MANAGERIAL STYLES. </w:t>
      </w:r>
      <w:r>
        <w:rPr>
          <w:i/>
          <w:color w:val="222222"/>
          <w:highlight w:val="white"/>
        </w:rPr>
        <w:t>Pakistan Journal of International Affairs</w:t>
      </w:r>
      <w:r>
        <w:rPr>
          <w:color w:val="222222"/>
          <w:highlight w:val="white"/>
        </w:rPr>
        <w:t xml:space="preserve">, </w:t>
      </w:r>
      <w:r>
        <w:rPr>
          <w:i/>
          <w:color w:val="222222"/>
          <w:highlight w:val="white"/>
        </w:rPr>
        <w:t>5</w:t>
      </w:r>
      <w:r>
        <w:rPr>
          <w:color w:val="222222"/>
          <w:highlight w:val="white"/>
        </w:rPr>
        <w:t>(3).</w:t>
      </w:r>
    </w:p>
    <w:p w14:paraId="1564DF94" w14:textId="77777777" w:rsidR="00B515BC" w:rsidRDefault="00C5351F">
      <w:r>
        <w:rPr>
          <w:color w:val="222222"/>
          <w:highlight w:val="white"/>
        </w:rPr>
        <w:t xml:space="preserve">Kalogiannidis, S., 2020. Impact of effective business communication on employee performance. </w:t>
      </w:r>
      <w:r>
        <w:rPr>
          <w:i/>
          <w:color w:val="222222"/>
          <w:highlight w:val="white"/>
        </w:rPr>
        <w:t>European Journal of Business and Management Research</w:t>
      </w:r>
      <w:r>
        <w:rPr>
          <w:color w:val="222222"/>
          <w:highlight w:val="white"/>
        </w:rPr>
        <w:t xml:space="preserve">, </w:t>
      </w:r>
      <w:r>
        <w:rPr>
          <w:i/>
          <w:color w:val="222222"/>
          <w:highlight w:val="white"/>
        </w:rPr>
        <w:t>5</w:t>
      </w:r>
      <w:r>
        <w:rPr>
          <w:color w:val="222222"/>
          <w:highlight w:val="white"/>
        </w:rPr>
        <w:t>(6).</w:t>
      </w:r>
    </w:p>
    <w:p w14:paraId="1564DF95" w14:textId="77777777" w:rsidR="00B515BC" w:rsidRDefault="00C5351F">
      <w:pPr>
        <w:rPr>
          <w:color w:val="222222"/>
          <w:highlight w:val="white"/>
        </w:rPr>
      </w:pPr>
      <w:r>
        <w:rPr>
          <w:color w:val="222222"/>
          <w:highlight w:val="white"/>
        </w:rPr>
        <w:t xml:space="preserve">Khuwaja, U., Ahmed, K., Abid, G. and Adeel, A., 2020. Leadership and employee attitudes: The mediating role of perception of organizational politics. </w:t>
      </w:r>
      <w:r>
        <w:rPr>
          <w:i/>
          <w:color w:val="222222"/>
          <w:highlight w:val="white"/>
        </w:rPr>
        <w:t>Cogent Business &amp; Management</w:t>
      </w:r>
      <w:r>
        <w:rPr>
          <w:color w:val="222222"/>
          <w:highlight w:val="white"/>
        </w:rPr>
        <w:t xml:space="preserve">, </w:t>
      </w:r>
      <w:r>
        <w:rPr>
          <w:i/>
          <w:color w:val="222222"/>
          <w:highlight w:val="white"/>
        </w:rPr>
        <w:t>7</w:t>
      </w:r>
      <w:r>
        <w:rPr>
          <w:color w:val="222222"/>
          <w:highlight w:val="white"/>
        </w:rPr>
        <w:t>(1), p.1720066.</w:t>
      </w:r>
    </w:p>
    <w:p w14:paraId="1564DF96" w14:textId="77777777" w:rsidR="00B515BC" w:rsidRDefault="00C5351F">
      <w:r>
        <w:rPr>
          <w:color w:val="222222"/>
          <w:highlight w:val="white"/>
        </w:rPr>
        <w:t>Krumins, M., 2022. Leadership development through team sports and its implementation in business organizations.</w:t>
      </w:r>
    </w:p>
    <w:p w14:paraId="1564DF97" w14:textId="77777777" w:rsidR="00B515BC" w:rsidRDefault="00C5351F">
      <w:r>
        <w:rPr>
          <w:color w:val="222222"/>
          <w:highlight w:val="white"/>
        </w:rPr>
        <w:t xml:space="preserve">Mindapa, A.K., 2022. Critical Evaluation of Blake And Mouton’s Managerial Grid and Its Application To Baze University Library. </w:t>
      </w:r>
      <w:r>
        <w:rPr>
          <w:i/>
          <w:color w:val="222222"/>
          <w:highlight w:val="white"/>
        </w:rPr>
        <w:t>Library Philosophy &amp; Practice</w:t>
      </w:r>
      <w:r>
        <w:rPr>
          <w:color w:val="222222"/>
          <w:highlight w:val="white"/>
        </w:rPr>
        <w:t>.</w:t>
      </w:r>
    </w:p>
    <w:p w14:paraId="1564DF98" w14:textId="77777777" w:rsidR="00B515BC" w:rsidRDefault="00C5351F">
      <w:pPr>
        <w:rPr>
          <w:color w:val="222222"/>
          <w:highlight w:val="white"/>
        </w:rPr>
      </w:pPr>
      <w:r>
        <w:rPr>
          <w:color w:val="222222"/>
          <w:highlight w:val="white"/>
        </w:rPr>
        <w:t>Mullins, L. and Dosser, P., 2013. Hospitality Management and Organisational Behaviour (5th Ed) Harlow, Pearson.</w:t>
      </w:r>
    </w:p>
    <w:p w14:paraId="1564DF99" w14:textId="77777777" w:rsidR="00B515BC" w:rsidRDefault="00C5351F">
      <w:pPr>
        <w:rPr>
          <w:color w:val="222222"/>
          <w:highlight w:val="white"/>
        </w:rPr>
      </w:pPr>
      <w:r>
        <w:rPr>
          <w:color w:val="222222"/>
          <w:highlight w:val="white"/>
        </w:rPr>
        <w:lastRenderedPageBreak/>
        <w:t xml:space="preserve">Mullins, L.J. and McLean, J.E., 2019. </w:t>
      </w:r>
      <w:r>
        <w:rPr>
          <w:i/>
          <w:color w:val="222222"/>
          <w:highlight w:val="white"/>
        </w:rPr>
        <w:t>Organisational behaviour in the workplace</w:t>
      </w:r>
      <w:r>
        <w:rPr>
          <w:color w:val="222222"/>
          <w:highlight w:val="white"/>
        </w:rPr>
        <w:t>. Harlow: Pearson.</w:t>
      </w:r>
    </w:p>
    <w:p w14:paraId="1564DF9A" w14:textId="77777777" w:rsidR="00B515BC" w:rsidRDefault="00C5351F">
      <w:pPr>
        <w:rPr>
          <w:color w:val="222222"/>
          <w:highlight w:val="white"/>
        </w:rPr>
      </w:pPr>
      <w:r>
        <w:rPr>
          <w:color w:val="222222"/>
          <w:highlight w:val="white"/>
        </w:rPr>
        <w:t xml:space="preserve">Obiekwe, O., Zeb-Obipi, I. and Ejo-Orusa, H., 2019. Employee involvement in organizations: Benefits, challenges and implications. </w:t>
      </w:r>
      <w:r>
        <w:rPr>
          <w:i/>
          <w:color w:val="222222"/>
          <w:highlight w:val="white"/>
        </w:rPr>
        <w:t>Management and Human Resource Research Journal</w:t>
      </w:r>
      <w:r>
        <w:rPr>
          <w:color w:val="222222"/>
          <w:highlight w:val="white"/>
        </w:rPr>
        <w:t xml:space="preserve">, </w:t>
      </w:r>
      <w:r>
        <w:rPr>
          <w:i/>
          <w:color w:val="222222"/>
          <w:highlight w:val="white"/>
        </w:rPr>
        <w:t>8</w:t>
      </w:r>
      <w:r>
        <w:rPr>
          <w:color w:val="222222"/>
          <w:highlight w:val="white"/>
        </w:rPr>
        <w:t>(8), pp.1-11.</w:t>
      </w:r>
    </w:p>
    <w:p w14:paraId="1564DF9B" w14:textId="77777777" w:rsidR="00B515BC" w:rsidRDefault="00C5351F">
      <w:pPr>
        <w:rPr>
          <w:color w:val="222222"/>
          <w:highlight w:val="white"/>
        </w:rPr>
      </w:pPr>
      <w:r>
        <w:rPr>
          <w:color w:val="222222"/>
          <w:highlight w:val="white"/>
        </w:rPr>
        <w:t xml:space="preserve">Prescott, J.J. and Starr, S.B., 2019. Expungement of criminal convictions: An empirical study. </w:t>
      </w:r>
      <w:r>
        <w:rPr>
          <w:i/>
          <w:color w:val="222222"/>
          <w:highlight w:val="white"/>
        </w:rPr>
        <w:t>Harv. L. Rev.</w:t>
      </w:r>
      <w:r>
        <w:rPr>
          <w:color w:val="222222"/>
          <w:highlight w:val="white"/>
        </w:rPr>
        <w:t xml:space="preserve">, </w:t>
      </w:r>
      <w:r>
        <w:rPr>
          <w:i/>
          <w:color w:val="222222"/>
          <w:highlight w:val="white"/>
        </w:rPr>
        <w:t>133</w:t>
      </w:r>
      <w:r>
        <w:rPr>
          <w:color w:val="222222"/>
          <w:highlight w:val="white"/>
        </w:rPr>
        <w:t>, p.2460.</w:t>
      </w:r>
    </w:p>
    <w:p w14:paraId="1564DF9C" w14:textId="77777777" w:rsidR="00B515BC" w:rsidRDefault="00C5351F">
      <w:r>
        <w:rPr>
          <w:color w:val="222222"/>
          <w:highlight w:val="white"/>
        </w:rPr>
        <w:t xml:space="preserve">Rulismi, D., Mesterjon, M. and Hamzah, S., 2023, September. The development of a school principal leadership model oriented towards professional performance. In </w:t>
      </w:r>
      <w:r>
        <w:rPr>
          <w:i/>
          <w:color w:val="222222"/>
          <w:highlight w:val="white"/>
        </w:rPr>
        <w:t>International Conference on Science, Education, and Technology</w:t>
      </w:r>
      <w:r>
        <w:rPr>
          <w:color w:val="222222"/>
          <w:highlight w:val="white"/>
        </w:rPr>
        <w:t xml:space="preserve"> (Vol. 9, pp. 198-201).</w:t>
      </w:r>
    </w:p>
    <w:p w14:paraId="1564DF9D" w14:textId="77777777" w:rsidR="00B515BC" w:rsidRDefault="00C5351F">
      <w:pPr>
        <w:rPr>
          <w:color w:val="222222"/>
          <w:highlight w:val="white"/>
        </w:rPr>
      </w:pPr>
      <w:r>
        <w:rPr>
          <w:color w:val="222222"/>
          <w:highlight w:val="white"/>
        </w:rPr>
        <w:t xml:space="preserve">Werdhiastutie, A., Suhariadi, F. and Partiwi, S.G., 2020. Achievement motivation as antecedents of quality improvement of organizational human resources. </w:t>
      </w:r>
      <w:r>
        <w:rPr>
          <w:i/>
          <w:color w:val="222222"/>
          <w:highlight w:val="white"/>
        </w:rPr>
        <w:t>Budapest International Research and Critics Institute-Journal (BIRCI-Journal) Volume</w:t>
      </w:r>
      <w:r>
        <w:rPr>
          <w:color w:val="222222"/>
          <w:highlight w:val="white"/>
        </w:rPr>
        <w:t xml:space="preserve">, </w:t>
      </w:r>
      <w:r>
        <w:rPr>
          <w:i/>
          <w:color w:val="222222"/>
          <w:highlight w:val="white"/>
        </w:rPr>
        <w:t>3</w:t>
      </w:r>
      <w:r>
        <w:rPr>
          <w:color w:val="222222"/>
          <w:highlight w:val="white"/>
        </w:rPr>
        <w:t>, pp.747-752.</w:t>
      </w:r>
    </w:p>
    <w:p w14:paraId="1564DF9E" w14:textId="77777777" w:rsidR="00B515BC" w:rsidRDefault="00C5351F">
      <w:r>
        <w:t xml:space="preserve">Youtube, 2021. Available at: </w:t>
      </w:r>
      <w:hyperlink r:id="rId8">
        <w:r>
          <w:rPr>
            <w:color w:val="1155CC"/>
            <w:u w:val="single"/>
          </w:rPr>
          <w:t>https://www.youtube.com/watch?v=Lrh5QIW67Mk</w:t>
        </w:r>
      </w:hyperlink>
      <w:r>
        <w:t xml:space="preserve"> </w:t>
      </w:r>
    </w:p>
    <w:p w14:paraId="1564DF9F" w14:textId="77777777" w:rsidR="00B515BC" w:rsidRDefault="00C5351F">
      <w:pPr>
        <w:rPr>
          <w:rFonts w:ascii="Arial" w:eastAsia="Arial" w:hAnsi="Arial" w:cs="Arial"/>
          <w:color w:val="222222"/>
          <w:sz w:val="20"/>
          <w:szCs w:val="20"/>
          <w:highlight w:val="white"/>
        </w:rPr>
      </w:pPr>
      <w:r>
        <w:rPr>
          <w:color w:val="222222"/>
          <w:highlight w:val="white"/>
        </w:rPr>
        <w:t xml:space="preserve">Yue, C.A., Men, L.R. and Ferguson, M.A., 2021. Examining the effects of internal communication and emotional culture on employees’ organizational identification. </w:t>
      </w:r>
      <w:r>
        <w:rPr>
          <w:i/>
          <w:color w:val="222222"/>
          <w:highlight w:val="white"/>
        </w:rPr>
        <w:t>International Journal of Business Communication</w:t>
      </w:r>
      <w:r>
        <w:rPr>
          <w:color w:val="222222"/>
          <w:highlight w:val="white"/>
        </w:rPr>
        <w:t xml:space="preserve">, </w:t>
      </w:r>
      <w:r>
        <w:rPr>
          <w:i/>
          <w:color w:val="222222"/>
          <w:highlight w:val="white"/>
        </w:rPr>
        <w:t>58</w:t>
      </w:r>
      <w:r>
        <w:rPr>
          <w:color w:val="222222"/>
          <w:highlight w:val="white"/>
        </w:rPr>
        <w:t>(2), pp.169-195.</w:t>
      </w:r>
    </w:p>
    <w:p w14:paraId="1564DFA0" w14:textId="77777777" w:rsidR="00B515BC" w:rsidRDefault="00B515BC"/>
    <w:p w14:paraId="1564DFA1" w14:textId="77777777" w:rsidR="00B515BC" w:rsidRDefault="00B515BC"/>
    <w:p w14:paraId="1564DFA2" w14:textId="77777777" w:rsidR="00B515BC" w:rsidRDefault="00B515BC"/>
    <w:p w14:paraId="1564DFA3" w14:textId="77777777" w:rsidR="00B515BC" w:rsidRDefault="00B515BC"/>
    <w:p w14:paraId="1564DFA4" w14:textId="77777777" w:rsidR="00B515BC" w:rsidRDefault="00B515BC"/>
    <w:p w14:paraId="1564DFA5" w14:textId="77777777" w:rsidR="00B515BC" w:rsidRDefault="00B515BC">
      <w:pPr>
        <w:widowControl w:val="0"/>
        <w:pBdr>
          <w:top w:val="nil"/>
          <w:left w:val="nil"/>
          <w:bottom w:val="nil"/>
          <w:right w:val="nil"/>
          <w:between w:val="nil"/>
        </w:pBdr>
        <w:spacing w:line="276" w:lineRule="auto"/>
        <w:jc w:val="left"/>
      </w:pPr>
    </w:p>
    <w:sectPr w:rsidR="00B515BC" w:rsidSect="00C5351F">
      <w:pgSz w:w="12240" w:h="15840"/>
      <w:pgMar w:top="1440" w:right="1440" w:bottom="1440" w:left="1440" w:header="720" w:footer="720" w:gutter="0"/>
      <w:pgNumType w:start="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4"/>
    <w:compatSetting w:name="useWord2013TrackBottomHyphenation" w:uri="http://schemas.microsoft.com/office/word" w:val="1"/>
  </w:compat>
  <w:rsids>
    <w:rsidRoot w:val="00B515BC"/>
    <w:rsid w:val="000939C4"/>
    <w:rsid w:val="001E75FF"/>
    <w:rsid w:val="00281AE0"/>
    <w:rsid w:val="002E1C5D"/>
    <w:rsid w:val="00462E3A"/>
    <w:rsid w:val="0068357A"/>
    <w:rsid w:val="00816476"/>
    <w:rsid w:val="00AF4819"/>
    <w:rsid w:val="00B515BC"/>
    <w:rsid w:val="00B61B44"/>
    <w:rsid w:val="00B9108F"/>
    <w:rsid w:val="00C5351F"/>
    <w:rsid w:val="00D60E9D"/>
    <w:rsid w:val="00E46AB2"/>
    <w:rsid w:val="00E53157"/>
    <w:rsid w:val="00EB03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1564DECD"/>
  <w15:docId w15:val="{12D40513-46DE-45F0-9227-54AA01F98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sz w:val="28"/>
      <w:szCs w:val="28"/>
    </w:rPr>
  </w:style>
  <w:style w:type="paragraph" w:styleId="Titlu2">
    <w:name w:val="heading 2"/>
    <w:basedOn w:val="Normal"/>
    <w:next w:val="Normal"/>
    <w:pPr>
      <w:keepNext/>
      <w:keepLines/>
      <w:outlineLvl w:val="1"/>
    </w:pPr>
    <w:rPr>
      <w:b/>
      <w:i/>
    </w:rPr>
  </w:style>
  <w:style w:type="paragraph" w:styleId="Titlu3">
    <w:name w:val="heading 3"/>
    <w:basedOn w:val="Normal"/>
    <w:next w:val="Normal"/>
    <w:pPr>
      <w:keepNext/>
      <w:keepLines/>
      <w:outlineLvl w:val="2"/>
    </w:pPr>
    <w:rPr>
      <w:b/>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jc w:val="center"/>
    </w:pPr>
    <w:rPr>
      <w:b/>
      <w:sz w:val="32"/>
      <w:szCs w:val="32"/>
      <w:highlight w:val="white"/>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TextnBalon">
    <w:name w:val="Balloon Text"/>
    <w:basedOn w:val="Normal"/>
    <w:link w:val="TextnBalonCaracter"/>
    <w:uiPriority w:val="99"/>
    <w:semiHidden/>
    <w:unhideWhenUsed/>
    <w:rsid w:val="00C5351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5351F"/>
    <w:rPr>
      <w:rFonts w:ascii="Tahoma" w:hAnsi="Tahoma" w:cs="Tahoma"/>
      <w:sz w:val="16"/>
      <w:szCs w:val="16"/>
    </w:rPr>
  </w:style>
  <w:style w:type="paragraph" w:styleId="Titlucuprins">
    <w:name w:val="TOC Heading"/>
    <w:basedOn w:val="Titlu1"/>
    <w:next w:val="Normal"/>
    <w:uiPriority w:val="39"/>
    <w:unhideWhenUsed/>
    <w:qFormat/>
    <w:rsid w:val="00C5351F"/>
    <w:pPr>
      <w:spacing w:before="480" w:line="276" w:lineRule="auto"/>
      <w:jc w:val="left"/>
      <w:outlineLvl w:val="9"/>
    </w:pPr>
    <w:rPr>
      <w:rFonts w:asciiTheme="majorHAnsi" w:eastAsiaTheme="majorEastAsia" w:hAnsiTheme="majorHAnsi" w:cstheme="majorBidi"/>
      <w:bCs/>
      <w:color w:val="365F91" w:themeColor="accent1" w:themeShade="BF"/>
      <w:lang w:eastAsia="ja-JP"/>
    </w:rPr>
  </w:style>
  <w:style w:type="paragraph" w:styleId="Cuprins1">
    <w:name w:val="toc 1"/>
    <w:basedOn w:val="Normal"/>
    <w:next w:val="Normal"/>
    <w:autoRedefine/>
    <w:uiPriority w:val="39"/>
    <w:unhideWhenUsed/>
    <w:rsid w:val="00C5351F"/>
    <w:pPr>
      <w:spacing w:after="100"/>
    </w:pPr>
  </w:style>
  <w:style w:type="paragraph" w:styleId="Cuprins2">
    <w:name w:val="toc 2"/>
    <w:basedOn w:val="Normal"/>
    <w:next w:val="Normal"/>
    <w:autoRedefine/>
    <w:uiPriority w:val="39"/>
    <w:unhideWhenUsed/>
    <w:rsid w:val="00C5351F"/>
    <w:pPr>
      <w:spacing w:after="100"/>
      <w:ind w:left="240"/>
    </w:pPr>
  </w:style>
  <w:style w:type="character" w:styleId="Hyperlink">
    <w:name w:val="Hyperlink"/>
    <w:basedOn w:val="Fontdeparagrafimplicit"/>
    <w:uiPriority w:val="99"/>
    <w:unhideWhenUsed/>
    <w:rsid w:val="00C535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youtube.com/watch?v=Lrh5QIW67Mk" TargetMode="External"/><Relationship Id="rId3" Type="http://schemas.openxmlformats.org/officeDocument/2006/relationships/settings" Target="settings.xml"/><Relationship Id="rId7" Type="http://schemas.openxmlformats.org/officeDocument/2006/relationships/hyperlink" Target="https://www.hrmguide.net/management/what-makes-a-good-manager.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BEC10F-967F-48B2-9786-B4B9D7FA1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9</Pages>
  <Words>2412</Words>
  <Characters>13991</Characters>
  <Application>Microsoft Office Word</Application>
  <DocSecurity>0</DocSecurity>
  <Lines>116</Lines>
  <Paragraphs>32</Paragraphs>
  <ScaleCrop>false</ScaleCrop>
  <Company>Microsoft Corporation</Company>
  <LinksUpToDate>false</LinksUpToDate>
  <CharactersWithSpaces>16371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Bogdan-Adrian Gisca</cp:lastModifiedBy>
  <cp:revision>16</cp:revision>
  <dcterms:created xsi:type="dcterms:W3CDTF">2023-10-17T12:57:00Z</dcterms:created>
  <dcterms:modified xsi:type="dcterms:W3CDTF">2023-10-26T20:29:00Z</dcterms:modified>
</cp:coreProperties>
</file>