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C4DBD" w14:textId="77777777" w:rsidR="00665055" w:rsidRDefault="002046BE">
      <w:pPr>
        <w:jc w:val="center"/>
      </w:pPr>
      <w:r>
        <w:rPr>
          <w:noProof/>
          <w:lang w:val="en-IN" w:eastAsia="en-IN" w:bidi="hi-IN"/>
          <w14:ligatures w14:val="standardContextual"/>
        </w:rPr>
        <w:drawing>
          <wp:inline distT="0" distB="0" distL="0" distR="0" wp14:anchorId="4838128C" wp14:editId="2A2C6119">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381375" cy="1352550"/>
                    </a:xfrm>
                    <a:prstGeom prst="rect">
                      <a:avLst/>
                    </a:prstGeom>
                    <a:noFill/>
                  </pic:spPr>
                </pic:pic>
              </a:graphicData>
            </a:graphic>
          </wp:inline>
        </w:drawing>
      </w:r>
    </w:p>
    <w:p w14:paraId="79C6294C" w14:textId="5EAE1603" w:rsidR="007F4216" w:rsidRPr="001F2F10" w:rsidRDefault="00973C19" w:rsidP="00973C19">
      <w:pPr>
        <w:spacing w:line="276"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7F4216" w:rsidRPr="001F2F10">
        <w:rPr>
          <w:rFonts w:ascii="Times New Roman" w:hAnsi="Times New Roman" w:cs="Times New Roman"/>
          <w:b/>
          <w:bCs/>
          <w:sz w:val="28"/>
          <w:szCs w:val="28"/>
        </w:rPr>
        <w:t>Programme Name: Master of Business Administration</w:t>
      </w:r>
    </w:p>
    <w:p w14:paraId="422B364E" w14:textId="77777777" w:rsidR="007F4216" w:rsidRPr="00452A78" w:rsidRDefault="007F4216" w:rsidP="007F4216">
      <w:pPr>
        <w:spacing w:line="276" w:lineRule="auto"/>
        <w:jc w:val="center"/>
        <w:rPr>
          <w:b/>
        </w:rPr>
      </w:pPr>
    </w:p>
    <w:p w14:paraId="0ECF252E" w14:textId="77777777" w:rsidR="007F4216" w:rsidRPr="001F2F10" w:rsidRDefault="007F4216" w:rsidP="007F4216">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 xml:space="preserve">Module Name: </w:t>
      </w:r>
      <w:r>
        <w:rPr>
          <w:rFonts w:ascii="Times New Roman" w:hAnsi="Times New Roman" w:cs="Times New Roman"/>
          <w:b/>
          <w:bCs/>
          <w:sz w:val="28"/>
          <w:szCs w:val="28"/>
        </w:rPr>
        <w:t>Marketing Management</w:t>
      </w:r>
    </w:p>
    <w:p w14:paraId="3BD21D31" w14:textId="77777777" w:rsidR="007F4216" w:rsidRPr="001F2F10" w:rsidRDefault="007F4216" w:rsidP="007F4216">
      <w:pPr>
        <w:spacing w:line="276" w:lineRule="auto"/>
        <w:jc w:val="center"/>
        <w:rPr>
          <w:rFonts w:ascii="Times New Roman" w:hAnsi="Times New Roman" w:cs="Times New Roman"/>
          <w:b/>
          <w:bCs/>
          <w:sz w:val="28"/>
          <w:szCs w:val="28"/>
        </w:rPr>
      </w:pPr>
    </w:p>
    <w:p w14:paraId="06B6C595" w14:textId="77777777" w:rsidR="007F4216" w:rsidRPr="001F2F10" w:rsidRDefault="007F4216" w:rsidP="007F4216">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Module Code:</w:t>
      </w:r>
      <w:r>
        <w:rPr>
          <w:rFonts w:ascii="Times New Roman" w:hAnsi="Times New Roman" w:cs="Times New Roman"/>
          <w:b/>
          <w:bCs/>
          <w:sz w:val="28"/>
          <w:szCs w:val="28"/>
        </w:rPr>
        <w:t xml:space="preserve"> LCMB7024</w:t>
      </w:r>
    </w:p>
    <w:p w14:paraId="2CC6A45F" w14:textId="77777777" w:rsidR="007F4216" w:rsidRPr="001F2F10" w:rsidRDefault="007F4216" w:rsidP="007F4216">
      <w:pPr>
        <w:spacing w:line="276" w:lineRule="auto"/>
        <w:jc w:val="center"/>
        <w:rPr>
          <w:rFonts w:ascii="Times New Roman" w:hAnsi="Times New Roman" w:cs="Times New Roman"/>
          <w:b/>
          <w:bCs/>
          <w:sz w:val="28"/>
          <w:szCs w:val="28"/>
        </w:rPr>
      </w:pPr>
    </w:p>
    <w:p w14:paraId="5B9C8FAD" w14:textId="77777777" w:rsidR="007F4216" w:rsidRPr="001F2F10" w:rsidRDefault="007F4216" w:rsidP="007F4216">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Title: Assessment component 1: Individual report</w:t>
      </w:r>
    </w:p>
    <w:p w14:paraId="2040BE69" w14:textId="77777777" w:rsidR="007F4216" w:rsidRPr="001F2F10" w:rsidRDefault="007F4216" w:rsidP="007F4216">
      <w:pPr>
        <w:spacing w:line="276" w:lineRule="auto"/>
        <w:jc w:val="center"/>
        <w:rPr>
          <w:rFonts w:ascii="Times New Roman" w:hAnsi="Times New Roman" w:cs="Times New Roman"/>
          <w:b/>
          <w:bCs/>
          <w:sz w:val="28"/>
          <w:szCs w:val="28"/>
        </w:rPr>
      </w:pPr>
    </w:p>
    <w:p w14:paraId="6ED57E76" w14:textId="77777777" w:rsidR="007F4216" w:rsidRPr="001F2F10" w:rsidRDefault="007F4216" w:rsidP="007F4216">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 xml:space="preserve">Lecturer’s Name: </w:t>
      </w:r>
      <w:r>
        <w:rPr>
          <w:rFonts w:ascii="Times New Roman" w:hAnsi="Times New Roman" w:cs="Times New Roman"/>
          <w:b/>
          <w:bCs/>
          <w:sz w:val="28"/>
          <w:szCs w:val="28"/>
        </w:rPr>
        <w:t>Haoran Liu</w:t>
      </w:r>
    </w:p>
    <w:p w14:paraId="0F61572D" w14:textId="77777777" w:rsidR="007F4216" w:rsidRPr="001F2F10" w:rsidRDefault="007F4216" w:rsidP="007F4216">
      <w:pPr>
        <w:spacing w:line="276" w:lineRule="auto"/>
        <w:jc w:val="center"/>
        <w:rPr>
          <w:rFonts w:ascii="Times New Roman" w:hAnsi="Times New Roman" w:cs="Times New Roman"/>
          <w:b/>
          <w:bCs/>
          <w:sz w:val="28"/>
          <w:szCs w:val="28"/>
        </w:rPr>
      </w:pPr>
    </w:p>
    <w:p w14:paraId="245A18D0" w14:textId="77777777" w:rsidR="007F4216" w:rsidRPr="001F2F10" w:rsidRDefault="007F4216" w:rsidP="007F4216">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 xml:space="preserve">Student Name: Patel </w:t>
      </w:r>
      <w:proofErr w:type="spellStart"/>
      <w:r>
        <w:rPr>
          <w:rFonts w:ascii="Times New Roman" w:hAnsi="Times New Roman" w:cs="Times New Roman"/>
          <w:b/>
          <w:bCs/>
          <w:sz w:val="28"/>
          <w:szCs w:val="28"/>
        </w:rPr>
        <w:t>Riyakumari</w:t>
      </w:r>
      <w:proofErr w:type="spellEnd"/>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Roshanbhai</w:t>
      </w:r>
      <w:proofErr w:type="spellEnd"/>
    </w:p>
    <w:p w14:paraId="2F76B7A2" w14:textId="77777777" w:rsidR="007F4216" w:rsidRPr="001F2F10" w:rsidRDefault="007F4216" w:rsidP="007F4216">
      <w:pPr>
        <w:spacing w:line="276" w:lineRule="auto"/>
        <w:jc w:val="center"/>
        <w:rPr>
          <w:rFonts w:ascii="Times New Roman" w:hAnsi="Times New Roman" w:cs="Times New Roman"/>
          <w:b/>
          <w:bCs/>
          <w:sz w:val="28"/>
          <w:szCs w:val="28"/>
        </w:rPr>
      </w:pPr>
      <w:r w:rsidRPr="001F2F10">
        <w:rPr>
          <w:rFonts w:ascii="Times New Roman" w:hAnsi="Times New Roman" w:cs="Times New Roman"/>
          <w:b/>
          <w:bCs/>
          <w:sz w:val="28"/>
          <w:szCs w:val="28"/>
        </w:rPr>
        <w:t>Student ID: 25</w:t>
      </w:r>
      <w:r>
        <w:rPr>
          <w:rFonts w:ascii="Times New Roman" w:hAnsi="Times New Roman" w:cs="Times New Roman"/>
          <w:b/>
          <w:bCs/>
          <w:sz w:val="28"/>
          <w:szCs w:val="28"/>
        </w:rPr>
        <w:t>44711</w:t>
      </w:r>
    </w:p>
    <w:p w14:paraId="786F940B" w14:textId="77777777" w:rsidR="007F4216" w:rsidRDefault="007F4216" w:rsidP="007F4216">
      <w:pPr>
        <w:spacing w:line="276" w:lineRule="auto"/>
        <w:jc w:val="center"/>
        <w:rPr>
          <w:rFonts w:ascii="Times New Roman" w:hAnsi="Times New Roman" w:cs="Times New Roman"/>
          <w:b/>
          <w:bCs/>
          <w:sz w:val="28"/>
          <w:szCs w:val="28"/>
        </w:rPr>
      </w:pPr>
    </w:p>
    <w:p w14:paraId="7F51D356" w14:textId="4C5074D4" w:rsidR="007F4216" w:rsidRDefault="007F4216" w:rsidP="007F4216">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Word Count: 2716</w:t>
      </w:r>
    </w:p>
    <w:p w14:paraId="436CE709" w14:textId="77777777" w:rsidR="007F4216" w:rsidRDefault="007F4216" w:rsidP="007F4216">
      <w:pPr>
        <w:spacing w:line="276" w:lineRule="auto"/>
        <w:jc w:val="center"/>
        <w:rPr>
          <w:rFonts w:ascii="Times New Roman" w:hAnsi="Times New Roman" w:cs="Times New Roman"/>
          <w:b/>
          <w:bCs/>
          <w:sz w:val="28"/>
          <w:szCs w:val="28"/>
        </w:rPr>
      </w:pPr>
    </w:p>
    <w:p w14:paraId="7844219B" w14:textId="0EAF430F" w:rsidR="007F4216" w:rsidRDefault="007F4216" w:rsidP="007F4216">
      <w:pPr>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Submission Date: 24</w:t>
      </w:r>
      <w:r w:rsidRPr="007F4216">
        <w:rPr>
          <w:rFonts w:ascii="Times New Roman" w:hAnsi="Times New Roman" w:cs="Times New Roman"/>
          <w:b/>
          <w:bCs/>
          <w:sz w:val="28"/>
          <w:szCs w:val="28"/>
          <w:vertAlign w:val="superscript"/>
        </w:rPr>
        <w:t>th</w:t>
      </w:r>
      <w:r>
        <w:rPr>
          <w:rFonts w:ascii="Times New Roman" w:hAnsi="Times New Roman" w:cs="Times New Roman"/>
          <w:b/>
          <w:bCs/>
          <w:sz w:val="28"/>
          <w:szCs w:val="28"/>
        </w:rPr>
        <w:t xml:space="preserve"> July 2026</w:t>
      </w:r>
    </w:p>
    <w:p w14:paraId="772C9B2E" w14:textId="77777777" w:rsidR="007F4216" w:rsidRDefault="007F4216" w:rsidP="007F4216">
      <w:pPr>
        <w:spacing w:line="276" w:lineRule="auto"/>
        <w:jc w:val="center"/>
        <w:rPr>
          <w:rFonts w:ascii="Times New Roman" w:hAnsi="Times New Roman" w:cs="Times New Roman"/>
          <w:b/>
          <w:bCs/>
          <w:sz w:val="28"/>
          <w:szCs w:val="28"/>
        </w:rPr>
      </w:pPr>
    </w:p>
    <w:p w14:paraId="090FDCB2" w14:textId="77777777" w:rsidR="007F4216" w:rsidRDefault="007F4216" w:rsidP="007F4216">
      <w:pPr>
        <w:spacing w:line="276" w:lineRule="auto"/>
        <w:jc w:val="center"/>
        <w:rPr>
          <w:rFonts w:ascii="Times New Roman" w:hAnsi="Times New Roman" w:cs="Times New Roman"/>
          <w:b/>
          <w:bCs/>
          <w:sz w:val="28"/>
          <w:szCs w:val="28"/>
        </w:rPr>
      </w:pPr>
    </w:p>
    <w:p w14:paraId="463B015D" w14:textId="77777777" w:rsidR="007F4216" w:rsidRDefault="007F4216" w:rsidP="007F4216">
      <w:pPr>
        <w:spacing w:line="276" w:lineRule="auto"/>
        <w:jc w:val="center"/>
        <w:rPr>
          <w:rFonts w:ascii="Times New Roman" w:hAnsi="Times New Roman" w:cs="Times New Roman"/>
          <w:b/>
          <w:bCs/>
          <w:sz w:val="28"/>
          <w:szCs w:val="28"/>
        </w:rPr>
      </w:pPr>
    </w:p>
    <w:p w14:paraId="61817164" w14:textId="77777777" w:rsidR="007F4216" w:rsidRDefault="007F4216" w:rsidP="007F4216">
      <w:pPr>
        <w:spacing w:line="276" w:lineRule="auto"/>
        <w:jc w:val="center"/>
        <w:rPr>
          <w:rFonts w:ascii="Times New Roman" w:hAnsi="Times New Roman" w:cs="Times New Roman"/>
          <w:b/>
          <w:bCs/>
          <w:sz w:val="28"/>
          <w:szCs w:val="28"/>
        </w:rPr>
      </w:pPr>
    </w:p>
    <w:p w14:paraId="040B59E9" w14:textId="77777777" w:rsidR="007F4216" w:rsidRDefault="007F4216" w:rsidP="007F4216">
      <w:pPr>
        <w:spacing w:line="276" w:lineRule="auto"/>
        <w:jc w:val="center"/>
        <w:rPr>
          <w:rFonts w:ascii="Times New Roman" w:hAnsi="Times New Roman" w:cs="Times New Roman"/>
          <w:b/>
          <w:bCs/>
          <w:sz w:val="28"/>
          <w:szCs w:val="28"/>
        </w:rPr>
      </w:pPr>
    </w:p>
    <w:p w14:paraId="7F84340B" w14:textId="77777777" w:rsidR="007F4216" w:rsidRPr="001F2F10" w:rsidRDefault="007F4216" w:rsidP="007F4216">
      <w:pPr>
        <w:spacing w:line="276" w:lineRule="auto"/>
        <w:jc w:val="center"/>
        <w:rPr>
          <w:rFonts w:ascii="Times New Roman" w:hAnsi="Times New Roman" w:cs="Times New Roman"/>
          <w:b/>
          <w:bCs/>
          <w:sz w:val="28"/>
          <w:szCs w:val="28"/>
        </w:rPr>
      </w:pPr>
    </w:p>
    <w:sdt>
      <w:sdtPr>
        <w:rPr>
          <w:rFonts w:ascii="Arial" w:eastAsiaTheme="minorHAnsi" w:hAnsi="Arial" w:cstheme="minorBidi"/>
          <w:color w:val="000000" w:themeColor="text1"/>
          <w:sz w:val="24"/>
          <w:szCs w:val="22"/>
          <w:lang w:val="en-GB"/>
        </w:rPr>
        <w:id w:val="-726610411"/>
        <w:docPartObj>
          <w:docPartGallery w:val="Table of Contents"/>
          <w:docPartUnique/>
        </w:docPartObj>
      </w:sdtPr>
      <w:sdtEndPr>
        <w:rPr>
          <w:b/>
          <w:bCs/>
        </w:rPr>
      </w:sdtEndPr>
      <w:sdtContent>
        <w:p w14:paraId="28378A36" w14:textId="77777777" w:rsidR="00665055" w:rsidRDefault="002046BE">
          <w:pPr>
            <w:pStyle w:val="TOCHeading1"/>
            <w:jc w:val="center"/>
            <w:rPr>
              <w:rFonts w:ascii="Arial" w:hAnsi="Arial" w:cs="Arial"/>
              <w:b/>
              <w:bCs/>
              <w:color w:val="000000" w:themeColor="text1"/>
            </w:rPr>
          </w:pPr>
          <w:r>
            <w:rPr>
              <w:rFonts w:ascii="Arial" w:hAnsi="Arial" w:cs="Arial"/>
              <w:b/>
              <w:bCs/>
              <w:color w:val="000000" w:themeColor="text1"/>
            </w:rPr>
            <w:t xml:space="preserve">Table </w:t>
          </w:r>
          <w:r w:rsidRPr="00AC249E">
            <w:rPr>
              <w:rFonts w:ascii="Arial" w:hAnsi="Arial" w:cs="Arial"/>
              <w:b/>
              <w:bCs/>
              <w:color w:val="000000" w:themeColor="text1"/>
              <w:lang w:val="en-GB"/>
            </w:rPr>
            <w:t>of</w:t>
          </w:r>
          <w:r>
            <w:rPr>
              <w:rFonts w:ascii="Arial" w:hAnsi="Arial" w:cs="Arial"/>
              <w:b/>
              <w:bCs/>
              <w:color w:val="000000" w:themeColor="text1"/>
            </w:rPr>
            <w:t xml:space="preserve"> Contents</w:t>
          </w:r>
        </w:p>
        <w:p w14:paraId="75BDFCD3" w14:textId="77777777" w:rsidR="00224E05" w:rsidRDefault="002046BE">
          <w:pPr>
            <w:pStyle w:val="TOC1"/>
            <w:tabs>
              <w:tab w:val="right" w:leader="dot" w:pos="9016"/>
            </w:tabs>
            <w:rPr>
              <w:rFonts w:asciiTheme="minorHAnsi" w:eastAsiaTheme="minorEastAsia" w:hAnsiTheme="minorHAnsi" w:cs="Mangal"/>
              <w:noProof/>
              <w:color w:val="auto"/>
              <w:sz w:val="22"/>
              <w:szCs w:val="20"/>
              <w:lang w:val="en-IN" w:eastAsia="en-IN" w:bidi="hi-IN"/>
            </w:rPr>
          </w:pPr>
          <w:r>
            <w:fldChar w:fldCharType="begin"/>
          </w:r>
          <w:r>
            <w:instrText xml:space="preserve"> TOC \o "1-3" \h \z \u </w:instrText>
          </w:r>
          <w:r>
            <w:fldChar w:fldCharType="separate"/>
          </w:r>
          <w:hyperlink w:anchor="_Toc235740055" w:history="1">
            <w:r w:rsidR="00224E05" w:rsidRPr="002B6F22">
              <w:rPr>
                <w:rStyle w:val="Hyperlink"/>
                <w:noProof/>
              </w:rPr>
              <w:t>1.0 Task 1: Marketing Environment Analysis</w:t>
            </w:r>
            <w:r w:rsidR="00224E05">
              <w:rPr>
                <w:noProof/>
                <w:webHidden/>
              </w:rPr>
              <w:tab/>
            </w:r>
            <w:r w:rsidR="00224E05">
              <w:rPr>
                <w:noProof/>
                <w:webHidden/>
              </w:rPr>
              <w:fldChar w:fldCharType="begin"/>
            </w:r>
            <w:r w:rsidR="00224E05">
              <w:rPr>
                <w:noProof/>
                <w:webHidden/>
              </w:rPr>
              <w:instrText xml:space="preserve"> PAGEREF _Toc235740055 \h </w:instrText>
            </w:r>
            <w:r w:rsidR="00224E05">
              <w:rPr>
                <w:noProof/>
                <w:webHidden/>
              </w:rPr>
            </w:r>
            <w:r w:rsidR="00224E05">
              <w:rPr>
                <w:noProof/>
                <w:webHidden/>
              </w:rPr>
              <w:fldChar w:fldCharType="separate"/>
            </w:r>
            <w:r w:rsidR="00224E05">
              <w:rPr>
                <w:noProof/>
                <w:webHidden/>
              </w:rPr>
              <w:t>3</w:t>
            </w:r>
            <w:r w:rsidR="00224E05">
              <w:rPr>
                <w:noProof/>
                <w:webHidden/>
              </w:rPr>
              <w:fldChar w:fldCharType="end"/>
            </w:r>
          </w:hyperlink>
        </w:p>
        <w:p w14:paraId="1499283C" w14:textId="77777777" w:rsidR="00224E05" w:rsidRDefault="00224E05">
          <w:pPr>
            <w:pStyle w:val="TOC2"/>
            <w:tabs>
              <w:tab w:val="right" w:leader="dot" w:pos="9016"/>
            </w:tabs>
            <w:rPr>
              <w:rFonts w:asciiTheme="minorHAnsi" w:eastAsiaTheme="minorEastAsia" w:hAnsiTheme="minorHAnsi" w:cs="Mangal"/>
              <w:noProof/>
              <w:color w:val="auto"/>
              <w:sz w:val="22"/>
              <w:szCs w:val="20"/>
              <w:lang w:val="en-IN" w:eastAsia="en-IN" w:bidi="hi-IN"/>
            </w:rPr>
          </w:pPr>
          <w:hyperlink w:anchor="_Toc235740056" w:history="1">
            <w:r w:rsidRPr="002B6F22">
              <w:rPr>
                <w:rStyle w:val="Hyperlink"/>
                <w:noProof/>
                <w:lang w:val="en-IN"/>
              </w:rPr>
              <w:t>1.1 Company Selection and Context</w:t>
            </w:r>
            <w:r>
              <w:rPr>
                <w:noProof/>
                <w:webHidden/>
              </w:rPr>
              <w:tab/>
            </w:r>
            <w:r>
              <w:rPr>
                <w:noProof/>
                <w:webHidden/>
              </w:rPr>
              <w:fldChar w:fldCharType="begin"/>
            </w:r>
            <w:r>
              <w:rPr>
                <w:noProof/>
                <w:webHidden/>
              </w:rPr>
              <w:instrText xml:space="preserve"> PAGEREF _Toc235740056 \h </w:instrText>
            </w:r>
            <w:r>
              <w:rPr>
                <w:noProof/>
                <w:webHidden/>
              </w:rPr>
            </w:r>
            <w:r>
              <w:rPr>
                <w:noProof/>
                <w:webHidden/>
              </w:rPr>
              <w:fldChar w:fldCharType="separate"/>
            </w:r>
            <w:r>
              <w:rPr>
                <w:noProof/>
                <w:webHidden/>
              </w:rPr>
              <w:t>3</w:t>
            </w:r>
            <w:r>
              <w:rPr>
                <w:noProof/>
                <w:webHidden/>
              </w:rPr>
              <w:fldChar w:fldCharType="end"/>
            </w:r>
          </w:hyperlink>
        </w:p>
        <w:p w14:paraId="52A949C2" w14:textId="77777777" w:rsidR="00224E05" w:rsidRDefault="00224E05">
          <w:pPr>
            <w:pStyle w:val="TOC2"/>
            <w:tabs>
              <w:tab w:val="right" w:leader="dot" w:pos="9016"/>
            </w:tabs>
            <w:rPr>
              <w:rFonts w:asciiTheme="minorHAnsi" w:eastAsiaTheme="minorEastAsia" w:hAnsiTheme="minorHAnsi" w:cs="Mangal"/>
              <w:noProof/>
              <w:color w:val="auto"/>
              <w:sz w:val="22"/>
              <w:szCs w:val="20"/>
              <w:lang w:val="en-IN" w:eastAsia="en-IN" w:bidi="hi-IN"/>
            </w:rPr>
          </w:pPr>
          <w:hyperlink w:anchor="_Toc235740057" w:history="1">
            <w:r w:rsidRPr="002B6F22">
              <w:rPr>
                <w:rStyle w:val="Hyperlink"/>
                <w:noProof/>
                <w:lang w:val="en-IN"/>
              </w:rPr>
              <w:t>1.2 External Marketing Environment Actor 1: Natural Environment</w:t>
            </w:r>
            <w:r>
              <w:rPr>
                <w:noProof/>
                <w:webHidden/>
              </w:rPr>
              <w:tab/>
            </w:r>
            <w:r>
              <w:rPr>
                <w:noProof/>
                <w:webHidden/>
              </w:rPr>
              <w:fldChar w:fldCharType="begin"/>
            </w:r>
            <w:r>
              <w:rPr>
                <w:noProof/>
                <w:webHidden/>
              </w:rPr>
              <w:instrText xml:space="preserve"> PAGEREF _Toc235740057 \h </w:instrText>
            </w:r>
            <w:r>
              <w:rPr>
                <w:noProof/>
                <w:webHidden/>
              </w:rPr>
            </w:r>
            <w:r>
              <w:rPr>
                <w:noProof/>
                <w:webHidden/>
              </w:rPr>
              <w:fldChar w:fldCharType="separate"/>
            </w:r>
            <w:r>
              <w:rPr>
                <w:noProof/>
                <w:webHidden/>
              </w:rPr>
              <w:t>4</w:t>
            </w:r>
            <w:r>
              <w:rPr>
                <w:noProof/>
                <w:webHidden/>
              </w:rPr>
              <w:fldChar w:fldCharType="end"/>
            </w:r>
          </w:hyperlink>
        </w:p>
        <w:p w14:paraId="437F67A6" w14:textId="77777777" w:rsidR="00224E05" w:rsidRDefault="00224E05">
          <w:pPr>
            <w:pStyle w:val="TOC2"/>
            <w:tabs>
              <w:tab w:val="right" w:leader="dot" w:pos="9016"/>
            </w:tabs>
            <w:rPr>
              <w:rFonts w:asciiTheme="minorHAnsi" w:eastAsiaTheme="minorEastAsia" w:hAnsiTheme="minorHAnsi" w:cs="Mangal"/>
              <w:noProof/>
              <w:color w:val="auto"/>
              <w:sz w:val="22"/>
              <w:szCs w:val="20"/>
              <w:lang w:val="en-IN" w:eastAsia="en-IN" w:bidi="hi-IN"/>
            </w:rPr>
          </w:pPr>
          <w:hyperlink w:anchor="_Toc235740058" w:history="1">
            <w:r w:rsidRPr="002B6F22">
              <w:rPr>
                <w:rStyle w:val="Hyperlink"/>
                <w:noProof/>
                <w:lang w:val="en-IN"/>
              </w:rPr>
              <w:t>1.3 External Marketing Environment Actor 2: Political and Regulatory Environment</w:t>
            </w:r>
            <w:r>
              <w:rPr>
                <w:noProof/>
                <w:webHidden/>
              </w:rPr>
              <w:tab/>
            </w:r>
            <w:r>
              <w:rPr>
                <w:noProof/>
                <w:webHidden/>
              </w:rPr>
              <w:fldChar w:fldCharType="begin"/>
            </w:r>
            <w:r>
              <w:rPr>
                <w:noProof/>
                <w:webHidden/>
              </w:rPr>
              <w:instrText xml:space="preserve"> PAGEREF _Toc235740058 \h </w:instrText>
            </w:r>
            <w:r>
              <w:rPr>
                <w:noProof/>
                <w:webHidden/>
              </w:rPr>
            </w:r>
            <w:r>
              <w:rPr>
                <w:noProof/>
                <w:webHidden/>
              </w:rPr>
              <w:fldChar w:fldCharType="separate"/>
            </w:r>
            <w:r>
              <w:rPr>
                <w:noProof/>
                <w:webHidden/>
              </w:rPr>
              <w:t>5</w:t>
            </w:r>
            <w:r>
              <w:rPr>
                <w:noProof/>
                <w:webHidden/>
              </w:rPr>
              <w:fldChar w:fldCharType="end"/>
            </w:r>
          </w:hyperlink>
        </w:p>
        <w:p w14:paraId="09B832C9" w14:textId="77777777" w:rsidR="00224E05" w:rsidRDefault="00224E05">
          <w:pPr>
            <w:pStyle w:val="TOC1"/>
            <w:tabs>
              <w:tab w:val="right" w:leader="dot" w:pos="9016"/>
            </w:tabs>
            <w:rPr>
              <w:rFonts w:asciiTheme="minorHAnsi" w:eastAsiaTheme="minorEastAsia" w:hAnsiTheme="minorHAnsi" w:cs="Mangal"/>
              <w:noProof/>
              <w:color w:val="auto"/>
              <w:sz w:val="22"/>
              <w:szCs w:val="20"/>
              <w:lang w:val="en-IN" w:eastAsia="en-IN" w:bidi="hi-IN"/>
            </w:rPr>
          </w:pPr>
          <w:hyperlink w:anchor="_Toc235740059" w:history="1">
            <w:r w:rsidRPr="002B6F22">
              <w:rPr>
                <w:rStyle w:val="Hyperlink"/>
                <w:noProof/>
              </w:rPr>
              <w:t>2.0 Task 2: Strategic Growth and Competitive Positioning</w:t>
            </w:r>
            <w:r>
              <w:rPr>
                <w:noProof/>
                <w:webHidden/>
              </w:rPr>
              <w:tab/>
            </w:r>
            <w:r>
              <w:rPr>
                <w:noProof/>
                <w:webHidden/>
              </w:rPr>
              <w:fldChar w:fldCharType="begin"/>
            </w:r>
            <w:r>
              <w:rPr>
                <w:noProof/>
                <w:webHidden/>
              </w:rPr>
              <w:instrText xml:space="preserve"> PAGEREF _Toc235740059 \h </w:instrText>
            </w:r>
            <w:r>
              <w:rPr>
                <w:noProof/>
                <w:webHidden/>
              </w:rPr>
            </w:r>
            <w:r>
              <w:rPr>
                <w:noProof/>
                <w:webHidden/>
              </w:rPr>
              <w:fldChar w:fldCharType="separate"/>
            </w:r>
            <w:r>
              <w:rPr>
                <w:noProof/>
                <w:webHidden/>
              </w:rPr>
              <w:t>6</w:t>
            </w:r>
            <w:r>
              <w:rPr>
                <w:noProof/>
                <w:webHidden/>
              </w:rPr>
              <w:fldChar w:fldCharType="end"/>
            </w:r>
          </w:hyperlink>
        </w:p>
        <w:p w14:paraId="7A80F693" w14:textId="77777777" w:rsidR="00224E05" w:rsidRDefault="00224E05">
          <w:pPr>
            <w:pStyle w:val="TOC2"/>
            <w:tabs>
              <w:tab w:val="right" w:leader="dot" w:pos="9016"/>
            </w:tabs>
            <w:rPr>
              <w:rFonts w:asciiTheme="minorHAnsi" w:eastAsiaTheme="minorEastAsia" w:hAnsiTheme="minorHAnsi" w:cs="Mangal"/>
              <w:noProof/>
              <w:color w:val="auto"/>
              <w:sz w:val="22"/>
              <w:szCs w:val="20"/>
              <w:lang w:val="en-IN" w:eastAsia="en-IN" w:bidi="hi-IN"/>
            </w:rPr>
          </w:pPr>
          <w:hyperlink w:anchor="_Toc235740060" w:history="1">
            <w:r w:rsidRPr="002B6F22">
              <w:rPr>
                <w:rStyle w:val="Hyperlink"/>
                <w:noProof/>
              </w:rPr>
              <w:t>2.1 Strategic Growth Recommendation Using the Ansoff Matrix</w:t>
            </w:r>
            <w:r>
              <w:rPr>
                <w:noProof/>
                <w:webHidden/>
              </w:rPr>
              <w:tab/>
            </w:r>
            <w:r>
              <w:rPr>
                <w:noProof/>
                <w:webHidden/>
              </w:rPr>
              <w:fldChar w:fldCharType="begin"/>
            </w:r>
            <w:r>
              <w:rPr>
                <w:noProof/>
                <w:webHidden/>
              </w:rPr>
              <w:instrText xml:space="preserve"> PAGEREF _Toc235740060 \h </w:instrText>
            </w:r>
            <w:r>
              <w:rPr>
                <w:noProof/>
                <w:webHidden/>
              </w:rPr>
            </w:r>
            <w:r>
              <w:rPr>
                <w:noProof/>
                <w:webHidden/>
              </w:rPr>
              <w:fldChar w:fldCharType="separate"/>
            </w:r>
            <w:r>
              <w:rPr>
                <w:noProof/>
                <w:webHidden/>
              </w:rPr>
              <w:t>6</w:t>
            </w:r>
            <w:r>
              <w:rPr>
                <w:noProof/>
                <w:webHidden/>
              </w:rPr>
              <w:fldChar w:fldCharType="end"/>
            </w:r>
          </w:hyperlink>
        </w:p>
        <w:p w14:paraId="40805007" w14:textId="77777777" w:rsidR="00224E05" w:rsidRDefault="00224E05">
          <w:pPr>
            <w:pStyle w:val="TOC2"/>
            <w:tabs>
              <w:tab w:val="right" w:leader="dot" w:pos="9016"/>
            </w:tabs>
            <w:rPr>
              <w:rFonts w:asciiTheme="minorHAnsi" w:eastAsiaTheme="minorEastAsia" w:hAnsiTheme="minorHAnsi" w:cs="Mangal"/>
              <w:noProof/>
              <w:color w:val="auto"/>
              <w:sz w:val="22"/>
              <w:szCs w:val="20"/>
              <w:lang w:val="en-IN" w:eastAsia="en-IN" w:bidi="hi-IN"/>
            </w:rPr>
          </w:pPr>
          <w:hyperlink w:anchor="_Toc235740061" w:history="1">
            <w:r w:rsidRPr="002B6F22">
              <w:rPr>
                <w:rStyle w:val="Hyperlink"/>
                <w:noProof/>
              </w:rPr>
              <w:t>2.2 Competitive Advantage Through a Lower-Carbon Business Model</w:t>
            </w:r>
            <w:r>
              <w:rPr>
                <w:noProof/>
                <w:webHidden/>
              </w:rPr>
              <w:tab/>
            </w:r>
            <w:r>
              <w:rPr>
                <w:noProof/>
                <w:webHidden/>
              </w:rPr>
              <w:fldChar w:fldCharType="begin"/>
            </w:r>
            <w:r>
              <w:rPr>
                <w:noProof/>
                <w:webHidden/>
              </w:rPr>
              <w:instrText xml:space="preserve"> PAGEREF _Toc235740061 \h </w:instrText>
            </w:r>
            <w:r>
              <w:rPr>
                <w:noProof/>
                <w:webHidden/>
              </w:rPr>
            </w:r>
            <w:r>
              <w:rPr>
                <w:noProof/>
                <w:webHidden/>
              </w:rPr>
              <w:fldChar w:fldCharType="separate"/>
            </w:r>
            <w:r>
              <w:rPr>
                <w:noProof/>
                <w:webHidden/>
              </w:rPr>
              <w:t>8</w:t>
            </w:r>
            <w:r>
              <w:rPr>
                <w:noProof/>
                <w:webHidden/>
              </w:rPr>
              <w:fldChar w:fldCharType="end"/>
            </w:r>
          </w:hyperlink>
        </w:p>
        <w:p w14:paraId="158AE24E" w14:textId="77777777" w:rsidR="00224E05" w:rsidRDefault="00224E05">
          <w:pPr>
            <w:pStyle w:val="TOC1"/>
            <w:tabs>
              <w:tab w:val="right" w:leader="dot" w:pos="9016"/>
            </w:tabs>
            <w:rPr>
              <w:rFonts w:asciiTheme="minorHAnsi" w:eastAsiaTheme="minorEastAsia" w:hAnsiTheme="minorHAnsi" w:cs="Mangal"/>
              <w:noProof/>
              <w:color w:val="auto"/>
              <w:sz w:val="22"/>
              <w:szCs w:val="20"/>
              <w:lang w:val="en-IN" w:eastAsia="en-IN" w:bidi="hi-IN"/>
            </w:rPr>
          </w:pPr>
          <w:hyperlink w:anchor="_Toc235740062" w:history="1">
            <w:r w:rsidRPr="002B6F22">
              <w:rPr>
                <w:rStyle w:val="Hyperlink"/>
                <w:noProof/>
                <w:lang w:val="en-IN"/>
              </w:rPr>
              <w:t>3.0 Task 3: Critical Reflection on AI usage</w:t>
            </w:r>
            <w:r>
              <w:rPr>
                <w:noProof/>
                <w:webHidden/>
              </w:rPr>
              <w:tab/>
            </w:r>
            <w:r>
              <w:rPr>
                <w:noProof/>
                <w:webHidden/>
              </w:rPr>
              <w:fldChar w:fldCharType="begin"/>
            </w:r>
            <w:r>
              <w:rPr>
                <w:noProof/>
                <w:webHidden/>
              </w:rPr>
              <w:instrText xml:space="preserve"> PAGEREF _Toc235740062 \h </w:instrText>
            </w:r>
            <w:r>
              <w:rPr>
                <w:noProof/>
                <w:webHidden/>
              </w:rPr>
            </w:r>
            <w:r>
              <w:rPr>
                <w:noProof/>
                <w:webHidden/>
              </w:rPr>
              <w:fldChar w:fldCharType="separate"/>
            </w:r>
            <w:r>
              <w:rPr>
                <w:noProof/>
                <w:webHidden/>
              </w:rPr>
              <w:t>9</w:t>
            </w:r>
            <w:r>
              <w:rPr>
                <w:noProof/>
                <w:webHidden/>
              </w:rPr>
              <w:fldChar w:fldCharType="end"/>
            </w:r>
          </w:hyperlink>
        </w:p>
        <w:p w14:paraId="0C1881F0" w14:textId="77777777" w:rsidR="00224E05" w:rsidRDefault="00224E05">
          <w:pPr>
            <w:pStyle w:val="TOC2"/>
            <w:tabs>
              <w:tab w:val="right" w:leader="dot" w:pos="9016"/>
            </w:tabs>
            <w:rPr>
              <w:rFonts w:asciiTheme="minorHAnsi" w:eastAsiaTheme="minorEastAsia" w:hAnsiTheme="minorHAnsi" w:cs="Mangal"/>
              <w:noProof/>
              <w:color w:val="auto"/>
              <w:sz w:val="22"/>
              <w:szCs w:val="20"/>
              <w:lang w:val="en-IN" w:eastAsia="en-IN" w:bidi="hi-IN"/>
            </w:rPr>
          </w:pPr>
          <w:hyperlink w:anchor="_Toc235740063" w:history="1">
            <w:r w:rsidRPr="002B6F22">
              <w:rPr>
                <w:rStyle w:val="Hyperlink"/>
                <w:noProof/>
                <w:lang w:val="en-IN"/>
              </w:rPr>
              <w:t>3.1 Tool Disclosure</w:t>
            </w:r>
            <w:r>
              <w:rPr>
                <w:noProof/>
                <w:webHidden/>
              </w:rPr>
              <w:tab/>
            </w:r>
            <w:r>
              <w:rPr>
                <w:noProof/>
                <w:webHidden/>
              </w:rPr>
              <w:fldChar w:fldCharType="begin"/>
            </w:r>
            <w:r>
              <w:rPr>
                <w:noProof/>
                <w:webHidden/>
              </w:rPr>
              <w:instrText xml:space="preserve"> PAGEREF _Toc235740063 \h </w:instrText>
            </w:r>
            <w:r>
              <w:rPr>
                <w:noProof/>
                <w:webHidden/>
              </w:rPr>
            </w:r>
            <w:r>
              <w:rPr>
                <w:noProof/>
                <w:webHidden/>
              </w:rPr>
              <w:fldChar w:fldCharType="separate"/>
            </w:r>
            <w:r>
              <w:rPr>
                <w:noProof/>
                <w:webHidden/>
              </w:rPr>
              <w:t>9</w:t>
            </w:r>
            <w:r>
              <w:rPr>
                <w:noProof/>
                <w:webHidden/>
              </w:rPr>
              <w:fldChar w:fldCharType="end"/>
            </w:r>
          </w:hyperlink>
        </w:p>
        <w:p w14:paraId="233D7F20" w14:textId="77777777" w:rsidR="00224E05" w:rsidRDefault="00224E05">
          <w:pPr>
            <w:pStyle w:val="TOC2"/>
            <w:tabs>
              <w:tab w:val="right" w:leader="dot" w:pos="9016"/>
            </w:tabs>
            <w:rPr>
              <w:rFonts w:asciiTheme="minorHAnsi" w:eastAsiaTheme="minorEastAsia" w:hAnsiTheme="minorHAnsi" w:cs="Mangal"/>
              <w:noProof/>
              <w:color w:val="auto"/>
              <w:sz w:val="22"/>
              <w:szCs w:val="20"/>
              <w:lang w:val="en-IN" w:eastAsia="en-IN" w:bidi="hi-IN"/>
            </w:rPr>
          </w:pPr>
          <w:hyperlink w:anchor="_Toc235740064" w:history="1">
            <w:r w:rsidRPr="002B6F22">
              <w:rPr>
                <w:rStyle w:val="Hyperlink"/>
                <w:noProof/>
                <w:lang w:val="en-IN"/>
              </w:rPr>
              <w:t>3.2 Critical Evaluation of AI Output</w:t>
            </w:r>
            <w:r>
              <w:rPr>
                <w:noProof/>
                <w:webHidden/>
              </w:rPr>
              <w:tab/>
            </w:r>
            <w:r>
              <w:rPr>
                <w:noProof/>
                <w:webHidden/>
              </w:rPr>
              <w:fldChar w:fldCharType="begin"/>
            </w:r>
            <w:r>
              <w:rPr>
                <w:noProof/>
                <w:webHidden/>
              </w:rPr>
              <w:instrText xml:space="preserve"> PAGEREF _Toc235740064 \h </w:instrText>
            </w:r>
            <w:r>
              <w:rPr>
                <w:noProof/>
                <w:webHidden/>
              </w:rPr>
            </w:r>
            <w:r>
              <w:rPr>
                <w:noProof/>
                <w:webHidden/>
              </w:rPr>
              <w:fldChar w:fldCharType="separate"/>
            </w:r>
            <w:r>
              <w:rPr>
                <w:noProof/>
                <w:webHidden/>
              </w:rPr>
              <w:t>10</w:t>
            </w:r>
            <w:r>
              <w:rPr>
                <w:noProof/>
                <w:webHidden/>
              </w:rPr>
              <w:fldChar w:fldCharType="end"/>
            </w:r>
          </w:hyperlink>
        </w:p>
        <w:p w14:paraId="0942A52D" w14:textId="77777777" w:rsidR="00224E05" w:rsidRDefault="00224E05">
          <w:pPr>
            <w:pStyle w:val="TOC2"/>
            <w:tabs>
              <w:tab w:val="right" w:leader="dot" w:pos="9016"/>
            </w:tabs>
            <w:rPr>
              <w:rFonts w:asciiTheme="minorHAnsi" w:eastAsiaTheme="minorEastAsia" w:hAnsiTheme="minorHAnsi" w:cs="Mangal"/>
              <w:noProof/>
              <w:color w:val="auto"/>
              <w:sz w:val="22"/>
              <w:szCs w:val="20"/>
              <w:lang w:val="en-IN" w:eastAsia="en-IN" w:bidi="hi-IN"/>
            </w:rPr>
          </w:pPr>
          <w:hyperlink w:anchor="_Toc235740065" w:history="1">
            <w:r w:rsidRPr="002B6F22">
              <w:rPr>
                <w:rStyle w:val="Hyperlink"/>
                <w:noProof/>
                <w:lang w:val="en-IN"/>
              </w:rPr>
              <w:t>3.3 Contribution Analysis</w:t>
            </w:r>
            <w:r>
              <w:rPr>
                <w:noProof/>
                <w:webHidden/>
              </w:rPr>
              <w:tab/>
            </w:r>
            <w:r>
              <w:rPr>
                <w:noProof/>
                <w:webHidden/>
              </w:rPr>
              <w:fldChar w:fldCharType="begin"/>
            </w:r>
            <w:r>
              <w:rPr>
                <w:noProof/>
                <w:webHidden/>
              </w:rPr>
              <w:instrText xml:space="preserve"> PAGEREF _Toc235740065 \h </w:instrText>
            </w:r>
            <w:r>
              <w:rPr>
                <w:noProof/>
                <w:webHidden/>
              </w:rPr>
            </w:r>
            <w:r>
              <w:rPr>
                <w:noProof/>
                <w:webHidden/>
              </w:rPr>
              <w:fldChar w:fldCharType="separate"/>
            </w:r>
            <w:r>
              <w:rPr>
                <w:noProof/>
                <w:webHidden/>
              </w:rPr>
              <w:t>10</w:t>
            </w:r>
            <w:r>
              <w:rPr>
                <w:noProof/>
                <w:webHidden/>
              </w:rPr>
              <w:fldChar w:fldCharType="end"/>
            </w:r>
          </w:hyperlink>
        </w:p>
        <w:p w14:paraId="5CC76BD0" w14:textId="77777777" w:rsidR="00224E05" w:rsidRDefault="00224E05">
          <w:pPr>
            <w:pStyle w:val="TOC2"/>
            <w:tabs>
              <w:tab w:val="right" w:leader="dot" w:pos="9016"/>
            </w:tabs>
            <w:rPr>
              <w:rFonts w:asciiTheme="minorHAnsi" w:eastAsiaTheme="minorEastAsia" w:hAnsiTheme="minorHAnsi" w:cs="Mangal"/>
              <w:noProof/>
              <w:color w:val="auto"/>
              <w:sz w:val="22"/>
              <w:szCs w:val="20"/>
              <w:lang w:val="en-IN" w:eastAsia="en-IN" w:bidi="hi-IN"/>
            </w:rPr>
          </w:pPr>
          <w:hyperlink w:anchor="_Toc235740066" w:history="1">
            <w:r w:rsidRPr="002B6F22">
              <w:rPr>
                <w:rStyle w:val="Hyperlink"/>
                <w:noProof/>
                <w:lang w:val="en-IN"/>
              </w:rPr>
              <w:t>3.4 Ethical and Professional Reflection</w:t>
            </w:r>
            <w:r>
              <w:rPr>
                <w:noProof/>
                <w:webHidden/>
              </w:rPr>
              <w:tab/>
            </w:r>
            <w:r>
              <w:rPr>
                <w:noProof/>
                <w:webHidden/>
              </w:rPr>
              <w:fldChar w:fldCharType="begin"/>
            </w:r>
            <w:r>
              <w:rPr>
                <w:noProof/>
                <w:webHidden/>
              </w:rPr>
              <w:instrText xml:space="preserve"> PAGEREF _Toc235740066 \h </w:instrText>
            </w:r>
            <w:r>
              <w:rPr>
                <w:noProof/>
                <w:webHidden/>
              </w:rPr>
            </w:r>
            <w:r>
              <w:rPr>
                <w:noProof/>
                <w:webHidden/>
              </w:rPr>
              <w:fldChar w:fldCharType="separate"/>
            </w:r>
            <w:r>
              <w:rPr>
                <w:noProof/>
                <w:webHidden/>
              </w:rPr>
              <w:t>11</w:t>
            </w:r>
            <w:r>
              <w:rPr>
                <w:noProof/>
                <w:webHidden/>
              </w:rPr>
              <w:fldChar w:fldCharType="end"/>
            </w:r>
          </w:hyperlink>
        </w:p>
        <w:p w14:paraId="697FFACE" w14:textId="77777777" w:rsidR="00224E05" w:rsidRDefault="00224E05">
          <w:pPr>
            <w:pStyle w:val="TOC1"/>
            <w:tabs>
              <w:tab w:val="right" w:leader="dot" w:pos="9016"/>
            </w:tabs>
            <w:rPr>
              <w:rFonts w:asciiTheme="minorHAnsi" w:eastAsiaTheme="minorEastAsia" w:hAnsiTheme="minorHAnsi" w:cs="Mangal"/>
              <w:noProof/>
              <w:color w:val="auto"/>
              <w:sz w:val="22"/>
              <w:szCs w:val="20"/>
              <w:lang w:val="en-IN" w:eastAsia="en-IN" w:bidi="hi-IN"/>
            </w:rPr>
          </w:pPr>
          <w:hyperlink w:anchor="_Toc235740067" w:history="1">
            <w:r w:rsidRPr="002B6F22">
              <w:rPr>
                <w:rStyle w:val="Hyperlink"/>
                <w:noProof/>
              </w:rPr>
              <w:t>References</w:t>
            </w:r>
            <w:r>
              <w:rPr>
                <w:noProof/>
                <w:webHidden/>
              </w:rPr>
              <w:tab/>
            </w:r>
            <w:r>
              <w:rPr>
                <w:noProof/>
                <w:webHidden/>
              </w:rPr>
              <w:fldChar w:fldCharType="begin"/>
            </w:r>
            <w:r>
              <w:rPr>
                <w:noProof/>
                <w:webHidden/>
              </w:rPr>
              <w:instrText xml:space="preserve"> PAGEREF _Toc235740067 \h </w:instrText>
            </w:r>
            <w:r>
              <w:rPr>
                <w:noProof/>
                <w:webHidden/>
              </w:rPr>
            </w:r>
            <w:r>
              <w:rPr>
                <w:noProof/>
                <w:webHidden/>
              </w:rPr>
              <w:fldChar w:fldCharType="separate"/>
            </w:r>
            <w:r>
              <w:rPr>
                <w:noProof/>
                <w:webHidden/>
              </w:rPr>
              <w:t>12</w:t>
            </w:r>
            <w:r>
              <w:rPr>
                <w:noProof/>
                <w:webHidden/>
              </w:rPr>
              <w:fldChar w:fldCharType="end"/>
            </w:r>
          </w:hyperlink>
        </w:p>
        <w:p w14:paraId="6DC58E6B" w14:textId="77777777" w:rsidR="00665055" w:rsidRDefault="002046BE">
          <w:r>
            <w:rPr>
              <w:b/>
              <w:bCs/>
            </w:rPr>
            <w:fldChar w:fldCharType="end"/>
          </w:r>
        </w:p>
      </w:sdtContent>
    </w:sdt>
    <w:p w14:paraId="4EF59A0D" w14:textId="77777777" w:rsidR="00665055" w:rsidRDefault="002046BE">
      <w:pPr>
        <w:spacing w:line="259" w:lineRule="auto"/>
        <w:jc w:val="left"/>
        <w:rPr>
          <w:rFonts w:eastAsiaTheme="majorEastAsia" w:cstheme="majorBidi"/>
          <w:b/>
          <w:bCs/>
          <w:kern w:val="2"/>
          <w:sz w:val="28"/>
          <w:szCs w:val="28"/>
          <w14:ligatures w14:val="standardContextual"/>
        </w:rPr>
      </w:pPr>
      <w:r>
        <w:br w:type="page"/>
      </w:r>
    </w:p>
    <w:p w14:paraId="3F23D63D" w14:textId="77777777" w:rsidR="00665055" w:rsidRDefault="002046BE">
      <w:pPr>
        <w:pStyle w:val="Heading1"/>
      </w:pPr>
      <w:bookmarkStart w:id="0" w:name="_Toc235740055"/>
      <w:r>
        <w:lastRenderedPageBreak/>
        <w:t>1.0 Task 1: Marketing Environment Analysis</w:t>
      </w:r>
      <w:bookmarkEnd w:id="0"/>
    </w:p>
    <w:p w14:paraId="5CDEC31E" w14:textId="77777777" w:rsidR="00665055" w:rsidRDefault="002046BE">
      <w:pPr>
        <w:pStyle w:val="Heading2"/>
        <w:rPr>
          <w:lang w:val="en-IN"/>
        </w:rPr>
      </w:pPr>
      <w:bookmarkStart w:id="1" w:name="_Toc235740056"/>
      <w:r>
        <w:rPr>
          <w:lang w:val="en-IN"/>
        </w:rPr>
        <w:t>1.1 Company Selection and Context</w:t>
      </w:r>
      <w:bookmarkEnd w:id="1"/>
    </w:p>
    <w:p w14:paraId="68F03162" w14:textId="77777777" w:rsidR="00665055" w:rsidRDefault="002046BE">
      <w:pPr>
        <w:rPr>
          <w:lang w:val="en-IN"/>
        </w:rPr>
      </w:pPr>
      <w:r>
        <w:rPr>
          <w:lang w:val="en-IN"/>
        </w:rPr>
        <w:t xml:space="preserve">BHP is an Australian-based multinational resources group and one of the world's largest diversified mining companies. It has a copper, iron ore, metallurgical coal and an emerging potash project in its portfolio (BHP, 2025). The commodities of BHP are very vital for the worldwide sustainability transition, this being attributed to the role of copper in the transition toward electrification and renewable energy systems, iron ore's significance for steel production, and potash for better agricultural </w:t>
      </w:r>
      <w:r w:rsidR="00224E05">
        <w:rPr>
          <w:lang w:val="en-IN"/>
        </w:rPr>
        <w:t>performance (</w:t>
      </w:r>
      <w:r>
        <w:rPr>
          <w:lang w:val="en-IN"/>
        </w:rPr>
        <w:t>BHP, 2025a). BHP's copper production hit a new high of roughly two million tonnes in FY2025, while its operational greenhouse-gas emissions declined by 5% from FY2024 levels (BHP, 2025b).</w:t>
      </w:r>
    </w:p>
    <w:p w14:paraId="61A3747C" w14:textId="77777777" w:rsidR="00665055" w:rsidRDefault="002046BE">
      <w:pPr>
        <w:rPr>
          <w:lang w:val="en-IN"/>
        </w:rPr>
      </w:pPr>
      <w:r>
        <w:rPr>
          <w:lang w:val="en-IN"/>
        </w:rPr>
        <w:t xml:space="preserve">The sustainability path for BHP is to have a lower operational environmental impact, as well as greater commodity exposure relating to electrification, urbanisation and food security. It has a target of 30% reduction in operational Scope 1 and 2 emissions by FY2030 from an adjusted FY2020 baseline and aims for 100% reduction in operational emissions by 2050 (BHP, 2024). This reflects Kotler et al.’s (2024) </w:t>
      </w:r>
      <w:r>
        <w:t>argument that companies need to react to environmental shifts both in their market products and communication to stakeholders</w:t>
      </w:r>
      <w:r>
        <w:rPr>
          <w:lang w:val="en-IN"/>
        </w:rPr>
        <w:t xml:space="preserve">. </w:t>
      </w:r>
      <w:r>
        <w:t xml:space="preserve">This being said, BHP needs to demonstrate real environmental outcomes because otherwise, it is likely to face greenwashing accusations. Moreover, BHP is operating in an industry </w:t>
      </w:r>
      <w:proofErr w:type="spellStart"/>
      <w:r>
        <w:t>characteri</w:t>
      </w:r>
      <w:proofErr w:type="spellEnd"/>
      <w:r>
        <w:rPr>
          <w:lang w:val="en-IN"/>
        </w:rPr>
        <w:t>s</w:t>
      </w:r>
      <w:r>
        <w:t>ed by a variety of environmental and social problems, including the issues of emissions, land impairment, water consumption, and involvement of communities</w:t>
      </w:r>
      <w:r>
        <w:rPr>
          <w:lang w:val="en-IN"/>
        </w:rPr>
        <w:t xml:space="preserve"> (BHP, 2025)</w:t>
      </w:r>
      <w:r>
        <w:t>. The company is therefore a great example of how sustainability can be implemented in corporate strategy without introducing risks regarding profitability and competitive advantage. For this reason, the company may be seen as an appropriate and relevant example in regard to the assessment of sustainable business in the mining and metals sector, as it is the leading organisation in the industry and has established comprehensive sustainability policies and emphasis on strategic minerals which are vital for the energy transition</w:t>
      </w:r>
      <w:r>
        <w:rPr>
          <w:lang w:val="en-IN"/>
        </w:rPr>
        <w:t>.</w:t>
      </w:r>
    </w:p>
    <w:p w14:paraId="56B8AADD" w14:textId="77777777" w:rsidR="00665055" w:rsidRDefault="002046BE">
      <w:pPr>
        <w:rPr>
          <w:color w:val="auto"/>
          <w:lang w:val="en-IN"/>
        </w:rPr>
      </w:pPr>
      <w:r>
        <w:rPr>
          <w:color w:val="auto"/>
        </w:rPr>
        <w:t xml:space="preserve">Although BHP has published ambitious climate targets and sustainability commitments, several environmental organisations argue that the company continues to rely heavily on iron ore and metallurgical coal production, creating uncertainty over whether its long-term decarbonisation goals can fully offset the environmental impacts </w:t>
      </w:r>
      <w:r>
        <w:rPr>
          <w:color w:val="auto"/>
        </w:rPr>
        <w:lastRenderedPageBreak/>
        <w:t>of its core business model. Therefore, its sustainability claims require continuous independent verification.</w:t>
      </w:r>
    </w:p>
    <w:p w14:paraId="057FB6C2" w14:textId="77777777" w:rsidR="00665055" w:rsidRDefault="002046BE">
      <w:pPr>
        <w:pStyle w:val="Heading2"/>
        <w:rPr>
          <w:lang w:val="en-IN"/>
        </w:rPr>
      </w:pPr>
      <w:bookmarkStart w:id="2" w:name="_Toc235740057"/>
      <w:r>
        <w:rPr>
          <w:lang w:val="en-IN"/>
        </w:rPr>
        <w:t>1.2 External Marketing Environment Actor 1: Natural Environment</w:t>
      </w:r>
      <w:bookmarkEnd w:id="2"/>
    </w:p>
    <w:p w14:paraId="0F92D51F" w14:textId="77777777" w:rsidR="00665055" w:rsidRDefault="002046BE">
      <w:pPr>
        <w:rPr>
          <w:lang w:val="en-IN"/>
        </w:rPr>
      </w:pPr>
      <w:r>
        <w:rPr>
          <w:lang w:val="en-IN"/>
        </w:rPr>
        <w:t>The natural environment is a significant external marketing actor of BHP as its mining operations rely on limited mineral resources, land, water, energy and functional ecosystems. Extreme heat, flooding, water scarcity and disruption of infrastructure are threats to the productivity of mines due to climate change (</w:t>
      </w:r>
      <w:r>
        <w:rPr>
          <w:rFonts w:cs="Arial"/>
          <w:szCs w:val="24"/>
        </w:rPr>
        <w:t xml:space="preserve">Song </w:t>
      </w:r>
      <w:r>
        <w:rPr>
          <w:rFonts w:cs="Arial"/>
          <w:i/>
          <w:iCs/>
          <w:szCs w:val="24"/>
        </w:rPr>
        <w:t>et al</w:t>
      </w:r>
      <w:r>
        <w:rPr>
          <w:rFonts w:cs="Arial"/>
          <w:szCs w:val="24"/>
        </w:rPr>
        <w:t>., 2025)</w:t>
      </w:r>
      <w:r>
        <w:rPr>
          <w:lang w:val="en-IN"/>
        </w:rPr>
        <w:t>. These risks may increase the cost of extraction, stall supply and undermine BHP's capacity to deliver reliable, competitively priced commodities to customers. Water is a significant material pressure – water withdrawals rose from 380,580 megalitres in FY2024 to 429,660 megalitres in FY2025, with about 62% of those withdrawals in lower quality water (BHP, 2025c). This could therefore lead to community resistance, restrictions on extraction and damage to reputation in water-stressed areas.</w:t>
      </w:r>
    </w:p>
    <w:p w14:paraId="0F06B2EC" w14:textId="77777777" w:rsidR="00665055" w:rsidRDefault="002046BE">
      <w:pPr>
        <w:rPr>
          <w:lang w:val="en-IN"/>
        </w:rPr>
      </w:pPr>
      <w:r>
        <w:rPr>
          <w:lang w:val="en-IN"/>
        </w:rPr>
        <w:t>The issues of climate change and biodiversity reduction, water scarcity, and strict regulations influence BHP's processing and operational costs. Besides, the increasing number of stakeholders expecting responsible mining influences marketing as well as the reputation of the organisation. Therefore, BHP invests in sustainable mining, reducing emissions, maintaining water resources, and environmental restoration and regulation (</w:t>
      </w:r>
      <w:r>
        <w:rPr>
          <w:rFonts w:cs="Arial"/>
          <w:szCs w:val="24"/>
        </w:rPr>
        <w:t xml:space="preserve">Song </w:t>
      </w:r>
      <w:r>
        <w:rPr>
          <w:rFonts w:cs="Arial"/>
          <w:i/>
          <w:iCs/>
          <w:szCs w:val="24"/>
        </w:rPr>
        <w:t>et al</w:t>
      </w:r>
      <w:r>
        <w:rPr>
          <w:rFonts w:cs="Arial"/>
          <w:szCs w:val="24"/>
        </w:rPr>
        <w:t>., 2025</w:t>
      </w:r>
      <w:r>
        <w:rPr>
          <w:rFonts w:eastAsia="SimSun" w:cs="Arial"/>
          <w:color w:val="222222"/>
          <w:szCs w:val="24"/>
          <w:shd w:val="clear" w:color="auto" w:fill="FFFFFF"/>
          <w:lang w:val="en-IN"/>
        </w:rPr>
        <w:t>)</w:t>
      </w:r>
      <w:r>
        <w:rPr>
          <w:lang w:val="en-IN"/>
        </w:rPr>
        <w:t xml:space="preserve">. </w:t>
      </w:r>
    </w:p>
    <w:p w14:paraId="0F0AC51B" w14:textId="77777777" w:rsidR="00665055" w:rsidRDefault="002046BE">
      <w:pPr>
        <w:rPr>
          <w:lang w:val="en-IN"/>
        </w:rPr>
      </w:pPr>
      <w:r>
        <w:rPr>
          <w:lang w:val="en-IN"/>
        </w:rPr>
        <w:t>In addition, carbon intensity is a factor that affects the competitiveness of BHP's products (</w:t>
      </w:r>
      <w:r>
        <w:rPr>
          <w:rFonts w:eastAsia="SimSun" w:cs="Arial"/>
          <w:color w:val="222222"/>
          <w:szCs w:val="24"/>
          <w:shd w:val="clear" w:color="auto" w:fill="FFFFFF"/>
        </w:rPr>
        <w:t>Kirsanov and Saaya,</w:t>
      </w:r>
      <w:r>
        <w:rPr>
          <w:rFonts w:eastAsia="SimSun" w:cs="Arial"/>
          <w:color w:val="222222"/>
          <w:szCs w:val="24"/>
          <w:shd w:val="clear" w:color="auto" w:fill="FFFFFF"/>
          <w:lang w:val="en-IN"/>
        </w:rPr>
        <w:t xml:space="preserve"> </w:t>
      </w:r>
      <w:r>
        <w:rPr>
          <w:rFonts w:eastAsia="SimSun" w:cs="Arial"/>
          <w:color w:val="222222"/>
          <w:szCs w:val="24"/>
          <w:shd w:val="clear" w:color="auto" w:fill="FFFFFF"/>
        </w:rPr>
        <w:t>2024</w:t>
      </w:r>
      <w:r>
        <w:rPr>
          <w:rFonts w:eastAsia="SimSun" w:cs="Arial"/>
          <w:color w:val="222222"/>
          <w:szCs w:val="24"/>
          <w:shd w:val="clear" w:color="auto" w:fill="FFFFFF"/>
          <w:lang w:val="en-IN"/>
        </w:rPr>
        <w:t>)</w:t>
      </w:r>
      <w:r>
        <w:rPr>
          <w:lang w:val="en-IN"/>
        </w:rPr>
        <w:t>. Steelmakers, vehicle makers and infrastructure firms are increasingly measuring the emissions that their supply chains create, and iron ore and copper smelted with renewable electricity, electrified machinery and efficient processing may be eligible for preferred-supplier status. Meanwhile, technological advancements such as mine electrification and automation as well as low-emission energy use can increase efficiency while maintaining environmental legitimacy (Clausen and Sörensen, 2022). However, due to falling ore grades, increased energy, water and waste transport per tonne of metal could compensate for the efficiency gains.</w:t>
      </w:r>
    </w:p>
    <w:p w14:paraId="2B384738" w14:textId="77777777" w:rsidR="00665055" w:rsidRDefault="002046BE">
      <w:pPr>
        <w:rPr>
          <w:lang w:val="en-IN"/>
        </w:rPr>
      </w:pPr>
      <w:r>
        <w:rPr>
          <w:lang w:val="en-IN"/>
        </w:rPr>
        <w:t xml:space="preserve">Increasing demand for transition minerals presents an opportunity for the natural environment. Under the IEA's NDC scenario, copper demand may increase by around 50% by 2040 (International Energy Agency, 2024). BHP can therefore expand its </w:t>
      </w:r>
      <w:r>
        <w:rPr>
          <w:lang w:val="en-IN"/>
        </w:rPr>
        <w:lastRenderedPageBreak/>
        <w:t>copper business and successfully position copper as an enabling material for electric vehicles, power networks and renewable technology. Mining may benefit economically from a carbon pricing system, according to research, since it needs a lot of minerals to maintain low-carbon systems (Cox et al., 2022).</w:t>
      </w:r>
    </w:p>
    <w:p w14:paraId="291101D7" w14:textId="77777777" w:rsidR="00665055" w:rsidRDefault="002046BE">
      <w:pPr>
        <w:rPr>
          <w:lang w:val="en-IN"/>
        </w:rPr>
      </w:pPr>
      <w:r>
        <w:rPr>
          <w:lang w:val="en-IN"/>
        </w:rPr>
        <w:t>But growth of “green-mineral” production brings about an environmental paradox. Increasing extraction may lead to increasing land disturbance, tailings, waste and biodiversity loss (</w:t>
      </w:r>
      <w:r>
        <w:rPr>
          <w:rFonts w:eastAsia="SimSun" w:cs="Arial"/>
          <w:color w:val="222222"/>
          <w:szCs w:val="24"/>
          <w:shd w:val="clear" w:color="auto" w:fill="FFFFFF"/>
        </w:rPr>
        <w:t>Kirsanov and Saaya,</w:t>
      </w:r>
      <w:r>
        <w:rPr>
          <w:rFonts w:eastAsia="SimSun" w:cs="Arial"/>
          <w:color w:val="222222"/>
          <w:szCs w:val="24"/>
          <w:shd w:val="clear" w:color="auto" w:fill="FFFFFF"/>
          <w:lang w:val="en-IN"/>
        </w:rPr>
        <w:t xml:space="preserve"> </w:t>
      </w:r>
      <w:r>
        <w:rPr>
          <w:rFonts w:eastAsia="SimSun" w:cs="Arial"/>
          <w:color w:val="222222"/>
          <w:szCs w:val="24"/>
          <w:shd w:val="clear" w:color="auto" w:fill="FFFFFF"/>
        </w:rPr>
        <w:t>2024</w:t>
      </w:r>
      <w:r>
        <w:rPr>
          <w:rFonts w:eastAsia="SimSun" w:cs="Arial"/>
          <w:color w:val="222222"/>
          <w:szCs w:val="24"/>
          <w:shd w:val="clear" w:color="auto" w:fill="FFFFFF"/>
          <w:lang w:val="en-IN"/>
        </w:rPr>
        <w:t>)</w:t>
      </w:r>
      <w:r>
        <w:rPr>
          <w:lang w:val="en-IN"/>
        </w:rPr>
        <w:t xml:space="preserve">. While some pressures to biodiversity can be alleviated by renewable electricity, the biodiversity impacts of mining are integrated across global supply chains, as </w:t>
      </w:r>
      <w:proofErr w:type="spellStart"/>
      <w:r>
        <w:rPr>
          <w:lang w:val="en-IN"/>
        </w:rPr>
        <w:t>Cabernard</w:t>
      </w:r>
      <w:proofErr w:type="spellEnd"/>
      <w:r>
        <w:rPr>
          <w:lang w:val="en-IN"/>
        </w:rPr>
        <w:t xml:space="preserve"> and Pfister (2023) show. BHP will instead need to avoid making copper a “green” metal by replacing it with evidence of lifecycle emissions, water stewardship, rehabilitation and protection of biodiversity.</w:t>
      </w:r>
    </w:p>
    <w:p w14:paraId="0C806E6C" w14:textId="77777777" w:rsidR="00665055" w:rsidRDefault="002046BE">
      <w:pPr>
        <w:rPr>
          <w:color w:val="auto"/>
          <w:lang w:val="en-IN"/>
        </w:rPr>
      </w:pPr>
      <w:r>
        <w:rPr>
          <w:color w:val="auto"/>
        </w:rPr>
        <w:t>Despite these initiatives, BHP continues to face criticism because mining remains inherently resource intensive. Increasing copper production to support the energy transition may simultaneously increase land disturbance, biodiversity loss and water consumption</w:t>
      </w:r>
      <w:r>
        <w:rPr>
          <w:color w:val="auto"/>
          <w:lang w:val="en-IN"/>
        </w:rPr>
        <w:t xml:space="preserve"> (</w:t>
      </w:r>
      <w:r>
        <w:rPr>
          <w:rFonts w:eastAsia="SimSun" w:cs="Arial"/>
          <w:color w:val="auto"/>
          <w:szCs w:val="24"/>
          <w:shd w:val="clear" w:color="auto" w:fill="FFFFFF"/>
        </w:rPr>
        <w:t>Kirsanov and Saaya,</w:t>
      </w:r>
      <w:r>
        <w:rPr>
          <w:rFonts w:eastAsia="SimSun" w:cs="Arial"/>
          <w:color w:val="auto"/>
          <w:szCs w:val="24"/>
          <w:shd w:val="clear" w:color="auto" w:fill="FFFFFF"/>
          <w:lang w:val="en-IN"/>
        </w:rPr>
        <w:t xml:space="preserve"> </w:t>
      </w:r>
      <w:r>
        <w:rPr>
          <w:rFonts w:eastAsia="SimSun" w:cs="Arial"/>
          <w:color w:val="auto"/>
          <w:szCs w:val="24"/>
          <w:shd w:val="clear" w:color="auto" w:fill="FFFFFF"/>
        </w:rPr>
        <w:t>2024</w:t>
      </w:r>
      <w:r>
        <w:rPr>
          <w:rFonts w:eastAsia="SimSun" w:cs="Arial"/>
          <w:color w:val="auto"/>
          <w:szCs w:val="24"/>
          <w:shd w:val="clear" w:color="auto" w:fill="FFFFFF"/>
          <w:lang w:val="en-IN"/>
        </w:rPr>
        <w:t>)</w:t>
      </w:r>
      <w:r>
        <w:rPr>
          <w:color w:val="auto"/>
        </w:rPr>
        <w:t>. Consequently, expanding production could partially offset environmental improvements unless stronger rehabilitation and lifecycle management practices are implemented.</w:t>
      </w:r>
    </w:p>
    <w:p w14:paraId="3618EC7E" w14:textId="77777777" w:rsidR="00665055" w:rsidRDefault="002046BE">
      <w:pPr>
        <w:pStyle w:val="Heading2"/>
        <w:rPr>
          <w:lang w:val="en-IN"/>
        </w:rPr>
      </w:pPr>
      <w:bookmarkStart w:id="3" w:name="_Toc235740058"/>
      <w:r>
        <w:rPr>
          <w:lang w:val="en-IN"/>
        </w:rPr>
        <w:t>1.3 External Marketing Environment Actor 2: Political and Regulatory Environment</w:t>
      </w:r>
      <w:bookmarkEnd w:id="3"/>
    </w:p>
    <w:p w14:paraId="75356DA5" w14:textId="77777777" w:rsidR="00665055" w:rsidRDefault="002046BE">
      <w:pPr>
        <w:rPr>
          <w:lang w:val="en-IN"/>
        </w:rPr>
      </w:pPr>
      <w:r>
        <w:rPr>
          <w:lang w:val="en-IN"/>
        </w:rPr>
        <w:t>The political and regulatory environment is chosen as this has a significant direct impact on production costs and market access for BHP's operations due to the presence of several jurisdictions, each with their own carbon-pricing system, environmental permits, disclosure requirements, and biodiversity regulations (</w:t>
      </w:r>
      <w:r>
        <w:rPr>
          <w:rFonts w:eastAsia="SimSun" w:cs="Arial"/>
          <w:color w:val="222222"/>
          <w:szCs w:val="24"/>
          <w:shd w:val="clear" w:color="auto" w:fill="FFFFFF"/>
        </w:rPr>
        <w:t>Kirsanov and Saaya,</w:t>
      </w:r>
      <w:r>
        <w:rPr>
          <w:rFonts w:eastAsia="SimSun" w:cs="Arial"/>
          <w:color w:val="222222"/>
          <w:szCs w:val="24"/>
          <w:shd w:val="clear" w:color="auto" w:fill="FFFFFF"/>
          <w:lang w:val="en-IN"/>
        </w:rPr>
        <w:t xml:space="preserve"> </w:t>
      </w:r>
      <w:r>
        <w:rPr>
          <w:rFonts w:eastAsia="SimSun" w:cs="Arial"/>
          <w:color w:val="222222"/>
          <w:szCs w:val="24"/>
          <w:shd w:val="clear" w:color="auto" w:fill="FFFFFF"/>
        </w:rPr>
        <w:t>2024</w:t>
      </w:r>
      <w:r>
        <w:rPr>
          <w:rFonts w:eastAsia="SimSun" w:cs="Arial"/>
          <w:color w:val="222222"/>
          <w:szCs w:val="24"/>
          <w:shd w:val="clear" w:color="auto" w:fill="FFFFFF"/>
          <w:lang w:val="en-IN"/>
        </w:rPr>
        <w:t>)</w:t>
      </w:r>
      <w:r>
        <w:rPr>
          <w:lang w:val="en-IN"/>
        </w:rPr>
        <w:t>. Australia's new Safeguard Mechanism uses declining emissions baselines for large industrial emitters and will provide over 200m tonnes of emissions reduction by 2030 relative to pre-reform projections (DCCEEW, 2026). This poses a risk in terms of increased compliance, renewable energy and equipment conversion expenses. Using offsets instead of operational decarbonisation could also result in BHP losing ground in investor and customer trust.</w:t>
      </w:r>
    </w:p>
    <w:p w14:paraId="1DBC44E9" w14:textId="77777777" w:rsidR="00665055" w:rsidRDefault="002046BE">
      <w:pPr>
        <w:rPr>
          <w:lang w:val="en-IN"/>
        </w:rPr>
      </w:pPr>
      <w:r>
        <w:rPr>
          <w:lang w:val="en-IN"/>
        </w:rPr>
        <w:t xml:space="preserve">However, more stringent regulation can incentivise companies that can deliver carbon-reduction products that are independently verified. The Taskforce on Nature-related Financial Disclosures (TNFD) suggests that reporting should be done via governance, </w:t>
      </w:r>
      <w:r>
        <w:rPr>
          <w:lang w:val="en-IN"/>
        </w:rPr>
        <w:lastRenderedPageBreak/>
        <w:t>strategy, risk-management, metrics and targets – with sector-specific guidance for metals and mining (TNFD, 2023). BHP's early alignment may help to differentiate BHP with clear environmental information, build rapport with environmentally conscious customers and facilitate access to responsible investment. The permitting and infrastructure for copper developments could be expedited by politically supported critical-mineral strategies (</w:t>
      </w:r>
      <w:r>
        <w:rPr>
          <w:rFonts w:eastAsia="SimSun" w:cs="Arial"/>
          <w:color w:val="222222"/>
          <w:szCs w:val="24"/>
          <w:shd w:val="clear" w:color="auto" w:fill="FFFFFF"/>
        </w:rPr>
        <w:t>Kirsanov and Saaya,</w:t>
      </w:r>
      <w:r>
        <w:rPr>
          <w:rFonts w:eastAsia="SimSun" w:cs="Arial"/>
          <w:color w:val="222222"/>
          <w:szCs w:val="24"/>
          <w:shd w:val="clear" w:color="auto" w:fill="FFFFFF"/>
          <w:lang w:val="en-IN"/>
        </w:rPr>
        <w:t xml:space="preserve"> </w:t>
      </w:r>
      <w:r>
        <w:rPr>
          <w:rFonts w:eastAsia="SimSun" w:cs="Arial"/>
          <w:color w:val="222222"/>
          <w:szCs w:val="24"/>
          <w:shd w:val="clear" w:color="auto" w:fill="FFFFFF"/>
        </w:rPr>
        <w:t>2024</w:t>
      </w:r>
      <w:r>
        <w:rPr>
          <w:rFonts w:eastAsia="SimSun" w:cs="Arial"/>
          <w:color w:val="222222"/>
          <w:szCs w:val="24"/>
          <w:shd w:val="clear" w:color="auto" w:fill="FFFFFF"/>
          <w:lang w:val="en-IN"/>
        </w:rPr>
        <w:t>)</w:t>
      </w:r>
      <w:r>
        <w:rPr>
          <w:lang w:val="en-IN"/>
        </w:rPr>
        <w:t>. So regulation is a cost challenge and competitive opportunity. BHP's positioning will hinge on the ability to make compliance a credible product differentiator rather than just a corporate communication.</w:t>
      </w:r>
    </w:p>
    <w:p w14:paraId="5AAC5CC2" w14:textId="77777777" w:rsidR="00665055" w:rsidRDefault="002046BE">
      <w:pPr>
        <w:pStyle w:val="Heading1"/>
        <w:rPr>
          <w:lang w:val="en-IN"/>
        </w:rPr>
      </w:pPr>
      <w:bookmarkStart w:id="4" w:name="_Toc235740059"/>
      <w:r>
        <w:t>2.0 Task 2: Strategic Growth and Competitive Positioning</w:t>
      </w:r>
      <w:bookmarkEnd w:id="4"/>
      <w:r>
        <w:t xml:space="preserve"> </w:t>
      </w:r>
    </w:p>
    <w:p w14:paraId="216F6E92" w14:textId="77777777" w:rsidR="00665055" w:rsidRDefault="002046BE">
      <w:pPr>
        <w:pStyle w:val="Heading2"/>
        <w:rPr>
          <w:rFonts w:eastAsiaTheme="minorHAnsi"/>
        </w:rPr>
      </w:pPr>
      <w:bookmarkStart w:id="5" w:name="_Toc235740060"/>
      <w:r>
        <w:t xml:space="preserve">2.1 </w:t>
      </w:r>
      <w:r>
        <w:rPr>
          <w:rFonts w:eastAsiaTheme="minorHAnsi"/>
        </w:rPr>
        <w:t>Strategic Growth Recommendation Using the Ansoff Matrix</w:t>
      </w:r>
      <w:bookmarkEnd w:id="5"/>
    </w:p>
    <w:p w14:paraId="4AF1A6B0" w14:textId="77777777" w:rsidR="00665055" w:rsidRDefault="002046BE">
      <w:pPr>
        <w:rPr>
          <w:lang w:val="en-IN"/>
        </w:rPr>
      </w:pPr>
      <w:r>
        <w:t>Ansoff's most suitable growth option for BHP is product development, which sees the company develop better or lower carbon products for its existing industrial markets. The Ansoff Matrix shows that product development is different from market penetration; market development and diversification are different because they involve offering new or significantly improved products and services and markets where the organisation already has knowledge and commercial skills (Kotler et al., 2024). This is about increasing BHP's copper and potash output, and about BHP's lower-emission ("verified low carbon") iron ore and cleaner extraction technologies for existing customers in steelmaking, infrastructure, agriculture and manufacturing</w:t>
      </w:r>
      <w:r>
        <w:rPr>
          <w:lang w:val="en-IN"/>
        </w:rPr>
        <w:t>.</w:t>
      </w:r>
    </w:p>
    <w:p w14:paraId="33948B00" w14:textId="77777777" w:rsidR="00665055" w:rsidRDefault="002046BE">
      <w:pPr>
        <w:jc w:val="center"/>
        <w:rPr>
          <w:lang w:val="en-IN"/>
        </w:rPr>
      </w:pPr>
      <w:r>
        <w:rPr>
          <w:noProof/>
          <w:lang w:val="en-IN" w:eastAsia="en-IN" w:bidi="hi-IN"/>
        </w:rPr>
        <w:lastRenderedPageBreak/>
        <w:drawing>
          <wp:inline distT="0" distB="0" distL="0" distR="0" wp14:anchorId="0395C691" wp14:editId="23EF4AEC">
            <wp:extent cx="3414395" cy="3471545"/>
            <wp:effectExtent l="0" t="0" r="0" b="0"/>
            <wp:docPr id="219643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643401" name="Picture 1"/>
                    <pic:cNvPicPr>
                      <a:picLocks noChangeAspect="1"/>
                    </pic:cNvPicPr>
                  </pic:nvPicPr>
                  <pic:blipFill>
                    <a:blip r:embed="rId8"/>
                    <a:stretch>
                      <a:fillRect/>
                    </a:stretch>
                  </pic:blipFill>
                  <pic:spPr>
                    <a:xfrm>
                      <a:off x="0" y="0"/>
                      <a:ext cx="3418988" cy="3476329"/>
                    </a:xfrm>
                    <a:prstGeom prst="rect">
                      <a:avLst/>
                    </a:prstGeom>
                  </pic:spPr>
                </pic:pic>
              </a:graphicData>
            </a:graphic>
          </wp:inline>
        </w:drawing>
      </w:r>
    </w:p>
    <w:p w14:paraId="64A54967" w14:textId="77777777" w:rsidR="00665055" w:rsidRDefault="002046BE">
      <w:pPr>
        <w:jc w:val="center"/>
        <w:rPr>
          <w:b/>
          <w:bCs/>
          <w:lang w:val="en-IN"/>
        </w:rPr>
      </w:pPr>
      <w:r>
        <w:rPr>
          <w:b/>
          <w:bCs/>
          <w:lang w:val="en-IN"/>
        </w:rPr>
        <w:t>Figure 1: Ansoff Matrix</w:t>
      </w:r>
    </w:p>
    <w:p w14:paraId="33FDDC6B" w14:textId="77777777" w:rsidR="00665055" w:rsidRDefault="002046BE">
      <w:pPr>
        <w:jc w:val="center"/>
        <w:rPr>
          <w:lang w:val="en-IN"/>
        </w:rPr>
      </w:pPr>
      <w:r>
        <w:rPr>
          <w:lang w:val="en-IN"/>
        </w:rPr>
        <w:t>(Source: Self-Developed)</w:t>
      </w:r>
    </w:p>
    <w:p w14:paraId="2CFDD335" w14:textId="77777777" w:rsidR="00665055" w:rsidRDefault="002046BE">
      <w:pPr>
        <w:rPr>
          <w:lang w:val="en-IN"/>
        </w:rPr>
      </w:pPr>
      <w:r>
        <w:rPr>
          <w:lang w:val="en-IN"/>
        </w:rPr>
        <w:t>It is consistent with BHP's current strategy. Between FY2022 and FY2025, the company raised its copper output by 28% and is anticipating that 70% of its medium-term capital spending will go toward copper and potash production (BHP, 2025d). It has also acquired interests in the Josemaria and Filo del Sol deposits, enhancing its pipeline of copper products needed to electrify (BHP, 2025b). This decision is supported by the demand conditions, as global copper demand is projected to rise by around 50% by 2040 in the IEA's net-zero scenario (International Energy Agency, 2024).</w:t>
      </w:r>
    </w:p>
    <w:p w14:paraId="209C6608" w14:textId="77777777" w:rsidR="00665055" w:rsidRDefault="002046BE">
      <w:pPr>
        <w:rPr>
          <w:lang w:val="en-IN"/>
        </w:rPr>
      </w:pPr>
      <w:r>
        <w:rPr>
          <w:lang w:val="en-IN"/>
        </w:rPr>
        <w:t>Pressures from the natural environment directly influence product development (Task 1). Carbon intensity, water consumption and climate-related operational exposure can be lowered through renewable electricity, electrifying mines, water recycling and lowering emissions in processing (</w:t>
      </w:r>
      <w:proofErr w:type="spellStart"/>
      <w:r>
        <w:rPr>
          <w:szCs w:val="24"/>
        </w:rPr>
        <w:t>Recabarren</w:t>
      </w:r>
      <w:proofErr w:type="spellEnd"/>
      <w:r>
        <w:rPr>
          <w:szCs w:val="24"/>
        </w:rPr>
        <w:t xml:space="preserve"> </w:t>
      </w:r>
      <w:r>
        <w:rPr>
          <w:i/>
          <w:iCs/>
          <w:szCs w:val="24"/>
        </w:rPr>
        <w:t>et al</w:t>
      </w:r>
      <w:r>
        <w:rPr>
          <w:szCs w:val="24"/>
        </w:rPr>
        <w:t>.</w:t>
      </w:r>
      <w:r>
        <w:rPr>
          <w:rFonts w:eastAsia="SimSun" w:cs="Arial"/>
          <w:color w:val="222222"/>
          <w:szCs w:val="24"/>
          <w:shd w:val="clear" w:color="auto" w:fill="FFFFFF"/>
        </w:rPr>
        <w:t>, 2025</w:t>
      </w:r>
      <w:r>
        <w:rPr>
          <w:rFonts w:eastAsia="SimSun" w:cs="Arial"/>
          <w:color w:val="222222"/>
          <w:szCs w:val="24"/>
          <w:shd w:val="clear" w:color="auto" w:fill="FFFFFF"/>
          <w:lang w:val="en-IN"/>
        </w:rPr>
        <w:t>)</w:t>
      </w:r>
      <w:r>
        <w:rPr>
          <w:lang w:val="en-IN"/>
        </w:rPr>
        <w:t>. At the same time, BHP's products can be distinguished from the competition by independently verified environmental performance when customers are looking to lower supply chain emissions. This positioning is supported by the provision of governance and emissions reduction framework from BHP's Climate Transition Action Plan (BHP, 2024).</w:t>
      </w:r>
    </w:p>
    <w:p w14:paraId="2B030937" w14:textId="77777777" w:rsidR="00665055" w:rsidRDefault="002046BE">
      <w:pPr>
        <w:rPr>
          <w:lang w:val="en-IN"/>
        </w:rPr>
      </w:pPr>
      <w:r>
        <w:rPr>
          <w:lang w:val="en-IN"/>
        </w:rPr>
        <w:lastRenderedPageBreak/>
        <w:t>There is a risk that market penetration alone would not change BHP's environmental footprint enough, and diversification into unrelated renewable-energy ventures would add to the company's technology and business risks (</w:t>
      </w:r>
      <w:proofErr w:type="spellStart"/>
      <w:r>
        <w:rPr>
          <w:szCs w:val="24"/>
        </w:rPr>
        <w:t>Recabarren</w:t>
      </w:r>
      <w:proofErr w:type="spellEnd"/>
      <w:r>
        <w:rPr>
          <w:szCs w:val="24"/>
        </w:rPr>
        <w:t xml:space="preserve"> </w:t>
      </w:r>
      <w:r>
        <w:rPr>
          <w:i/>
          <w:iCs/>
          <w:szCs w:val="24"/>
        </w:rPr>
        <w:t>et al</w:t>
      </w:r>
      <w:r>
        <w:rPr>
          <w:rFonts w:eastAsia="SimSun" w:cs="Arial"/>
          <w:color w:val="222222"/>
          <w:szCs w:val="24"/>
          <w:shd w:val="clear" w:color="auto" w:fill="FFFFFF"/>
        </w:rPr>
        <w:t>., 2025</w:t>
      </w:r>
      <w:r>
        <w:rPr>
          <w:rFonts w:eastAsia="SimSun" w:cs="Arial"/>
          <w:color w:val="222222"/>
          <w:szCs w:val="24"/>
          <w:shd w:val="clear" w:color="auto" w:fill="FFFFFF"/>
          <w:lang w:val="en-IN"/>
        </w:rPr>
        <w:t>)</w:t>
      </w:r>
      <w:r>
        <w:rPr>
          <w:lang w:val="en-IN"/>
        </w:rPr>
        <w:t>. Product development thus provides balanced growth: it makes use of the mining competencies and client networks of BHP, and moves its portfolio toward commodities and production methods needed for a lower-carbon financial system.</w:t>
      </w:r>
    </w:p>
    <w:p w14:paraId="2E854152" w14:textId="77777777" w:rsidR="00665055" w:rsidRDefault="002046BE">
      <w:pPr>
        <w:rPr>
          <w:lang w:val="en-IN"/>
        </w:rPr>
      </w:pPr>
      <w:r>
        <w:rPr>
          <w:lang w:val="en-IN"/>
        </w:rPr>
        <w:t>As such, BHP needs to maintain its investment in future-oriented products like copper, nickel, and potash that are vital to the electric vehicle, renewable energy power generation and battery industries (</w:t>
      </w:r>
      <w:proofErr w:type="spellStart"/>
      <w:r>
        <w:rPr>
          <w:szCs w:val="24"/>
        </w:rPr>
        <w:t>Recabarren</w:t>
      </w:r>
      <w:proofErr w:type="spellEnd"/>
      <w:r>
        <w:rPr>
          <w:szCs w:val="24"/>
        </w:rPr>
        <w:t xml:space="preserve"> </w:t>
      </w:r>
      <w:r>
        <w:rPr>
          <w:i/>
          <w:iCs/>
          <w:szCs w:val="24"/>
        </w:rPr>
        <w:t>et al</w:t>
      </w:r>
      <w:r>
        <w:rPr>
          <w:rFonts w:eastAsia="SimSun" w:cs="Arial"/>
          <w:color w:val="222222"/>
          <w:szCs w:val="24"/>
          <w:shd w:val="clear" w:color="auto" w:fill="FFFFFF"/>
        </w:rPr>
        <w:t>., 2025</w:t>
      </w:r>
      <w:r>
        <w:rPr>
          <w:rFonts w:eastAsia="SimSun" w:cs="Arial"/>
          <w:color w:val="222222"/>
          <w:szCs w:val="24"/>
          <w:shd w:val="clear" w:color="auto" w:fill="FFFFFF"/>
          <w:lang w:val="en-IN"/>
        </w:rPr>
        <w:t>)</w:t>
      </w:r>
      <w:r>
        <w:rPr>
          <w:lang w:val="en-IN"/>
        </w:rPr>
        <w:t xml:space="preserve">. Concurrently, the company must diversify its low-carbon mining portfolio with the use of renewable energy, automation, artificial intelligence and carbon capture technologies. </w:t>
      </w:r>
      <w:r>
        <w:t>The innovations would further benefit BHP's position and boost efficiency and meet the growing customer demand for sustainably sourced minerals</w:t>
      </w:r>
      <w:r>
        <w:rPr>
          <w:lang w:val="en-IN"/>
        </w:rPr>
        <w:t>.</w:t>
      </w:r>
    </w:p>
    <w:p w14:paraId="4927C56C" w14:textId="77777777" w:rsidR="00665055" w:rsidRDefault="002046BE">
      <w:pPr>
        <w:pStyle w:val="Heading2"/>
      </w:pPr>
      <w:bookmarkStart w:id="6" w:name="_Toc235740061"/>
      <w:r>
        <w:t>2.2 Competitive Advantage Through a Lower-Carbon Business Model</w:t>
      </w:r>
      <w:bookmarkEnd w:id="6"/>
    </w:p>
    <w:p w14:paraId="15CDA9E3" w14:textId="77777777" w:rsidR="00665055" w:rsidRDefault="002046BE">
      <w:pPr>
        <w:rPr>
          <w:lang w:val="en-IN"/>
        </w:rPr>
      </w:pPr>
      <w:r>
        <w:rPr>
          <w:lang w:val="en-IN"/>
        </w:rPr>
        <w:t>Employing a low-carbon business model allows BHP to gain a competitive advantage due to its lower carbon emissions that conform to the increasing demand for sustainability in the mining sector. The investment in renewable energy, the electrification of mining equipment and the use of low-carbon technology reduces the carbon footprint of the company. This therefore helps to minimise the overall operational expenses, meet environmental standards, and mitigate climate risk.</w:t>
      </w:r>
    </w:p>
    <w:p w14:paraId="0DFB214A" w14:textId="77777777" w:rsidR="00665055" w:rsidRDefault="002046BE">
      <w:pPr>
        <w:rPr>
          <w:lang w:val="en-IN"/>
        </w:rPr>
      </w:pPr>
      <w:r>
        <w:t>BHP need not choose between one or the other of Porter's cost-leadership and differentiation strategies to establish competitive advantage but may choose to use both</w:t>
      </w:r>
      <w:r>
        <w:rPr>
          <w:lang w:val="en-IN"/>
        </w:rPr>
        <w:t>. Cost leadership can stem from operational efficiency: from the use of renewable electricity, to electrifying mines, to automation, to water recycling, and to optimising ore processing, to reduce energy consumption, carbon costs, and production downtime. The Operating System and BHP's large-scale assets offer the ability to achieve low-carbon technology investment at scale, which could reduce unit costs over time. But significant initial investments and falling ore grades can mean that immediate cost savings are unlikely, so decarbonisation needs to be combined with productivity and not seen as an independent compliance program.</w:t>
      </w:r>
    </w:p>
    <w:p w14:paraId="7638D3B8" w14:textId="77777777" w:rsidR="00665055" w:rsidRDefault="002046BE">
      <w:pPr>
        <w:rPr>
          <w:lang w:val="en-IN"/>
        </w:rPr>
      </w:pPr>
      <w:r>
        <w:rPr>
          <w:lang w:val="en-IN"/>
        </w:rPr>
        <w:t xml:space="preserve">Differentiation provides better long-term opportunities. BHP has established its copper and iron ore sectors on the basis of proven lifecycle-emissions data as well as on the </w:t>
      </w:r>
      <w:r>
        <w:rPr>
          <w:lang w:val="en-IN"/>
        </w:rPr>
        <w:lastRenderedPageBreak/>
        <w:t>principles of responsible water management, biodiversity conservation, and supply chain transparency. The low-carbon business model creates additional value for clients as a means of helping them decarbonise their own value chain (</w:t>
      </w:r>
      <w:r>
        <w:t>Sairanen and Aarikka-Stenroos,</w:t>
      </w:r>
      <w:r>
        <w:rPr>
          <w:lang w:val="en-IN"/>
        </w:rPr>
        <w:t xml:space="preserve"> </w:t>
      </w:r>
      <w:r>
        <w:t>2024</w:t>
      </w:r>
      <w:r>
        <w:rPr>
          <w:lang w:val="en-IN"/>
        </w:rPr>
        <w:t>). These services become increasingly important for steel makers and steel producers due to the applicability of Scope 3 targets. In addition, BHP has already cooperated with steel manufacturers in efforts to reduce emissions by means of different technologies and enhance supplier–customer relations through the use of a strategic partnership approach.</w:t>
      </w:r>
    </w:p>
    <w:p w14:paraId="7D1F30C0" w14:textId="77777777" w:rsidR="00665055" w:rsidRDefault="002046BE">
      <w:pPr>
        <w:rPr>
          <w:lang w:val="en-IN"/>
        </w:rPr>
      </w:pPr>
      <w:r>
        <w:rPr>
          <w:lang w:val="en-IN"/>
        </w:rPr>
        <w:t>Furthermore, implementation of the low-carbon strategy improves BHP's reputation with investors, governments, clients, and local communities, which are more and more concerned about ESG performance. In addition, the increasing demand for copper or nickel puts the company in a favourable position for successful entry to the new market.</w:t>
      </w:r>
    </w:p>
    <w:p w14:paraId="309E4025" w14:textId="77777777" w:rsidR="00665055" w:rsidRDefault="002046BE">
      <w:pPr>
        <w:rPr>
          <w:lang w:val="en-IN"/>
        </w:rPr>
      </w:pPr>
      <w:r>
        <w:rPr>
          <w:lang w:val="en-IN"/>
        </w:rPr>
        <w:t>The growth of copper portfolios provides additional evidence for that. During the four years to 2025, BHP increased its copper production by about 30% while copper's contribution to the company's underlying EBITDA amounted to 51% for the six months ending in December 2025, according to the report by BHP (2026). The IEA indicates a long-term copper supply deficit, which is caused by increased demand and lower ore grades lowering the project efficiency of supply.</w:t>
      </w:r>
    </w:p>
    <w:p w14:paraId="420F91CD" w14:textId="77777777" w:rsidR="00665055" w:rsidRDefault="002046BE">
      <w:pPr>
        <w:rPr>
          <w:lang w:val="en-IN"/>
        </w:rPr>
      </w:pPr>
      <w:r>
        <w:rPr>
          <w:lang w:val="en-IN"/>
        </w:rPr>
        <w:t>However, if green differentiation is easy to imitate in other areas, it is not sustainable in this case. The procurement of renewable energy is not an innovative practice in itself. BHP therefore has to find ways to combine low emissions with few proper deposits, expertise, traceability, customer relationships and reliability. While green-mining technologies offer the potential to reduce energy consumption and environmental impacts, their success requires site-specific application and ongoing innovation (Onifade et al., 2024). So BHP's edge lies in getting tangible value from its environmental performance without making unsupported claims.</w:t>
      </w:r>
    </w:p>
    <w:p w14:paraId="6A592E73" w14:textId="77777777" w:rsidR="00665055" w:rsidRDefault="002046BE">
      <w:pPr>
        <w:pStyle w:val="Heading1"/>
        <w:rPr>
          <w:lang w:val="en-IN"/>
        </w:rPr>
      </w:pPr>
      <w:bookmarkStart w:id="7" w:name="_Toc235740062"/>
      <w:r>
        <w:rPr>
          <w:lang w:val="en-IN"/>
        </w:rPr>
        <w:t>3.0 Task 3: Critical Reflection on AI usage</w:t>
      </w:r>
      <w:bookmarkEnd w:id="7"/>
    </w:p>
    <w:p w14:paraId="7A57EED4" w14:textId="77777777" w:rsidR="00665055" w:rsidRDefault="002046BE">
      <w:pPr>
        <w:pStyle w:val="Heading2"/>
        <w:rPr>
          <w:lang w:val="en-IN"/>
        </w:rPr>
      </w:pPr>
      <w:bookmarkStart w:id="8" w:name="_Toc235740063"/>
      <w:r>
        <w:rPr>
          <w:lang w:val="en-IN"/>
        </w:rPr>
        <w:t>3.1 Tool Disclosure</w:t>
      </w:r>
      <w:bookmarkEnd w:id="8"/>
    </w:p>
    <w:p w14:paraId="1A72414A" w14:textId="77777777" w:rsidR="00665055" w:rsidRDefault="002046BE">
      <w:pPr>
        <w:rPr>
          <w:lang w:val="en-IN"/>
        </w:rPr>
      </w:pPr>
      <w:r>
        <w:t xml:space="preserve">This report was written with the assistance of ChatGPT, an artificial intelligence tool. It helped me to arrange the report based on the assessment requirements, to identify </w:t>
      </w:r>
      <w:r>
        <w:lastRenderedPageBreak/>
        <w:t>which concepts may be applicable to the report, and gave me a possible structure in applying the Ansoff Matrix and Porter's Generic Strategies to the BHP. The tool was also utilised to create preliminary text, to summarise long industry information and to locate possible academic, corporate or industry sources. I did not consider the content created by the AI to be complete and finalised, nor to be automatically accurate</w:t>
      </w:r>
      <w:r>
        <w:rPr>
          <w:lang w:val="en-IN"/>
        </w:rPr>
        <w:t>.</w:t>
      </w:r>
    </w:p>
    <w:p w14:paraId="2C3F7A8B" w14:textId="77777777" w:rsidR="00665055" w:rsidRDefault="002046BE">
      <w:pPr>
        <w:pStyle w:val="Heading2"/>
        <w:rPr>
          <w:lang w:val="en-IN"/>
        </w:rPr>
      </w:pPr>
      <w:bookmarkStart w:id="9" w:name="_Toc235740064"/>
      <w:r>
        <w:rPr>
          <w:lang w:val="en-IN"/>
        </w:rPr>
        <w:t>3.2 Critical Evaluation of AI Output</w:t>
      </w:r>
      <w:bookmarkEnd w:id="9"/>
    </w:p>
    <w:p w14:paraId="1A4CE4FD" w14:textId="77777777" w:rsidR="00665055" w:rsidRDefault="002046BE">
      <w:pPr>
        <w:rPr>
          <w:lang w:val="en-IN"/>
        </w:rPr>
      </w:pPr>
      <w:r>
        <w:t>To ensure the accuracy of the AI-produced content, I checked the validity of every key point against its source. Corporate information on BHP's emissions targets, copper production, sustainability strategy and capital allocation was analysed using BHP's annual reports, operational reviews and Climate Transition Action Plan. Industry statistics were cross-checked with published statistics from organisations like the IEA, relevant Australian government departments, etc. Additionally, I examined the date of publication, authorship, journal information and availability of academic references. This process was required because AI can generate stale data, flawed author information, unsupported interpretations or links that aren't exactly in line with the cited data. If inconsistencies were found, I edited or deleted the information, instead of taking it as is from the AI response</w:t>
      </w:r>
      <w:r>
        <w:rPr>
          <w:lang w:val="en-IN"/>
        </w:rPr>
        <w:t>.</w:t>
      </w:r>
    </w:p>
    <w:p w14:paraId="12F9841F" w14:textId="77777777" w:rsidR="00665055" w:rsidRDefault="002046BE">
      <w:pPr>
        <w:pStyle w:val="Heading2"/>
        <w:rPr>
          <w:lang w:val="en-IN"/>
        </w:rPr>
      </w:pPr>
      <w:bookmarkStart w:id="10" w:name="_Toc235740065"/>
      <w:r>
        <w:rPr>
          <w:lang w:val="en-IN"/>
        </w:rPr>
        <w:t>3.3 Contribution Analysis</w:t>
      </w:r>
      <w:bookmarkEnd w:id="10"/>
    </w:p>
    <w:p w14:paraId="094E544F" w14:textId="77777777" w:rsidR="00665055" w:rsidRDefault="002046BE">
      <w:pPr>
        <w:rPr>
          <w:lang w:val="en-IN"/>
        </w:rPr>
      </w:pPr>
      <w:r>
        <w:rPr>
          <w:lang w:val="en-IN"/>
        </w:rPr>
        <w:t>AI primarily helped with structuring and drafting. It recommended the arrangement of the natural environment and the political-regulatory environment as external marketing actors and also presented the Ansoff Matrix in a clear format. It also suggested that product development may be a suitable strategy and pointed to potential synergies between low-carbon operations and differentiation and cost efficiency (KIM and KIM, 2024).</w:t>
      </w:r>
    </w:p>
    <w:p w14:paraId="1D051346" w14:textId="77777777" w:rsidR="00665055" w:rsidRDefault="002046BE">
      <w:pPr>
        <w:rPr>
          <w:lang w:val="en-IN"/>
        </w:rPr>
      </w:pPr>
      <w:r>
        <w:rPr>
          <w:lang w:val="en-IN"/>
        </w:rPr>
        <w:t>My own contribution was to determine if these suggestions were suitable for BHP and the assignment context. I identified the most appropriate evidence, identified priorities for environmental pressures and critically analysed the constraints of each strategic option. For instance, my analysis identified the value of increasing production of transition-minerals for decarbonisation, but also for biodiversity, water and land pressures. I also put forth the idea that BHP should integrate both cost competitiveness and meaningful environmental claims, rather than relying on unsubstantiated claims.</w:t>
      </w:r>
    </w:p>
    <w:p w14:paraId="66C11D39" w14:textId="77777777" w:rsidR="00665055" w:rsidRDefault="002046BE">
      <w:pPr>
        <w:pStyle w:val="Heading2"/>
        <w:rPr>
          <w:lang w:val="en-IN"/>
        </w:rPr>
      </w:pPr>
      <w:bookmarkStart w:id="11" w:name="_Toc235740066"/>
      <w:r>
        <w:rPr>
          <w:lang w:val="en-IN"/>
        </w:rPr>
        <w:lastRenderedPageBreak/>
        <w:t>3.4 Ethical and Professional Reflection</w:t>
      </w:r>
      <w:bookmarkEnd w:id="11"/>
    </w:p>
    <w:p w14:paraId="198B07C6" w14:textId="77777777" w:rsidR="00665055" w:rsidRDefault="002046BE">
      <w:pPr>
        <w:rPr>
          <w:lang w:val="en-IN"/>
        </w:rPr>
      </w:pPr>
      <w:proofErr w:type="spellStart"/>
      <w:r>
        <w:t>Utili</w:t>
      </w:r>
      <w:proofErr w:type="spellEnd"/>
      <w:r>
        <w:rPr>
          <w:lang w:val="en-IN"/>
        </w:rPr>
        <w:t>s</w:t>
      </w:r>
      <w:proofErr w:type="spellStart"/>
      <w:r>
        <w:t>ation</w:t>
      </w:r>
      <w:proofErr w:type="spellEnd"/>
      <w:r>
        <w:t xml:space="preserve"> of AI brought about ethical obligations. Integrity in academic research was one of them – informing them about it, verifying the authenticity of the information and making sure that it is only me submitting my work and not anyone else's. Overreliance on AI may bring about a lack of creativity and analysis. AI also has the potential to increase discrimination by only putting forward the most prevalent stories within corporate settings while ignoring communities or environmental criticism (Lau, 2025). Misrepresentation of sustainability information in real marketing scenarios may cause misinformation, which in turn causes greenwashing. Therefore, marketers need to use AI as a complement, but remain human, protect private information and make sure that all environmental messages are evidence-based and unbiased</w:t>
      </w:r>
      <w:r>
        <w:rPr>
          <w:lang w:val="en-IN"/>
        </w:rPr>
        <w:t>.</w:t>
      </w:r>
    </w:p>
    <w:p w14:paraId="05B5F845" w14:textId="77777777" w:rsidR="00665055" w:rsidRDefault="00665055">
      <w:pPr>
        <w:rPr>
          <w:lang w:val="en-IN"/>
        </w:rPr>
      </w:pPr>
    </w:p>
    <w:p w14:paraId="31023187" w14:textId="77777777" w:rsidR="00665055" w:rsidRDefault="00665055">
      <w:pPr>
        <w:rPr>
          <w:lang w:val="en-IN"/>
        </w:rPr>
      </w:pPr>
    </w:p>
    <w:p w14:paraId="3C32E64E" w14:textId="77777777" w:rsidR="00665055" w:rsidRDefault="002046BE">
      <w:pPr>
        <w:spacing w:line="259" w:lineRule="auto"/>
        <w:jc w:val="left"/>
        <w:rPr>
          <w:lang w:val="en-IN"/>
        </w:rPr>
      </w:pPr>
      <w:r>
        <w:rPr>
          <w:lang w:val="en-IN"/>
        </w:rPr>
        <w:br w:type="page"/>
      </w:r>
    </w:p>
    <w:p w14:paraId="07BA0526" w14:textId="77777777" w:rsidR="00665055" w:rsidRDefault="002046BE">
      <w:pPr>
        <w:pStyle w:val="Heading1"/>
        <w:rPr>
          <w:lang w:val="en-IN"/>
        </w:rPr>
      </w:pPr>
      <w:bookmarkStart w:id="12" w:name="_Toc235740067"/>
      <w:r>
        <w:lastRenderedPageBreak/>
        <w:t>References</w:t>
      </w:r>
      <w:bookmarkEnd w:id="12"/>
    </w:p>
    <w:p w14:paraId="066428DF" w14:textId="77777777" w:rsidR="00665055" w:rsidRDefault="002046BE">
      <w:pPr>
        <w:rPr>
          <w:lang w:val="en-IN"/>
        </w:rPr>
      </w:pPr>
      <w:r>
        <w:rPr>
          <w:lang w:val="en-IN"/>
        </w:rPr>
        <w:t xml:space="preserve">BHP (2024). </w:t>
      </w:r>
      <w:r>
        <w:rPr>
          <w:i/>
          <w:iCs/>
          <w:lang w:val="en-IN"/>
        </w:rPr>
        <w:t>Climate transition action plan | BHP</w:t>
      </w:r>
      <w:r>
        <w:rPr>
          <w:lang w:val="en-IN"/>
        </w:rPr>
        <w:t xml:space="preserve">. [online] </w:t>
      </w:r>
      <w:r>
        <w:rPr>
          <w:i/>
          <w:iCs/>
          <w:lang w:val="en-IN"/>
        </w:rPr>
        <w:t>Bhp.com</w:t>
      </w:r>
      <w:r>
        <w:rPr>
          <w:lang w:val="en-IN"/>
        </w:rPr>
        <w:t xml:space="preserve">. Available at: </w:t>
      </w:r>
      <w:hyperlink r:id="rId9" w:history="1">
        <w:r>
          <w:rPr>
            <w:rStyle w:val="Hyperlink"/>
            <w:lang w:val="en-IN"/>
          </w:rPr>
          <w:t>https://www.bhp.com/sustainability/climate-change/climate-transition-action-plan</w:t>
        </w:r>
      </w:hyperlink>
      <w:r>
        <w:rPr>
          <w:lang w:val="en-IN"/>
        </w:rPr>
        <w:t xml:space="preserve"> [Accessed 22 July 2026].</w:t>
      </w:r>
    </w:p>
    <w:p w14:paraId="4B80B0FA" w14:textId="77777777" w:rsidR="00665055" w:rsidRDefault="002046BE">
      <w:pPr>
        <w:rPr>
          <w:lang w:val="en-IN"/>
        </w:rPr>
      </w:pPr>
      <w:r>
        <w:rPr>
          <w:lang w:val="en-IN"/>
        </w:rPr>
        <w:t xml:space="preserve">BHP (2025a). </w:t>
      </w:r>
      <w:r>
        <w:rPr>
          <w:i/>
          <w:iCs/>
          <w:lang w:val="en-IN"/>
        </w:rPr>
        <w:t>BHP operational review for the year ended 30 June 2025</w:t>
      </w:r>
      <w:r>
        <w:rPr>
          <w:lang w:val="en-IN"/>
        </w:rPr>
        <w:t xml:space="preserve">. [online] </w:t>
      </w:r>
      <w:r>
        <w:rPr>
          <w:i/>
          <w:iCs/>
          <w:lang w:val="en-IN"/>
        </w:rPr>
        <w:t>Bhp.com</w:t>
      </w:r>
      <w:r>
        <w:rPr>
          <w:lang w:val="en-IN"/>
        </w:rPr>
        <w:t xml:space="preserve">. Available at: </w:t>
      </w:r>
      <w:hyperlink r:id="rId10" w:history="1">
        <w:r>
          <w:rPr>
            <w:rStyle w:val="Hyperlink"/>
            <w:lang w:val="en-IN"/>
          </w:rPr>
          <w:t>https://www.bhp.com/news/media-centre/releases/2025/07/bhp-operational-review-for-the-year-ended-30-june-2025</w:t>
        </w:r>
      </w:hyperlink>
      <w:r>
        <w:rPr>
          <w:lang w:val="en-IN"/>
        </w:rPr>
        <w:t xml:space="preserve"> [Accessed 22 July 2026b].</w:t>
      </w:r>
    </w:p>
    <w:p w14:paraId="231248FA" w14:textId="77777777" w:rsidR="00665055" w:rsidRDefault="002046BE">
      <w:pPr>
        <w:rPr>
          <w:lang w:val="en-IN"/>
        </w:rPr>
      </w:pPr>
      <w:r>
        <w:rPr>
          <w:lang w:val="en-IN"/>
        </w:rPr>
        <w:t xml:space="preserve">BHP (2025b). </w:t>
      </w:r>
      <w:r>
        <w:rPr>
          <w:i/>
          <w:iCs/>
          <w:lang w:val="en-IN"/>
        </w:rPr>
        <w:t>Annual report 2025</w:t>
      </w:r>
      <w:r>
        <w:rPr>
          <w:lang w:val="en-IN"/>
        </w:rPr>
        <w:t xml:space="preserve">. [online] </w:t>
      </w:r>
      <w:r>
        <w:rPr>
          <w:i/>
          <w:iCs/>
          <w:lang w:val="en-IN"/>
        </w:rPr>
        <w:t>Bhp.com</w:t>
      </w:r>
      <w:r>
        <w:rPr>
          <w:lang w:val="en-IN"/>
        </w:rPr>
        <w:t xml:space="preserve">. Available at: </w:t>
      </w:r>
      <w:hyperlink r:id="rId11" w:history="1">
        <w:r>
          <w:rPr>
            <w:rStyle w:val="Hyperlink"/>
            <w:lang w:val="en-IN"/>
          </w:rPr>
          <w:t>https://www.bhp.com/investor-hub/reports-and-presentations/annual-report</w:t>
        </w:r>
      </w:hyperlink>
      <w:r>
        <w:rPr>
          <w:lang w:val="en-IN"/>
        </w:rPr>
        <w:t xml:space="preserve"> [Accessed 22 July 2026].</w:t>
      </w:r>
    </w:p>
    <w:p w14:paraId="0F8676B7" w14:textId="77777777" w:rsidR="00665055" w:rsidRDefault="002046BE">
      <w:pPr>
        <w:rPr>
          <w:lang w:val="en-IN"/>
        </w:rPr>
      </w:pPr>
      <w:r>
        <w:rPr>
          <w:lang w:val="en-IN"/>
        </w:rPr>
        <w:t xml:space="preserve">BHP (2025c). </w:t>
      </w:r>
      <w:r>
        <w:rPr>
          <w:i/>
          <w:iCs/>
          <w:lang w:val="en-IN"/>
        </w:rPr>
        <w:t>Water</w:t>
      </w:r>
      <w:r>
        <w:rPr>
          <w:lang w:val="en-IN"/>
        </w:rPr>
        <w:t xml:space="preserve">. [online] </w:t>
      </w:r>
      <w:r>
        <w:rPr>
          <w:i/>
          <w:iCs/>
          <w:lang w:val="en-IN"/>
        </w:rPr>
        <w:t>Bhp.com</w:t>
      </w:r>
      <w:r>
        <w:rPr>
          <w:lang w:val="en-IN"/>
        </w:rPr>
        <w:t xml:space="preserve">. Available at: </w:t>
      </w:r>
      <w:hyperlink r:id="rId12" w:history="1">
        <w:r>
          <w:rPr>
            <w:rStyle w:val="Hyperlink"/>
            <w:lang w:val="en-IN"/>
          </w:rPr>
          <w:t>https://www.bhp.com/sustainability/environment/water</w:t>
        </w:r>
      </w:hyperlink>
      <w:r>
        <w:rPr>
          <w:lang w:val="en-IN"/>
        </w:rPr>
        <w:t xml:space="preserve"> [Accessed 22 July 2026].</w:t>
      </w:r>
    </w:p>
    <w:p w14:paraId="3485006E" w14:textId="77777777" w:rsidR="00665055" w:rsidRDefault="002046BE">
      <w:pPr>
        <w:rPr>
          <w:lang w:val="en-IN"/>
        </w:rPr>
      </w:pPr>
      <w:r>
        <w:rPr>
          <w:lang w:val="en-IN"/>
        </w:rPr>
        <w:t xml:space="preserve">BHP, (2025d). </w:t>
      </w:r>
      <w:r>
        <w:t xml:space="preserve">Financial results for the year ended 30 June 2025. [Online] Available at: </w:t>
      </w:r>
      <w:hyperlink r:id="rId13" w:history="1">
        <w:r>
          <w:rPr>
            <w:rStyle w:val="Hyperlink"/>
          </w:rPr>
          <w:t>https://www.bhp.com/-/media/documents/media/reports-and-presentations/2025/250819_bhpresultsfortheyearended30june2025.pdf</w:t>
        </w:r>
      </w:hyperlink>
      <w:r>
        <w:t xml:space="preserve"> [Accessed </w:t>
      </w:r>
      <w:r>
        <w:rPr>
          <w:lang w:val="en-IN"/>
        </w:rPr>
        <w:t xml:space="preserve">22 July 2026]. </w:t>
      </w:r>
    </w:p>
    <w:p w14:paraId="6D6E4D68" w14:textId="77777777" w:rsidR="00665055" w:rsidRDefault="002046BE">
      <w:pPr>
        <w:rPr>
          <w:lang w:val="en-IN"/>
        </w:rPr>
      </w:pPr>
      <w:proofErr w:type="spellStart"/>
      <w:r>
        <w:t>Cabernard</w:t>
      </w:r>
      <w:proofErr w:type="spellEnd"/>
      <w:r>
        <w:t>, L. and Pfister, S., 2022. Hotspots of mining-related biodiversity loss in global supply chains and the potential for reduction through renewable electricity. </w:t>
      </w:r>
      <w:r>
        <w:rPr>
          <w:i/>
          <w:iCs/>
        </w:rPr>
        <w:t>Environmental Science &amp; Technology</w:t>
      </w:r>
      <w:r>
        <w:t>, </w:t>
      </w:r>
      <w:r>
        <w:rPr>
          <w:i/>
          <w:iCs/>
        </w:rPr>
        <w:t>56</w:t>
      </w:r>
      <w:r>
        <w:t xml:space="preserve">(22), pp.16357-16368. </w:t>
      </w:r>
      <w:hyperlink r:id="rId14" w:history="1">
        <w:r>
          <w:rPr>
            <w:rStyle w:val="Hyperlink"/>
          </w:rPr>
          <w:t>https://eartharxiv.org/repository/object/3386/download/9305/</w:t>
        </w:r>
      </w:hyperlink>
      <w:r>
        <w:t xml:space="preserve"> </w:t>
      </w:r>
    </w:p>
    <w:p w14:paraId="3B9C79A1" w14:textId="77777777" w:rsidR="00665055" w:rsidRDefault="002046BE">
      <w:r>
        <w:t>Clausen, E. and Sörensen, A., 2022. Required and desired: breakthroughs for future-proofing mineral and metal extraction: Required and desired: breakthroughs for future-proofing mineral and metal extraction. </w:t>
      </w:r>
      <w:r>
        <w:rPr>
          <w:i/>
          <w:iCs/>
        </w:rPr>
        <w:t>Mineral Economics</w:t>
      </w:r>
      <w:r>
        <w:t>, </w:t>
      </w:r>
      <w:r>
        <w:rPr>
          <w:i/>
          <w:iCs/>
        </w:rPr>
        <w:t>35</w:t>
      </w:r>
      <w:r>
        <w:t xml:space="preserve">(3), pp.521-537. </w:t>
      </w:r>
      <w:hyperlink r:id="rId15" w:history="1">
        <w:r>
          <w:rPr>
            <w:rStyle w:val="Hyperlink"/>
          </w:rPr>
          <w:t>https://link.springer.com/content/pdf/10.1007/s13563-022-00328-0.pdf</w:t>
        </w:r>
      </w:hyperlink>
      <w:r>
        <w:t xml:space="preserve"> </w:t>
      </w:r>
    </w:p>
    <w:p w14:paraId="7CF2F013" w14:textId="77777777" w:rsidR="00665055" w:rsidRDefault="002046BE">
      <w:pPr>
        <w:rPr>
          <w:lang w:val="en-IN"/>
        </w:rPr>
      </w:pPr>
      <w:r>
        <w:t>Cox, B., Innis, S., Kunz, N.C. and Steen, J., 2022. The mining industry as a net beneficiary of a global tax on carbon emissions. </w:t>
      </w:r>
      <w:r>
        <w:rPr>
          <w:i/>
          <w:iCs/>
        </w:rPr>
        <w:t>Communications Earth &amp; Environment</w:t>
      </w:r>
      <w:r>
        <w:t>, </w:t>
      </w:r>
      <w:r>
        <w:rPr>
          <w:i/>
          <w:iCs/>
        </w:rPr>
        <w:t>3</w:t>
      </w:r>
      <w:r>
        <w:t xml:space="preserve">(1), p.17. </w:t>
      </w:r>
      <w:hyperlink r:id="rId16" w:history="1">
        <w:r>
          <w:rPr>
            <w:rStyle w:val="Hyperlink"/>
          </w:rPr>
          <w:t>https://www.nature.com/articles/s43247-022-00346-4.pdf</w:t>
        </w:r>
      </w:hyperlink>
      <w:r>
        <w:t xml:space="preserve"> </w:t>
      </w:r>
    </w:p>
    <w:p w14:paraId="0EF0F9E6" w14:textId="77777777" w:rsidR="00665055" w:rsidRDefault="002046BE">
      <w:pPr>
        <w:rPr>
          <w:lang w:val="en-IN"/>
        </w:rPr>
      </w:pPr>
      <w:r>
        <w:rPr>
          <w:lang w:val="en-IN"/>
        </w:rPr>
        <w:t xml:space="preserve">DCCEEW (2026). </w:t>
      </w:r>
      <w:r>
        <w:rPr>
          <w:i/>
          <w:iCs/>
          <w:lang w:val="en-IN"/>
        </w:rPr>
        <w:t>Safeguard mechanism</w:t>
      </w:r>
      <w:r>
        <w:rPr>
          <w:lang w:val="en-IN"/>
        </w:rPr>
        <w:t xml:space="preserve">. [online] </w:t>
      </w:r>
      <w:r>
        <w:rPr>
          <w:i/>
          <w:iCs/>
          <w:lang w:val="en-IN"/>
        </w:rPr>
        <w:t>Dcceew.gov.au</w:t>
      </w:r>
      <w:r>
        <w:rPr>
          <w:lang w:val="en-IN"/>
        </w:rPr>
        <w:t xml:space="preserve">. Available at: </w:t>
      </w:r>
      <w:hyperlink r:id="rId17" w:history="1">
        <w:r>
          <w:rPr>
            <w:rStyle w:val="Hyperlink"/>
            <w:lang w:val="en-IN"/>
          </w:rPr>
          <w:t>https://www.dcceew.gov.au/climate-change/emissions-reporting/national-</w:t>
        </w:r>
        <w:r>
          <w:rPr>
            <w:rStyle w:val="Hyperlink"/>
            <w:lang w:val="en-IN"/>
          </w:rPr>
          <w:lastRenderedPageBreak/>
          <w:t>greenhouse-energy-reporting-scheme/safeguard-mechanism</w:t>
        </w:r>
      </w:hyperlink>
      <w:r>
        <w:rPr>
          <w:lang w:val="en-IN"/>
        </w:rPr>
        <w:t xml:space="preserve"> [Accessed 22 July 2026].</w:t>
      </w:r>
    </w:p>
    <w:p w14:paraId="4DAF9CBC" w14:textId="77777777" w:rsidR="00665055" w:rsidRDefault="002046BE">
      <w:pPr>
        <w:rPr>
          <w:lang w:val="en-IN"/>
        </w:rPr>
      </w:pPr>
      <w:r>
        <w:rPr>
          <w:lang w:val="en-IN"/>
        </w:rPr>
        <w:t xml:space="preserve">International Energy Agency (2024). </w:t>
      </w:r>
      <w:r>
        <w:rPr>
          <w:i/>
          <w:iCs/>
          <w:lang w:val="en-IN"/>
        </w:rPr>
        <w:t>Global critical minerals outlook 2024 – analysis</w:t>
      </w:r>
      <w:r>
        <w:rPr>
          <w:lang w:val="en-IN"/>
        </w:rPr>
        <w:t xml:space="preserve">. [online] </w:t>
      </w:r>
      <w:r>
        <w:rPr>
          <w:i/>
          <w:iCs/>
          <w:lang w:val="en-IN"/>
        </w:rPr>
        <w:t>IEA</w:t>
      </w:r>
      <w:r>
        <w:rPr>
          <w:lang w:val="en-IN"/>
        </w:rPr>
        <w:t xml:space="preserve">. Available at: </w:t>
      </w:r>
      <w:hyperlink r:id="rId18" w:history="1">
        <w:r>
          <w:rPr>
            <w:rStyle w:val="Hyperlink"/>
            <w:lang w:val="en-IN"/>
          </w:rPr>
          <w:t>https://www.iea.org/reports/global-critical-minerals-outlook-2024</w:t>
        </w:r>
      </w:hyperlink>
      <w:r>
        <w:rPr>
          <w:lang w:val="en-IN"/>
        </w:rPr>
        <w:t xml:space="preserve"> [Accessed 22 July 2026].</w:t>
      </w:r>
    </w:p>
    <w:p w14:paraId="651CAA44" w14:textId="77777777" w:rsidR="00665055" w:rsidRDefault="002046BE">
      <w:pPr>
        <w:rPr>
          <w:szCs w:val="24"/>
        </w:rPr>
      </w:pPr>
      <w:r>
        <w:t xml:space="preserve">KIM, K. </w:t>
      </w:r>
      <w:r>
        <w:rPr>
          <w:szCs w:val="24"/>
        </w:rPr>
        <w:t>and KIM, S., 2024. AN ANSOFF MATRIX ANALYSIS OF A MEDIUM-SIZED COMPREHENSIVE CONTENT PRODUCTION COMPANY: FOCUSED ON ‘RBW, INC.’. </w:t>
      </w:r>
      <w:r>
        <w:rPr>
          <w:i/>
          <w:iCs/>
          <w:szCs w:val="24"/>
        </w:rPr>
        <w:t>JOURNAL OF THE KOREA ACADEMIA-INDUSTRIAL COOPERATION SOCIETY</w:t>
      </w:r>
      <w:r>
        <w:rPr>
          <w:szCs w:val="24"/>
        </w:rPr>
        <w:t>, </w:t>
      </w:r>
      <w:r>
        <w:rPr>
          <w:i/>
          <w:iCs/>
          <w:szCs w:val="24"/>
        </w:rPr>
        <w:t>25</w:t>
      </w:r>
      <w:r>
        <w:rPr>
          <w:szCs w:val="24"/>
        </w:rPr>
        <w:t>(11), pp.130-146.</w:t>
      </w:r>
    </w:p>
    <w:p w14:paraId="17BCE7F8" w14:textId="77777777" w:rsidR="00665055" w:rsidRDefault="002046BE">
      <w:pPr>
        <w:rPr>
          <w:szCs w:val="24"/>
          <w:lang w:val="en-IN"/>
        </w:rPr>
      </w:pPr>
      <w:r>
        <w:rPr>
          <w:rFonts w:eastAsia="SimSun" w:cs="Arial"/>
          <w:color w:val="222222"/>
          <w:szCs w:val="24"/>
          <w:shd w:val="clear" w:color="auto" w:fill="FFFFFF"/>
        </w:rPr>
        <w:t xml:space="preserve">Kirsanov, A. and Saaya, S.S., </w:t>
      </w:r>
      <w:r>
        <w:rPr>
          <w:rFonts w:eastAsia="SimSun" w:cs="Arial"/>
          <w:color w:val="222222"/>
          <w:szCs w:val="24"/>
          <w:shd w:val="clear" w:color="auto" w:fill="FFFFFF"/>
          <w:lang w:val="en-IN"/>
        </w:rPr>
        <w:t>(</w:t>
      </w:r>
      <w:r>
        <w:rPr>
          <w:rFonts w:eastAsia="SimSun" w:cs="Arial"/>
          <w:color w:val="222222"/>
          <w:szCs w:val="24"/>
          <w:shd w:val="clear" w:color="auto" w:fill="FFFFFF"/>
        </w:rPr>
        <w:t>2024</w:t>
      </w:r>
      <w:r>
        <w:rPr>
          <w:rFonts w:eastAsia="SimSun" w:cs="Arial"/>
          <w:color w:val="222222"/>
          <w:szCs w:val="24"/>
          <w:shd w:val="clear" w:color="auto" w:fill="FFFFFF"/>
          <w:lang w:val="en-IN"/>
        </w:rPr>
        <w:t>)</w:t>
      </w:r>
      <w:r>
        <w:rPr>
          <w:rFonts w:eastAsia="SimSun" w:cs="Arial"/>
          <w:color w:val="222222"/>
          <w:szCs w:val="24"/>
          <w:shd w:val="clear" w:color="auto" w:fill="FFFFFF"/>
        </w:rPr>
        <w:t>. Global mining in the 21st century: An overview. </w:t>
      </w:r>
      <w:r>
        <w:rPr>
          <w:rFonts w:eastAsia="SimSun" w:cs="Arial"/>
          <w:i/>
          <w:iCs/>
          <w:color w:val="222222"/>
          <w:szCs w:val="24"/>
          <w:shd w:val="clear" w:color="auto" w:fill="FFFFFF"/>
        </w:rPr>
        <w:t>Journal of Geography and Cartography</w:t>
      </w:r>
      <w:r>
        <w:rPr>
          <w:rFonts w:eastAsia="SimSun" w:cs="Arial"/>
          <w:color w:val="222222"/>
          <w:szCs w:val="24"/>
          <w:shd w:val="clear" w:color="auto" w:fill="FFFFFF"/>
        </w:rPr>
        <w:t>, </w:t>
      </w:r>
      <w:r>
        <w:rPr>
          <w:rFonts w:eastAsia="SimSun" w:cs="Arial"/>
          <w:i/>
          <w:iCs/>
          <w:color w:val="222222"/>
          <w:szCs w:val="24"/>
          <w:shd w:val="clear" w:color="auto" w:fill="FFFFFF"/>
        </w:rPr>
        <w:t>7</w:t>
      </w:r>
      <w:r>
        <w:rPr>
          <w:rFonts w:eastAsia="SimSun" w:cs="Arial"/>
          <w:color w:val="222222"/>
          <w:szCs w:val="24"/>
          <w:shd w:val="clear" w:color="auto" w:fill="FFFFFF"/>
        </w:rPr>
        <w:t>(1), p.6090.</w:t>
      </w:r>
      <w:r>
        <w:rPr>
          <w:rFonts w:eastAsia="SimSun" w:cs="Arial"/>
          <w:color w:val="222222"/>
          <w:szCs w:val="24"/>
          <w:shd w:val="clear" w:color="auto" w:fill="FFFFFF"/>
          <w:lang w:val="en-IN"/>
        </w:rPr>
        <w:t xml:space="preserve"> </w:t>
      </w:r>
      <w:hyperlink r:id="rId19" w:history="1">
        <w:r>
          <w:rPr>
            <w:rStyle w:val="Hyperlink"/>
            <w:rFonts w:eastAsia="SimSun" w:cs="Arial"/>
            <w:szCs w:val="24"/>
            <w:shd w:val="clear" w:color="auto" w:fill="FFFFFF"/>
            <w:lang w:val="en-IN"/>
          </w:rPr>
          <w:t>https://doi.org/10.24294/jgc.v7i1.6090</w:t>
        </w:r>
      </w:hyperlink>
      <w:r>
        <w:rPr>
          <w:rFonts w:eastAsia="SimSun" w:cs="Arial"/>
          <w:color w:val="222222"/>
          <w:szCs w:val="24"/>
          <w:shd w:val="clear" w:color="auto" w:fill="FFFFFF"/>
          <w:lang w:val="en-IN"/>
        </w:rPr>
        <w:t xml:space="preserve"> </w:t>
      </w:r>
    </w:p>
    <w:p w14:paraId="451BD2D6" w14:textId="77777777" w:rsidR="00665055" w:rsidRDefault="002046BE">
      <w:pPr>
        <w:rPr>
          <w:lang w:val="en-IN"/>
        </w:rPr>
      </w:pPr>
      <w:r>
        <w:rPr>
          <w:lang w:val="en-IN"/>
        </w:rPr>
        <w:t xml:space="preserve">Kotler, P., Armstrong, G., Harris, L.C. and He, H. (2024). </w:t>
      </w:r>
      <w:r>
        <w:rPr>
          <w:i/>
          <w:iCs/>
          <w:lang w:val="en-IN"/>
        </w:rPr>
        <w:t>Principles of marketing</w:t>
      </w:r>
      <w:r>
        <w:rPr>
          <w:lang w:val="en-IN"/>
        </w:rPr>
        <w:t xml:space="preserve">. [online] </w:t>
      </w:r>
      <w:r>
        <w:rPr>
          <w:i/>
          <w:iCs/>
          <w:lang w:val="en-IN"/>
        </w:rPr>
        <w:t>Pearson.com</w:t>
      </w:r>
      <w:r>
        <w:rPr>
          <w:lang w:val="en-IN"/>
        </w:rPr>
        <w:t xml:space="preserve">. Available at: </w:t>
      </w:r>
      <w:hyperlink r:id="rId20" w:history="1">
        <w:r>
          <w:rPr>
            <w:rStyle w:val="Hyperlink"/>
            <w:lang w:val="en-IN"/>
          </w:rPr>
          <w:t>https://www.pearson.com/en-us/subject-catalog/p/principles-of-marketing/P200000009859/9780137927104</w:t>
        </w:r>
      </w:hyperlink>
      <w:r>
        <w:rPr>
          <w:lang w:val="en-IN"/>
        </w:rPr>
        <w:t xml:space="preserve"> [Accessed 22 July 2026].</w:t>
      </w:r>
    </w:p>
    <w:p w14:paraId="577428FE" w14:textId="77777777" w:rsidR="00665055" w:rsidRDefault="002046BE">
      <w:pPr>
        <w:rPr>
          <w:rFonts w:cs="Arial"/>
        </w:rPr>
      </w:pPr>
      <w:r>
        <w:t>Lau, P.L., 2025. Rewriting the narrative of AI bias: a data feminist critique of algorithmic inequalities in healthcare. </w:t>
      </w:r>
      <w:r>
        <w:rPr>
          <w:i/>
          <w:iCs/>
        </w:rPr>
        <w:t>Law, Tech. &amp; Hum.</w:t>
      </w:r>
      <w:r>
        <w:t>, </w:t>
      </w:r>
      <w:r>
        <w:rPr>
          <w:i/>
          <w:iCs/>
        </w:rPr>
        <w:t>7</w:t>
      </w:r>
      <w:r>
        <w:t xml:space="preserve">, p.8. </w:t>
      </w:r>
      <w:hyperlink r:id="rId21" w:history="1">
        <w:r>
          <w:rPr>
            <w:rStyle w:val="Hyperlink"/>
            <w:rFonts w:cs="Arial"/>
          </w:rPr>
          <w:t>https://search.informit.org/doi/pdf/10.3316/informit.T2025081300010190347277766</w:t>
        </w:r>
      </w:hyperlink>
      <w:r>
        <w:rPr>
          <w:rFonts w:cs="Arial"/>
        </w:rPr>
        <w:t xml:space="preserve"> </w:t>
      </w:r>
    </w:p>
    <w:p w14:paraId="1E557C88" w14:textId="77777777" w:rsidR="00665055" w:rsidRDefault="002046BE">
      <w:pPr>
        <w:rPr>
          <w:rFonts w:cs="Arial"/>
          <w:szCs w:val="24"/>
          <w:lang w:val="en-IN"/>
        </w:rPr>
      </w:pPr>
      <w:r>
        <w:rPr>
          <w:rFonts w:cs="Arial"/>
          <w:szCs w:val="24"/>
        </w:rPr>
        <w:t>Song, Y., Yu, C., Magazzino, C. and Li, X., 2025. Transitioning the mining industry to a greener economy: An Asian perspective of mineral demand. </w:t>
      </w:r>
      <w:r>
        <w:rPr>
          <w:rFonts w:cs="Arial"/>
          <w:i/>
          <w:iCs/>
          <w:szCs w:val="24"/>
        </w:rPr>
        <w:t>Resources Policy</w:t>
      </w:r>
      <w:r>
        <w:rPr>
          <w:rFonts w:cs="Arial"/>
          <w:szCs w:val="24"/>
        </w:rPr>
        <w:t>, </w:t>
      </w:r>
      <w:r>
        <w:rPr>
          <w:rFonts w:cs="Arial"/>
          <w:i/>
          <w:iCs/>
          <w:szCs w:val="24"/>
        </w:rPr>
        <w:t>102</w:t>
      </w:r>
      <w:r>
        <w:rPr>
          <w:rFonts w:cs="Arial"/>
          <w:szCs w:val="24"/>
        </w:rPr>
        <w:t xml:space="preserve">, p.105483. </w:t>
      </w:r>
      <w:hyperlink r:id="rId22" w:history="1">
        <w:r>
          <w:rPr>
            <w:rStyle w:val="Hyperlink"/>
            <w:rFonts w:cs="Arial"/>
            <w:szCs w:val="24"/>
          </w:rPr>
          <w:t>https://www.sciencedirect.com/science/article/pii/S030142072500025X</w:t>
        </w:r>
      </w:hyperlink>
      <w:r>
        <w:rPr>
          <w:rFonts w:cs="Arial"/>
          <w:szCs w:val="24"/>
        </w:rPr>
        <w:t xml:space="preserve"> </w:t>
      </w:r>
    </w:p>
    <w:p w14:paraId="5097223B" w14:textId="77777777" w:rsidR="00665055" w:rsidRDefault="002046BE">
      <w:r>
        <w:t xml:space="preserve">Onifade, M., </w:t>
      </w:r>
      <w:proofErr w:type="spellStart"/>
      <w:r>
        <w:t>Zvarivadza</w:t>
      </w:r>
      <w:proofErr w:type="spellEnd"/>
      <w:r>
        <w:t>, T., Adebisi, J.A., Said, K.O., Dayo-Olupona, O., Lawal, A.I. and Khandelwal, M., 2024. Advancing toward sustainability: The emergence of green mining technologies and practices. </w:t>
      </w:r>
      <w:r>
        <w:rPr>
          <w:i/>
          <w:iCs/>
        </w:rPr>
        <w:t>Green and Smart Mining Engineering</w:t>
      </w:r>
      <w:r>
        <w:t>, </w:t>
      </w:r>
      <w:r>
        <w:rPr>
          <w:i/>
          <w:iCs/>
        </w:rPr>
        <w:t>1</w:t>
      </w:r>
      <w:r>
        <w:t xml:space="preserve">(2), pp.157-174. </w:t>
      </w:r>
      <w:hyperlink r:id="rId23" w:history="1">
        <w:r>
          <w:rPr>
            <w:rStyle w:val="Hyperlink"/>
          </w:rPr>
          <w:t>https://www.sciencedirect.com/science/article/pii/S2950555024000338</w:t>
        </w:r>
      </w:hyperlink>
      <w:r>
        <w:t xml:space="preserve"> </w:t>
      </w:r>
    </w:p>
    <w:p w14:paraId="51090D72" w14:textId="77777777" w:rsidR="00665055" w:rsidRDefault="002046BE">
      <w:r>
        <w:t xml:space="preserve">Sairanen, M. and Aarikka-Stenroos, L., </w:t>
      </w:r>
      <w:r>
        <w:rPr>
          <w:lang w:val="en-IN"/>
        </w:rPr>
        <w:t>(</w:t>
      </w:r>
      <w:r>
        <w:t>2024</w:t>
      </w:r>
      <w:r>
        <w:rPr>
          <w:lang w:val="en-IN"/>
        </w:rPr>
        <w:t>)</w:t>
      </w:r>
      <w:r>
        <w:t>. Low-carbon business models: Review and typology. </w:t>
      </w:r>
      <w:r>
        <w:rPr>
          <w:i/>
          <w:iCs/>
        </w:rPr>
        <w:t>Industrial Marketing Management</w:t>
      </w:r>
      <w:r>
        <w:t>, </w:t>
      </w:r>
      <w:r>
        <w:rPr>
          <w:i/>
          <w:iCs/>
        </w:rPr>
        <w:t>123</w:t>
      </w:r>
      <w:r>
        <w:t xml:space="preserve">, pp.222-250. </w:t>
      </w:r>
      <w:hyperlink r:id="rId24" w:history="1">
        <w:r>
          <w:rPr>
            <w:rStyle w:val="Hyperlink"/>
          </w:rPr>
          <w:t>https://www.sciencedirect.com/science/article/pii/S0019850124001627</w:t>
        </w:r>
      </w:hyperlink>
      <w:r>
        <w:t xml:space="preserve"> </w:t>
      </w:r>
    </w:p>
    <w:p w14:paraId="6355AA59" w14:textId="77777777" w:rsidR="00665055" w:rsidRDefault="002046BE">
      <w:pPr>
        <w:rPr>
          <w:rFonts w:eastAsia="SimSun" w:cs="Arial"/>
          <w:color w:val="222222"/>
          <w:szCs w:val="24"/>
          <w:shd w:val="clear" w:color="auto" w:fill="FFFFFF"/>
          <w:lang w:val="en-IN"/>
        </w:rPr>
      </w:pPr>
      <w:r>
        <w:rPr>
          <w:rFonts w:eastAsia="SimSun" w:cs="Arial"/>
          <w:color w:val="222222"/>
          <w:szCs w:val="24"/>
          <w:shd w:val="clear" w:color="auto" w:fill="FFFFFF"/>
        </w:rPr>
        <w:lastRenderedPageBreak/>
        <w:t xml:space="preserve">Scott, G.A., </w:t>
      </w:r>
      <w:r>
        <w:rPr>
          <w:rFonts w:eastAsia="SimSun" w:cs="Arial"/>
          <w:color w:val="222222"/>
          <w:szCs w:val="24"/>
          <w:shd w:val="clear" w:color="auto" w:fill="FFFFFF"/>
          <w:lang w:val="en-IN"/>
        </w:rPr>
        <w:t>(</w:t>
      </w:r>
      <w:r>
        <w:rPr>
          <w:rFonts w:eastAsia="SimSun" w:cs="Arial"/>
          <w:color w:val="222222"/>
          <w:szCs w:val="24"/>
          <w:shd w:val="clear" w:color="auto" w:fill="FFFFFF"/>
        </w:rPr>
        <w:t>2025</w:t>
      </w:r>
      <w:r>
        <w:rPr>
          <w:rFonts w:eastAsia="SimSun" w:cs="Arial"/>
          <w:color w:val="222222"/>
          <w:szCs w:val="24"/>
          <w:shd w:val="clear" w:color="auto" w:fill="FFFFFF"/>
          <w:lang w:val="en-IN"/>
        </w:rPr>
        <w:t>)</w:t>
      </w:r>
      <w:r>
        <w:rPr>
          <w:rFonts w:eastAsia="SimSun" w:cs="Arial"/>
          <w:color w:val="222222"/>
          <w:szCs w:val="24"/>
          <w:shd w:val="clear" w:color="auto" w:fill="FFFFFF"/>
        </w:rPr>
        <w:t>. </w:t>
      </w:r>
      <w:r>
        <w:rPr>
          <w:rFonts w:eastAsia="SimSun" w:cs="Arial"/>
          <w:i/>
          <w:iCs/>
          <w:color w:val="222222"/>
          <w:szCs w:val="24"/>
          <w:shd w:val="clear" w:color="auto" w:fill="FFFFFF"/>
        </w:rPr>
        <w:t>The rise, fall and resurgence of BHP: dynamic capabilities in a leading resource company</w:t>
      </w:r>
      <w:r>
        <w:rPr>
          <w:rFonts w:eastAsia="SimSun" w:cs="Arial"/>
          <w:color w:val="222222"/>
          <w:szCs w:val="24"/>
          <w:shd w:val="clear" w:color="auto" w:fill="FFFFFF"/>
        </w:rPr>
        <w:t> (Doctoral dissertation, Murdoch University).</w:t>
      </w:r>
      <w:r>
        <w:rPr>
          <w:rFonts w:eastAsia="SimSun" w:cs="Arial"/>
          <w:color w:val="222222"/>
          <w:szCs w:val="24"/>
          <w:shd w:val="clear" w:color="auto" w:fill="FFFFFF"/>
          <w:lang w:val="en-IN"/>
        </w:rPr>
        <w:t xml:space="preserve"> </w:t>
      </w:r>
      <w:hyperlink r:id="rId25" w:history="1">
        <w:r>
          <w:rPr>
            <w:rStyle w:val="Hyperlink"/>
            <w:rFonts w:eastAsia="SimSun" w:cs="Arial"/>
            <w:szCs w:val="24"/>
            <w:shd w:val="clear" w:color="auto" w:fill="FFFFFF"/>
            <w:lang w:val="en-IN"/>
          </w:rPr>
          <w:t>https://researchportal.murdoch.edu.au/esploro/outputs/doctoral/The-rise-fall-and-resurgence-of/991005891655107891</w:t>
        </w:r>
      </w:hyperlink>
      <w:r>
        <w:rPr>
          <w:rFonts w:eastAsia="SimSun" w:cs="Arial"/>
          <w:color w:val="222222"/>
          <w:szCs w:val="24"/>
          <w:shd w:val="clear" w:color="auto" w:fill="FFFFFF"/>
          <w:lang w:val="en-IN"/>
        </w:rPr>
        <w:t xml:space="preserve"> </w:t>
      </w:r>
    </w:p>
    <w:p w14:paraId="687513A9" w14:textId="77777777" w:rsidR="00665055" w:rsidRDefault="002046BE">
      <w:pPr>
        <w:rPr>
          <w:szCs w:val="24"/>
          <w:lang w:val="en-IN"/>
        </w:rPr>
      </w:pPr>
      <w:proofErr w:type="spellStart"/>
      <w:r>
        <w:rPr>
          <w:szCs w:val="24"/>
        </w:rPr>
        <w:t>Recabarren</w:t>
      </w:r>
      <w:proofErr w:type="spellEnd"/>
      <w:r>
        <w:rPr>
          <w:szCs w:val="24"/>
        </w:rPr>
        <w:t xml:space="preserve">, J.I., Castillo, E., García, A. and </w:t>
      </w:r>
      <w:proofErr w:type="spellStart"/>
      <w:r>
        <w:rPr>
          <w:szCs w:val="24"/>
        </w:rPr>
        <w:t>Cantallopts</w:t>
      </w:r>
      <w:proofErr w:type="spellEnd"/>
      <w:r>
        <w:rPr>
          <w:szCs w:val="24"/>
        </w:rPr>
        <w:t>, J., 2024. Product differentiation in mineral commodities based on sustainability indicators: The case of copper mining. </w:t>
      </w:r>
      <w:r>
        <w:rPr>
          <w:i/>
          <w:iCs/>
          <w:szCs w:val="24"/>
        </w:rPr>
        <w:t>Journal of Cleaner Production</w:t>
      </w:r>
      <w:r>
        <w:rPr>
          <w:szCs w:val="24"/>
        </w:rPr>
        <w:t>, </w:t>
      </w:r>
      <w:r>
        <w:rPr>
          <w:i/>
          <w:iCs/>
          <w:szCs w:val="24"/>
        </w:rPr>
        <w:t>476</w:t>
      </w:r>
      <w:r>
        <w:rPr>
          <w:szCs w:val="24"/>
        </w:rPr>
        <w:t xml:space="preserve">, p.143786. </w:t>
      </w:r>
      <w:hyperlink r:id="rId26" w:history="1">
        <w:r>
          <w:rPr>
            <w:rStyle w:val="Hyperlink"/>
            <w:szCs w:val="24"/>
          </w:rPr>
          <w:t>https://www.researchgate.net/profile/Emilio-Castillo-2/publication/382688923_Product_Differentiation_in_Mineral_Commodities_Based_on_Sustainability_Indicators_The_Case_of_Copper_Mining/links/66a951d575fcd863e5eac7a3/Product-Differentiation-in-Mineral-Commodities-Based-on-Sustainability-Indicators-The-Case-of-Copper-Mining.pdf</w:t>
        </w:r>
      </w:hyperlink>
      <w:r>
        <w:rPr>
          <w:szCs w:val="24"/>
        </w:rPr>
        <w:t xml:space="preserve"> </w:t>
      </w:r>
    </w:p>
    <w:p w14:paraId="6E8039D8" w14:textId="77777777" w:rsidR="00665055" w:rsidRDefault="002046BE">
      <w:pPr>
        <w:rPr>
          <w:lang w:val="en-IN"/>
        </w:rPr>
      </w:pPr>
      <w:r>
        <w:rPr>
          <w:lang w:val="en-IN"/>
        </w:rPr>
        <w:t xml:space="preserve">TNFD (2023). </w:t>
      </w:r>
      <w:r>
        <w:rPr>
          <w:i/>
          <w:iCs/>
          <w:lang w:val="en-IN"/>
        </w:rPr>
        <w:t>Taskforce on nature-related financial disclosures (TNFD) recommendations – TNFD</w:t>
      </w:r>
      <w:r>
        <w:rPr>
          <w:lang w:val="en-IN"/>
        </w:rPr>
        <w:t xml:space="preserve">. [online] </w:t>
      </w:r>
      <w:proofErr w:type="spellStart"/>
      <w:r>
        <w:rPr>
          <w:i/>
          <w:iCs/>
          <w:lang w:val="en-IN"/>
        </w:rPr>
        <w:t>tnfd.global</w:t>
      </w:r>
      <w:proofErr w:type="spellEnd"/>
      <w:r>
        <w:rPr>
          <w:lang w:val="en-IN"/>
        </w:rPr>
        <w:t xml:space="preserve">. Available at: </w:t>
      </w:r>
      <w:hyperlink r:id="rId27" w:history="1">
        <w:r>
          <w:rPr>
            <w:rStyle w:val="Hyperlink"/>
            <w:lang w:val="en-IN"/>
          </w:rPr>
          <w:t>https://tnfd.global/publication/recommendations-of-the-taskforce-on-nature-related-financial-disclosures/</w:t>
        </w:r>
      </w:hyperlink>
      <w:r>
        <w:rPr>
          <w:lang w:val="en-IN"/>
        </w:rPr>
        <w:t xml:space="preserve"> [Accessed 22 July 2026].</w:t>
      </w:r>
    </w:p>
    <w:sectPr w:rsidR="00665055">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6978D" w14:textId="77777777" w:rsidR="00D86036" w:rsidRDefault="00D86036">
      <w:pPr>
        <w:spacing w:line="240" w:lineRule="auto"/>
      </w:pPr>
      <w:r>
        <w:separator/>
      </w:r>
    </w:p>
  </w:endnote>
  <w:endnote w:type="continuationSeparator" w:id="0">
    <w:p w14:paraId="20A42820" w14:textId="77777777" w:rsidR="00D86036" w:rsidRDefault="00D860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2530140"/>
    </w:sdtPr>
    <w:sdtContent>
      <w:p w14:paraId="2E4F246C" w14:textId="77777777" w:rsidR="00665055" w:rsidRDefault="002046BE">
        <w:pPr>
          <w:pStyle w:val="Footer"/>
          <w:jc w:val="right"/>
        </w:pPr>
        <w:r>
          <w:t xml:space="preserve">Page | </w:t>
        </w:r>
        <w:r>
          <w:fldChar w:fldCharType="begin"/>
        </w:r>
        <w:r>
          <w:instrText xml:space="preserve"> PAGE   \* MERGEFORMAT </w:instrText>
        </w:r>
        <w:r>
          <w:fldChar w:fldCharType="separate"/>
        </w:r>
        <w:r w:rsidR="00224E05">
          <w:rPr>
            <w:noProof/>
          </w:rPr>
          <w:t>14</w:t>
        </w:r>
        <w:r>
          <w:fldChar w:fldCharType="end"/>
        </w:r>
        <w:r>
          <w:t xml:space="preserve"> </w:t>
        </w:r>
      </w:p>
    </w:sdtContent>
  </w:sdt>
  <w:p w14:paraId="2D350B04" w14:textId="77777777" w:rsidR="00665055" w:rsidRDefault="00665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6D9D9" w14:textId="77777777" w:rsidR="00D86036" w:rsidRDefault="00D86036">
      <w:pPr>
        <w:spacing w:after="0"/>
      </w:pPr>
      <w:r>
        <w:separator/>
      </w:r>
    </w:p>
  </w:footnote>
  <w:footnote w:type="continuationSeparator" w:id="0">
    <w:p w14:paraId="772F234B" w14:textId="77777777" w:rsidR="00D86036" w:rsidRDefault="00D86036">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278"/>
    <w:rsid w:val="000113B9"/>
    <w:rsid w:val="00050A99"/>
    <w:rsid w:val="00077B94"/>
    <w:rsid w:val="00091C18"/>
    <w:rsid w:val="0009405D"/>
    <w:rsid w:val="000B28FE"/>
    <w:rsid w:val="000B5542"/>
    <w:rsid w:val="000D3712"/>
    <w:rsid w:val="000E69C7"/>
    <w:rsid w:val="0013704D"/>
    <w:rsid w:val="00183720"/>
    <w:rsid w:val="00196F60"/>
    <w:rsid w:val="001D1CCA"/>
    <w:rsid w:val="002036C1"/>
    <w:rsid w:val="002046BE"/>
    <w:rsid w:val="00206037"/>
    <w:rsid w:val="00210959"/>
    <w:rsid w:val="00224E05"/>
    <w:rsid w:val="00281DEE"/>
    <w:rsid w:val="002C662A"/>
    <w:rsid w:val="002D7920"/>
    <w:rsid w:val="002E1428"/>
    <w:rsid w:val="002F1F17"/>
    <w:rsid w:val="00322CC8"/>
    <w:rsid w:val="00326008"/>
    <w:rsid w:val="003B36FE"/>
    <w:rsid w:val="003B3E51"/>
    <w:rsid w:val="003B5406"/>
    <w:rsid w:val="003F2F1A"/>
    <w:rsid w:val="003F6516"/>
    <w:rsid w:val="00422C8E"/>
    <w:rsid w:val="004257D3"/>
    <w:rsid w:val="00432E94"/>
    <w:rsid w:val="0043321D"/>
    <w:rsid w:val="00441564"/>
    <w:rsid w:val="0045165A"/>
    <w:rsid w:val="004A634D"/>
    <w:rsid w:val="004E3225"/>
    <w:rsid w:val="00540FD2"/>
    <w:rsid w:val="00541D19"/>
    <w:rsid w:val="00542D29"/>
    <w:rsid w:val="00565DCA"/>
    <w:rsid w:val="005B6BCD"/>
    <w:rsid w:val="005F220B"/>
    <w:rsid w:val="00626E1F"/>
    <w:rsid w:val="00626EE6"/>
    <w:rsid w:val="00665055"/>
    <w:rsid w:val="00673F5D"/>
    <w:rsid w:val="00677512"/>
    <w:rsid w:val="006A197D"/>
    <w:rsid w:val="007225FB"/>
    <w:rsid w:val="00774259"/>
    <w:rsid w:val="007B16A2"/>
    <w:rsid w:val="007C3681"/>
    <w:rsid w:val="007F4216"/>
    <w:rsid w:val="0080586A"/>
    <w:rsid w:val="00832278"/>
    <w:rsid w:val="00892408"/>
    <w:rsid w:val="00894BE9"/>
    <w:rsid w:val="00895021"/>
    <w:rsid w:val="008B6AF7"/>
    <w:rsid w:val="008E1BB1"/>
    <w:rsid w:val="00914600"/>
    <w:rsid w:val="00926975"/>
    <w:rsid w:val="00956851"/>
    <w:rsid w:val="009604BA"/>
    <w:rsid w:val="00973C19"/>
    <w:rsid w:val="00981761"/>
    <w:rsid w:val="00993E12"/>
    <w:rsid w:val="009C18F7"/>
    <w:rsid w:val="009C3A1A"/>
    <w:rsid w:val="009E10F2"/>
    <w:rsid w:val="009F0B50"/>
    <w:rsid w:val="00A1336B"/>
    <w:rsid w:val="00A22A34"/>
    <w:rsid w:val="00A72232"/>
    <w:rsid w:val="00AC249E"/>
    <w:rsid w:val="00AD1975"/>
    <w:rsid w:val="00AE173A"/>
    <w:rsid w:val="00B31462"/>
    <w:rsid w:val="00B57A8A"/>
    <w:rsid w:val="00BC726D"/>
    <w:rsid w:val="00BF3221"/>
    <w:rsid w:val="00C17CCA"/>
    <w:rsid w:val="00C37967"/>
    <w:rsid w:val="00C707E8"/>
    <w:rsid w:val="00C802BB"/>
    <w:rsid w:val="00C936CF"/>
    <w:rsid w:val="00C9592B"/>
    <w:rsid w:val="00CB6990"/>
    <w:rsid w:val="00CC6865"/>
    <w:rsid w:val="00D06EEE"/>
    <w:rsid w:val="00D14C50"/>
    <w:rsid w:val="00D71E9D"/>
    <w:rsid w:val="00D86036"/>
    <w:rsid w:val="00DC4BB7"/>
    <w:rsid w:val="00E03C80"/>
    <w:rsid w:val="00E625FD"/>
    <w:rsid w:val="00E66CB1"/>
    <w:rsid w:val="00EE18E6"/>
    <w:rsid w:val="00EE7635"/>
    <w:rsid w:val="00F24D96"/>
    <w:rsid w:val="00F33E35"/>
    <w:rsid w:val="00F74267"/>
    <w:rsid w:val="00FD3ED7"/>
    <w:rsid w:val="00FE73C0"/>
    <w:rsid w:val="21C1609F"/>
    <w:rsid w:val="3A990667"/>
    <w:rsid w:val="547921A0"/>
    <w:rsid w:val="66512B34"/>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8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Arial" w:eastAsiaTheme="minorHAnsi" w:hAnsi="Arial" w:cstheme="minorBidi"/>
      <w:color w:val="000000" w:themeColor="text1"/>
      <w:sz w:val="24"/>
      <w:szCs w:val="22"/>
      <w:lang w:val="en-GB" w:eastAsia="en-US" w:bidi="ar-SA"/>
    </w:rPr>
  </w:style>
  <w:style w:type="paragraph" w:styleId="Heading1">
    <w:name w:val="heading 1"/>
    <w:basedOn w:val="Normal"/>
    <w:next w:val="Normal"/>
    <w:link w:val="Heading1Char"/>
    <w:uiPriority w:val="9"/>
    <w:qFormat/>
    <w:pPr>
      <w:keepNext/>
      <w:keepLines/>
      <w:spacing w:before="480" w:after="0"/>
      <w:outlineLvl w:val="0"/>
    </w:pPr>
    <w:rPr>
      <w:rFonts w:eastAsiaTheme="majorEastAsia" w:cstheme="majorBidi"/>
      <w:b/>
      <w:bCs/>
      <w:kern w:val="2"/>
      <w:sz w:val="28"/>
      <w:szCs w:val="28"/>
      <w14:ligatures w14:val="standardContextual"/>
    </w:rPr>
  </w:style>
  <w:style w:type="paragraph" w:styleId="Heading2">
    <w:name w:val="heading 2"/>
    <w:basedOn w:val="Normal"/>
    <w:next w:val="Normal"/>
    <w:link w:val="Heading2Char"/>
    <w:uiPriority w:val="9"/>
    <w:unhideWhenUsed/>
    <w:qFormat/>
    <w:pPr>
      <w:keepNext/>
      <w:keepLines/>
      <w:spacing w:before="40" w:after="0"/>
      <w:outlineLvl w:val="1"/>
    </w:pPr>
    <w:rPr>
      <w:rFonts w:eastAsiaTheme="majorEastAsia" w:cstheme="majorBidi"/>
      <w:b/>
      <w:kern w:val="2"/>
      <w:szCs w:val="26"/>
      <w14:ligatures w14:val="standardContextual"/>
    </w:rPr>
  </w:style>
  <w:style w:type="paragraph" w:styleId="Heading3">
    <w:name w:val="heading 3"/>
    <w:basedOn w:val="Normal"/>
    <w:next w:val="Normal"/>
    <w:link w:val="Heading3Char"/>
    <w:uiPriority w:val="9"/>
    <w:unhideWhenUsed/>
    <w:qFormat/>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qFormat/>
    <w:rPr>
      <w:rFonts w:cs="Times New Roman"/>
      <w:szCs w:val="24"/>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color w:val="auto"/>
      <w:spacing w:val="-10"/>
      <w:kern w:val="28"/>
      <w:sz w:val="56"/>
      <w:szCs w:val="56"/>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pPr>
      <w:spacing w:after="100"/>
      <w:ind w:left="240"/>
    </w:pPr>
  </w:style>
  <w:style w:type="character" w:customStyle="1" w:styleId="Heading1Char">
    <w:name w:val="Heading 1 Char"/>
    <w:basedOn w:val="DefaultParagraphFont"/>
    <w:link w:val="Heading1"/>
    <w:uiPriority w:val="9"/>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qFormat/>
    <w:rPr>
      <w:rFonts w:ascii="Times New Roman" w:eastAsiaTheme="majorEastAsia" w:hAnsi="Times New Roman" w:cstheme="majorBidi"/>
      <w:b/>
      <w:color w:val="000000" w:themeColor="text1"/>
      <w:kern w:val="0"/>
      <w:sz w:val="24"/>
      <w:szCs w:val="24"/>
      <w14:ligatures w14:val="none"/>
    </w:rPr>
  </w:style>
  <w:style w:type="character" w:customStyle="1" w:styleId="Heading4Char">
    <w:name w:val="Heading 4 Char"/>
    <w:basedOn w:val="DefaultParagraphFont"/>
    <w:link w:val="Heading4"/>
    <w:uiPriority w:val="9"/>
    <w:semiHidden/>
    <w:qFormat/>
    <w:rPr>
      <w:rFonts w:eastAsiaTheme="majorEastAsia" w:cstheme="majorBidi"/>
      <w:i/>
      <w:iCs/>
      <w:color w:val="2F5496" w:themeColor="accent1" w:themeShade="BF"/>
      <w:kern w:val="0"/>
      <w:sz w:val="24"/>
      <w:lang w:val="en-GB"/>
      <w14:ligatures w14:val="none"/>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kern w:val="0"/>
      <w:sz w:val="24"/>
      <w:lang w:val="en-GB"/>
      <w14:ligatures w14:val="none"/>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kern w:val="0"/>
      <w:sz w:val="24"/>
      <w:lang w:val="en-GB"/>
      <w14:ligatures w14:val="none"/>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kern w:val="0"/>
      <w:sz w:val="24"/>
      <w:lang w:val="en-GB"/>
      <w14:ligatures w14:val="none"/>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kern w:val="0"/>
      <w:sz w:val="24"/>
      <w:lang w:val="en-GB"/>
      <w14:ligatures w14:val="none"/>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kern w:val="0"/>
      <w:sz w:val="24"/>
      <w:lang w:val="en-GB"/>
      <w14:ligatures w14:val="none"/>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lang w:val="en-GB"/>
      <w14:ligatures w14:val="none"/>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rFonts w:ascii="Times New Roman" w:hAnsi="Times New Roman"/>
      <w:i/>
      <w:iCs/>
      <w:color w:val="404040" w:themeColor="text1" w:themeTint="BF"/>
      <w:kern w:val="0"/>
      <w:sz w:val="24"/>
      <w:lang w:val="en-GB"/>
      <w14:ligatures w14:val="none"/>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qFormat/>
    <w:rPr>
      <w:rFonts w:ascii="Times New Roman" w:hAnsi="Times New Roman"/>
      <w:i/>
      <w:iCs/>
      <w:color w:val="2F5496" w:themeColor="accent1" w:themeShade="BF"/>
      <w:kern w:val="0"/>
      <w:sz w:val="24"/>
      <w:lang w:val="en-GB"/>
      <w14:ligatures w14:val="none"/>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TOCHeading1">
    <w:name w:val="TOC Heading1"/>
    <w:basedOn w:val="Heading1"/>
    <w:next w:val="Normal"/>
    <w:uiPriority w:val="39"/>
    <w:unhideWhenUsed/>
    <w:qFormat/>
    <w:pPr>
      <w:spacing w:before="240" w:line="259" w:lineRule="auto"/>
      <w:jc w:val="left"/>
      <w:outlineLvl w:val="9"/>
    </w:pPr>
    <w:rPr>
      <w:rFonts w:asciiTheme="majorHAnsi" w:hAnsiTheme="majorHAnsi"/>
      <w:b w:val="0"/>
      <w:bCs w:val="0"/>
      <w:color w:val="2F5496" w:themeColor="accent1" w:themeShade="BF"/>
      <w:kern w:val="0"/>
      <w:sz w:val="32"/>
      <w:szCs w:val="32"/>
      <w:lang w:val="en-US"/>
      <w14:ligatures w14:val="none"/>
    </w:rPr>
  </w:style>
  <w:style w:type="character" w:customStyle="1" w:styleId="HeaderChar">
    <w:name w:val="Header Char"/>
    <w:basedOn w:val="DefaultParagraphFont"/>
    <w:link w:val="Header"/>
    <w:uiPriority w:val="99"/>
    <w:rPr>
      <w:rFonts w:ascii="Arial" w:hAnsi="Arial"/>
      <w:color w:val="000000" w:themeColor="text1"/>
      <w:kern w:val="0"/>
      <w:sz w:val="24"/>
      <w:lang w:val="en-GB"/>
      <w14:ligatures w14:val="none"/>
    </w:rPr>
  </w:style>
  <w:style w:type="character" w:customStyle="1" w:styleId="FooterChar">
    <w:name w:val="Footer Char"/>
    <w:basedOn w:val="DefaultParagraphFont"/>
    <w:link w:val="Footer"/>
    <w:uiPriority w:val="99"/>
    <w:qFormat/>
    <w:rPr>
      <w:rFonts w:ascii="Arial" w:hAnsi="Arial"/>
      <w:color w:val="000000" w:themeColor="text1"/>
      <w:kern w:val="0"/>
      <w:sz w:val="24"/>
      <w:lang w:val="en-GB"/>
      <w14:ligatures w14:val="none"/>
    </w:rPr>
  </w:style>
  <w:style w:type="character" w:customStyle="1" w:styleId="UnresolvedMention2">
    <w:name w:val="Unresolved Mention2"/>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hp.com/-/media/documents/media/reports-and-presentations/2025/250819_bhpresultsfortheyearended30june2025.pdf" TargetMode="External"/><Relationship Id="rId18" Type="http://schemas.openxmlformats.org/officeDocument/2006/relationships/hyperlink" Target="https://www.iea.org/reports/global-critical-minerals-outlook-2024" TargetMode="External"/><Relationship Id="rId26" Type="http://schemas.openxmlformats.org/officeDocument/2006/relationships/hyperlink" Target="https://www.researchgate.net/profile/Emilio-Castillo-2/publication/382688923_Product_Differentiation_in_Mineral_Commodities_Based_on_Sustainability_Indicators_The_Case_of_Copper_Mining/links/66a951d575fcd863e5eac7a3/Product-Differentiation-in-Mineral-Commodities-Based-on-Sustainability-Indicators-The-Case-of-Copper-Mining.pdf" TargetMode="External"/><Relationship Id="rId3" Type="http://schemas.openxmlformats.org/officeDocument/2006/relationships/settings" Target="settings.xml"/><Relationship Id="rId21" Type="http://schemas.openxmlformats.org/officeDocument/2006/relationships/hyperlink" Target="https://search.informit.org/doi/pdf/10.3316/informit.T2025081300010190347277766" TargetMode="External"/><Relationship Id="rId7" Type="http://schemas.openxmlformats.org/officeDocument/2006/relationships/image" Target="media/image1.png"/><Relationship Id="rId12" Type="http://schemas.openxmlformats.org/officeDocument/2006/relationships/hyperlink" Target="https://www.bhp.com/sustainability/environment/water" TargetMode="External"/><Relationship Id="rId17" Type="http://schemas.openxmlformats.org/officeDocument/2006/relationships/hyperlink" Target="https://www.dcceew.gov.au/climate-change/emissions-reporting/national-greenhouse-energy-reporting-scheme/safeguard-mechanism" TargetMode="External"/><Relationship Id="rId25" Type="http://schemas.openxmlformats.org/officeDocument/2006/relationships/hyperlink" Target="https://researchportal.murdoch.edu.au/esploro/outputs/doctoral/The-rise-fall-and-resurgence-of/991005891655107891" TargetMode="External"/><Relationship Id="rId2" Type="http://schemas.openxmlformats.org/officeDocument/2006/relationships/styles" Target="styles.xml"/><Relationship Id="rId16" Type="http://schemas.openxmlformats.org/officeDocument/2006/relationships/hyperlink" Target="https://www.nature.com/articles/s43247-022-00346-4.pdf" TargetMode="External"/><Relationship Id="rId20" Type="http://schemas.openxmlformats.org/officeDocument/2006/relationships/hyperlink" Target="https://www.pearson.com/en-us/subject-catalog/p/principles-of-marketing/P200000009859/978013792710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hp.com/investor-hub/reports-and-presentations/annual-report" TargetMode="External"/><Relationship Id="rId24" Type="http://schemas.openxmlformats.org/officeDocument/2006/relationships/hyperlink" Target="https://www.sciencedirect.com/science/article/pii/S0019850124001627" TargetMode="External"/><Relationship Id="rId5" Type="http://schemas.openxmlformats.org/officeDocument/2006/relationships/footnotes" Target="footnotes.xml"/><Relationship Id="rId15" Type="http://schemas.openxmlformats.org/officeDocument/2006/relationships/hyperlink" Target="https://link.springer.com/content/pdf/10.1007/s13563-022-00328-0.pdf" TargetMode="External"/><Relationship Id="rId23" Type="http://schemas.openxmlformats.org/officeDocument/2006/relationships/hyperlink" Target="https://www.sciencedirect.com/science/article/pii/S2950555024000338" TargetMode="External"/><Relationship Id="rId28" Type="http://schemas.openxmlformats.org/officeDocument/2006/relationships/footer" Target="footer1.xml"/><Relationship Id="rId10" Type="http://schemas.openxmlformats.org/officeDocument/2006/relationships/hyperlink" Target="https://www.bhp.com/news/media-centre/releases/2025/07/bhp-operational-review-for-the-year-ended-30-june-2025" TargetMode="External"/><Relationship Id="rId19" Type="http://schemas.openxmlformats.org/officeDocument/2006/relationships/hyperlink" Target="https://doi.org/10.24294/jgc.v7i1.6090" TargetMode="External"/><Relationship Id="rId4" Type="http://schemas.openxmlformats.org/officeDocument/2006/relationships/webSettings" Target="webSettings.xml"/><Relationship Id="rId9" Type="http://schemas.openxmlformats.org/officeDocument/2006/relationships/hyperlink" Target="https://www.bhp.com/sustainability/climate-change/climate-transition-action-plan" TargetMode="External"/><Relationship Id="rId14" Type="http://schemas.openxmlformats.org/officeDocument/2006/relationships/hyperlink" Target="https://eartharxiv.org/repository/object/3386/download/9305/" TargetMode="External"/><Relationship Id="rId22" Type="http://schemas.openxmlformats.org/officeDocument/2006/relationships/hyperlink" Target="https://www.sciencedirect.com/science/article/pii/S030142072500025X" TargetMode="External"/><Relationship Id="rId27" Type="http://schemas.openxmlformats.org/officeDocument/2006/relationships/hyperlink" Target="https://tnfd.global/publication/recommendations-of-the-taskforce-on-nature-related-financial-disclosur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177B6A-D419-43DB-BC19-91A4C4E8A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4067</Words>
  <Characters>23182</Characters>
  <Application>Microsoft Office Word</Application>
  <DocSecurity>0</DocSecurity>
  <Lines>193</Lines>
  <Paragraphs>54</Paragraphs>
  <ScaleCrop>false</ScaleCrop>
  <LinksUpToDate>false</LinksUpToDate>
  <CharactersWithSpaces>27195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2026-07-23T21:41:00Z</dcterms:created>
  <dcterms:modified xsi:type="dcterms:W3CDTF">2026-07-23T21:46:00Z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07378a2a-c032-442d-90fd-58e24cb927f8</vt:lpwstr>
  </property>
  <property fmtid="{D5CDD505-2E9C-101B-9397-08002B2CF9AE}" pid="3" name="ICV">
    <vt:lpwstr>866F0420D3664D77BB8471D135424F9E_12</vt:lpwstr>
  </property>
  <property fmtid="{D5CDD505-2E9C-101B-9397-08002B2CF9AE}" pid="4" name="KSOProductBuildVer">
    <vt:lpwstr>1033-12.1.0.27458</vt:lpwstr>
  </property>
  <property fmtid="{D5CDD505-2E9C-101B-9397-08002B2CF9AE}" pid="5" name="KSOTemplateDocerSaveRecord">
    <vt:lpwstr>eyJoZGlkIjoiMTJiYTFkYjY0MzExNWVkOWNmMjE1NTEzZjFmNWFiMTMiLCJ1c2VySWQiOiI1Njc0MzYxNDk2ODkifQ==</vt:lpwstr>
  </property>
</Properties>
</file>