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65E2" w:rsidRPr="00DF1A0D" w:rsidRDefault="000465E2" w:rsidP="000465E2">
      <w:pPr>
        <w:widowControl w:val="0"/>
        <w:jc w:val="both"/>
        <w:rPr>
          <w:b/>
          <w:bCs/>
        </w:rPr>
      </w:pPr>
      <w:r w:rsidRPr="00DF1A0D">
        <w:rPr>
          <w:b/>
          <w:bCs/>
          <w:sz w:val="28"/>
          <w:szCs w:val="28"/>
        </w:rPr>
        <w:t xml:space="preserve">The </w:t>
      </w:r>
      <w:r>
        <w:rPr>
          <w:b/>
          <w:bCs/>
          <w:sz w:val="28"/>
          <w:szCs w:val="28"/>
        </w:rPr>
        <w:t xml:space="preserve">Age of the </w:t>
      </w:r>
      <w:proofErr w:type="spellStart"/>
      <w:r>
        <w:rPr>
          <w:b/>
          <w:bCs/>
          <w:sz w:val="28"/>
          <w:szCs w:val="28"/>
        </w:rPr>
        <w:t>Hillforts</w:t>
      </w:r>
      <w:proofErr w:type="spellEnd"/>
      <w:r>
        <w:rPr>
          <w:b/>
          <w:bCs/>
          <w:sz w:val="28"/>
          <w:szCs w:val="28"/>
        </w:rPr>
        <w:t xml:space="preserve"> </w:t>
      </w:r>
      <w:r w:rsidR="00CC3D6E">
        <w:rPr>
          <w:b/>
          <w:bCs/>
          <w:sz w:val="28"/>
          <w:szCs w:val="28"/>
        </w:rPr>
        <w:t>2</w:t>
      </w:r>
    </w:p>
    <w:p w:rsidR="000465E2" w:rsidRDefault="000465E2" w:rsidP="000465E2">
      <w:pPr>
        <w:widowControl w:val="0"/>
        <w:jc w:val="both"/>
        <w:rPr>
          <w:b/>
          <w:bCs/>
          <w:sz w:val="28"/>
          <w:szCs w:val="28"/>
        </w:rPr>
      </w:pPr>
    </w:p>
    <w:p w:rsidR="003147E6" w:rsidRDefault="003147E6" w:rsidP="000465E2">
      <w:pPr>
        <w:widowControl w:val="0"/>
        <w:jc w:val="both"/>
        <w:rPr>
          <w:b/>
          <w:bCs/>
          <w:i/>
          <w:sz w:val="28"/>
          <w:szCs w:val="28"/>
        </w:rPr>
      </w:pPr>
      <w:r>
        <w:rPr>
          <w:b/>
          <w:bCs/>
          <w:sz w:val="28"/>
          <w:szCs w:val="28"/>
        </w:rPr>
        <w:t>Tintagel—Sixth-Century Britain and the Wider World</w:t>
      </w:r>
    </w:p>
    <w:p w:rsidR="003147E6" w:rsidRDefault="003147E6" w:rsidP="003147E6">
      <w:pPr>
        <w:jc w:val="both"/>
      </w:pPr>
    </w:p>
    <w:p w:rsidR="003147E6" w:rsidRDefault="003147E6" w:rsidP="003147E6">
      <w:pPr>
        <w:jc w:val="both"/>
      </w:pPr>
    </w:p>
    <w:p w:rsidR="003147E6" w:rsidRDefault="003147E6" w:rsidP="003147E6">
      <w:pPr>
        <w:jc w:val="both"/>
      </w:pPr>
      <w:r>
        <w:t xml:space="preserve">The story of Tintagel is an odd story. Famed as the place of Arthur’s conception and birth in Geoffrey of Monmouth’s </w:t>
      </w:r>
      <w:r>
        <w:rPr>
          <w:i/>
        </w:rPr>
        <w:t>Historia</w:t>
      </w:r>
      <w:r>
        <w:t>,</w:t>
      </w:r>
      <w:r>
        <w:rPr>
          <w:i/>
        </w:rPr>
        <w:t xml:space="preserve"> </w:t>
      </w:r>
      <w:r>
        <w:t xml:space="preserve">and in Malory’s </w:t>
      </w:r>
      <w:proofErr w:type="spellStart"/>
      <w:r>
        <w:rPr>
          <w:i/>
        </w:rPr>
        <w:t>Morte</w:t>
      </w:r>
      <w:proofErr w:type="spellEnd"/>
      <w:r>
        <w:rPr>
          <w:i/>
        </w:rPr>
        <w:t xml:space="preserve"> </w:t>
      </w:r>
      <w:proofErr w:type="spellStart"/>
      <w:r>
        <w:rPr>
          <w:i/>
        </w:rPr>
        <w:t>d’Arthure</w:t>
      </w:r>
      <w:proofErr w:type="spellEnd"/>
      <w:r>
        <w:t>, Tintagel has captured the popular imagination in no uncertain terms. Perhaps ‘imagination’ is the wrong word: locations such as ‘King Arthur’s Car and Coach Park’ and ‘Merlin’s Rock and Shell Museum perhaps do not speak to much use of imagination (one is inclined to be more sympathetic to ‘</w:t>
      </w:r>
      <w:proofErr w:type="spellStart"/>
      <w:r>
        <w:t>Excali</w:t>
      </w:r>
      <w:r>
        <w:rPr>
          <w:i/>
        </w:rPr>
        <w:t>bar</w:t>
      </w:r>
      <w:proofErr w:type="spellEnd"/>
      <w:r>
        <w:t>’!) but</w:t>
      </w:r>
      <w:r>
        <w:rPr>
          <w:i/>
        </w:rPr>
        <w:t xml:space="preserve"> </w:t>
      </w:r>
      <w:r>
        <w:t xml:space="preserve">the Arthurian ‘cult’ has certainly taken control of the little village of </w:t>
      </w:r>
      <w:proofErr w:type="spellStart"/>
      <w:r>
        <w:t>Trevenna</w:t>
      </w:r>
      <w:proofErr w:type="spellEnd"/>
      <w:r>
        <w:t>. An anonymous coastal village in the mid-nineteenth century, it has been swallowed up by the neighbouring site, to become what Charles Thomas has appositely called the ‘</w:t>
      </w:r>
      <w:proofErr w:type="spellStart"/>
      <w:r>
        <w:t>distastful</w:t>
      </w:r>
      <w:proofErr w:type="spellEnd"/>
      <w:r>
        <w:t xml:space="preserve"> gaggle of knick-knack shops and spurious Arthurian peepshows’ that graces the coastline today.</w:t>
      </w:r>
    </w:p>
    <w:p w:rsidR="003147E6" w:rsidRDefault="003147E6" w:rsidP="003147E6">
      <w:pPr>
        <w:jc w:val="both"/>
      </w:pPr>
    </w:p>
    <w:p w:rsidR="003147E6" w:rsidRDefault="003147E6" w:rsidP="003147E6">
      <w:pPr>
        <w:jc w:val="both"/>
      </w:pPr>
      <w:r>
        <w:t>Quite early on in this pattern of tourist development Henry Jenner published a major study that debunked the Arthurian associations of the site.</w:t>
      </w:r>
      <w:r w:rsidR="000465E2">
        <w:rPr>
          <w:rStyle w:val="FootnoteReference"/>
        </w:rPr>
        <w:t xml:space="preserve"> </w:t>
      </w:r>
      <w:r>
        <w:t xml:space="preserve"> This, predictably, had little effect on the public understanding of the site, but it stimulated archaeological investigations. These excavations were to start of a process of investigation that has seen the assessment of its early historic character and status change several times across the course of only a few decades.  </w:t>
      </w:r>
    </w:p>
    <w:p w:rsidR="003147E6" w:rsidRDefault="003147E6" w:rsidP="003147E6">
      <w:pPr>
        <w:jc w:val="both"/>
      </w:pPr>
    </w:p>
    <w:p w:rsidR="003147E6" w:rsidRDefault="003147E6" w:rsidP="003147E6">
      <w:pPr>
        <w:jc w:val="both"/>
      </w:pPr>
      <w:r>
        <w:t>Tintagel is a dramatic site. A great headland, on a precipitous stretch of coast, it now stands far from the major settlement areas of Cornwall, which are on the south coast. It is not far from the Roman road, which was closer to the northern edge of the peninsula</w:t>
      </w:r>
      <w:proofErr w:type="gramStart"/>
      <w:r>
        <w:t>,  and</w:t>
      </w:r>
      <w:proofErr w:type="gramEnd"/>
      <w:r>
        <w:t xml:space="preserve"> the parish church contains a Roman milestone. Still visible on the headland are the remains of a medieval castle of twelfth- or thirteenth-century date. This straddles the isthmus between the mainland and the ‘island’, much of which has collapsed into the sea since the </w:t>
      </w:r>
      <w:proofErr w:type="gramStart"/>
      <w:r>
        <w:t>Middle</w:t>
      </w:r>
      <w:proofErr w:type="gramEnd"/>
      <w:r>
        <w:t xml:space="preserve"> Ages, taking a large part of the castle with it. The status of the buildings that are found on the island outside the Inner Ward of the castle is unclear from the standing remains. </w:t>
      </w:r>
    </w:p>
    <w:p w:rsidR="003147E6" w:rsidRDefault="003147E6" w:rsidP="003147E6">
      <w:pPr>
        <w:jc w:val="both"/>
      </w:pPr>
    </w:p>
    <w:p w:rsidR="003147E6" w:rsidRDefault="003147E6" w:rsidP="003147E6">
      <w:pPr>
        <w:jc w:val="both"/>
      </w:pPr>
      <w:r>
        <w:t xml:space="preserve">Early interpretations of the site have taken account of the traditions from the Middle Ages that it was, in the Arthurian legends, a minor seat of the King of Cornwall, and, in the Tristan stories, the seat of King Mark, the uncle of Tristan. Allowing that the ‘King’ of these high-medieval tales may be a reflex of the Norman Earl (later Duke) of Cornwall, the </w:t>
      </w:r>
      <w:proofErr w:type="spellStart"/>
      <w:r>
        <w:t>possibilty</w:t>
      </w:r>
      <w:proofErr w:type="spellEnd"/>
      <w:r>
        <w:t xml:space="preserve"> has been admitted that Tintagel was a holding of the earldom/dukedom at the time these tales were written. The longer range possibility has been admitted that medieval writers knew from earlier sources or traditions that it had been an earlier royal site.</w:t>
      </w:r>
    </w:p>
    <w:p w:rsidR="003147E6" w:rsidRDefault="003147E6" w:rsidP="003147E6">
      <w:pPr>
        <w:jc w:val="both"/>
      </w:pPr>
    </w:p>
    <w:p w:rsidR="003147E6" w:rsidRDefault="003147E6" w:rsidP="003147E6">
      <w:pPr>
        <w:jc w:val="both"/>
      </w:pPr>
      <w:r>
        <w:t xml:space="preserve">The records of Radford’s excavations from the 1930s were mostly destroyed by the bombing of the Record Office in Exeter in the Second World War, but a short report in the </w:t>
      </w:r>
      <w:r>
        <w:rPr>
          <w:i/>
        </w:rPr>
        <w:t>Antiquaries Journal</w:t>
      </w:r>
      <w:r>
        <w:t>, along with anecdotal evidence,</w:t>
      </w:r>
      <w:r>
        <w:rPr>
          <w:i/>
        </w:rPr>
        <w:t xml:space="preserve"> </w:t>
      </w:r>
      <w:r>
        <w:t>provides a basic idea of the discoveries.</w:t>
      </w:r>
      <w:r w:rsidR="000465E2">
        <w:rPr>
          <w:rStyle w:val="FootnoteReference"/>
        </w:rPr>
        <w:t xml:space="preserve"> </w:t>
      </w:r>
      <w:r>
        <w:t xml:space="preserve"> Radford’s workmen cleared a palimpsest of buildings on the top of the headland, surrounding the chapel, and other structures in precipitous ledges around the edge of the headland. They also excavated the bottom of the Norman boundary </w:t>
      </w:r>
      <w:proofErr w:type="gramStart"/>
      <w:r>
        <w:t>ditch, that</w:t>
      </w:r>
      <w:proofErr w:type="gramEnd"/>
      <w:r>
        <w:t xml:space="preserve"> abuts the curtain wall on the landward site. Radford’s men worked with little understanding of </w:t>
      </w:r>
      <w:proofErr w:type="spellStart"/>
      <w:r>
        <w:t>stratigraphy</w:t>
      </w:r>
      <w:proofErr w:type="spellEnd"/>
      <w:r>
        <w:t xml:space="preserve"> or relative dating. What they found in all these </w:t>
      </w:r>
      <w:r>
        <w:lastRenderedPageBreak/>
        <w:t>sites was masses of broken ceramic vessels, which proved to be amphorae of Roman or post-Roman type, along with a selection of finer dishes and vessels. Where these were found in the floors of the buildings on the top of the headland and in the bottom of the boundary ditch the ceramic finds were taken to be contemporary with the stone buildings whose footings were still visible around the chapel that stands atop the headland, and on various platforms and ledges around the crest of the headland.</w:t>
      </w:r>
    </w:p>
    <w:p w:rsidR="003147E6" w:rsidRDefault="003147E6" w:rsidP="003147E6">
      <w:pPr>
        <w:jc w:val="both"/>
      </w:pPr>
    </w:p>
    <w:p w:rsidR="003147E6" w:rsidRDefault="003147E6" w:rsidP="003147E6">
      <w:pPr>
        <w:jc w:val="both"/>
      </w:pPr>
      <w:r>
        <w:t xml:space="preserve">The character and scale of these ceramic finds were unexpected. In the 1930 and 40s, in correspondence with </w:t>
      </w:r>
      <w:proofErr w:type="spellStart"/>
      <w:r>
        <w:t>Seán</w:t>
      </w:r>
      <w:proofErr w:type="spellEnd"/>
      <w:r>
        <w:t xml:space="preserve"> P. Ó </w:t>
      </w:r>
      <w:proofErr w:type="spellStart"/>
      <w:r>
        <w:t>Riordáin</w:t>
      </w:r>
      <w:proofErr w:type="spellEnd"/>
      <w:r>
        <w:t xml:space="preserve"> in Ireland, who had made similar finds in Co. Cork, Radford was inclined to see these finds as linked to the ‘wine trade’.</w:t>
      </w:r>
      <w:r w:rsidR="000465E2">
        <w:rPr>
          <w:rStyle w:val="FootnoteReference"/>
        </w:rPr>
        <w:t xml:space="preserve"> </w:t>
      </w:r>
      <w:r>
        <w:t xml:space="preserve"> The existence of an early ‘wine trade’ between Ireland and Gaul had been proposed on the basis of largely literary evidence by the German scholar Heinrich Zimmer. It became a catchall for any evidence of external trade—probably building upon classical stereotypes that the Celts were ‘greedy for wine’. By 1956, however, Radford was already speculating on Egyptian parallels for </w:t>
      </w:r>
      <w:proofErr w:type="gramStart"/>
      <w:r>
        <w:t>various</w:t>
      </w:r>
      <w:proofErr w:type="gramEnd"/>
      <w:r>
        <w:t xml:space="preserve"> of the types of pottery, and this was further explored by Charles Thomas in a series of papers in the 1950s through ‘70s. Egypt here was one of a number of places where parallels had turned up—Palestine being another: both these reflecting as much the places where archaeology was being done in the Eastern Mediterranean, as any proximity to the actual origin of the wares themselves. Others seized upon this Egyptian connection with enthusiasm, however, most notably E.G. Bowen, who made an implicit connection with the diffusion of Egyptian monasticism—but it must be said that Radford and Thomas also hinted at this possibility. Early attention focused on the limited selection of </w:t>
      </w:r>
      <w:proofErr w:type="spellStart"/>
      <w:r>
        <w:t>finewares</w:t>
      </w:r>
      <w:proofErr w:type="spellEnd"/>
      <w:r>
        <w:t xml:space="preserve">—dishes and bowls of eastern and African type—that had been found. These were very much a small subset of the bulk of the finds, but archaeologists in the Mediterranean had tended more often to keep the finer vessels and build catalogues and typologies of them, hence they were earlier identified and dated than the amphorae. Whereas it would emerge that most of the pottery was of </w:t>
      </w:r>
      <w:r>
        <w:rPr>
          <w:i/>
        </w:rPr>
        <w:t xml:space="preserve">eastern </w:t>
      </w:r>
      <w:r>
        <w:t xml:space="preserve">Mediterranean origin the, smaller, African element was more quickly dated and </w:t>
      </w:r>
      <w:proofErr w:type="spellStart"/>
      <w:r>
        <w:t>provenanced</w:t>
      </w:r>
      <w:proofErr w:type="spellEnd"/>
      <w:r>
        <w:t xml:space="preserve">. These wares in some cases carried Christian symbols. The finds appeared to centre on the fifth century. Gradually this was refined to a bracket between 475-550; though there was around half a dozen amphora types present of which some of the minor types went back further in date, and the two main types present (Bi and </w:t>
      </w:r>
      <w:proofErr w:type="spellStart"/>
      <w:r>
        <w:t>Bii</w:t>
      </w:r>
      <w:proofErr w:type="spellEnd"/>
      <w:r>
        <w:t>) were of a type common as late as the seventh century in the Mediterranean.</w:t>
      </w:r>
      <w:r w:rsidR="000465E2">
        <w:rPr>
          <w:rStyle w:val="FootnoteReference"/>
        </w:rPr>
        <w:t xml:space="preserve"> </w:t>
      </w:r>
      <w:r>
        <w:t xml:space="preserve">  </w:t>
      </w:r>
    </w:p>
    <w:p w:rsidR="003147E6" w:rsidRDefault="003147E6" w:rsidP="003147E6">
      <w:pPr>
        <w:jc w:val="both"/>
      </w:pPr>
    </w:p>
    <w:p w:rsidR="003147E6" w:rsidRDefault="003147E6" w:rsidP="003147E6">
      <w:pPr>
        <w:jc w:val="both"/>
      </w:pPr>
      <w:r>
        <w:t xml:space="preserve">Radford’s interpretation still as much reflected his own central interest in ‘Celtic monasticism’ as it did a conclusion fully arising from the basis of the evidence. Holding that there was no obvious fortification prior to the arrival of the castle builders, and seeing the precipitous buildings and central chapel on the headland in terms of </w:t>
      </w:r>
      <w:proofErr w:type="spellStart"/>
      <w:r>
        <w:t>comparisions</w:t>
      </w:r>
      <w:proofErr w:type="spellEnd"/>
      <w:r>
        <w:t xml:space="preserve"> with Irish and Scottish monastic sites, Radford interpreted the earlier Tintagel settlement as a monastery. The North African pottery was seen as reflecting overtly Christian associations—though one does not have to be a monk to use a pot with a Christian symbol. Radford made much of the lack of a Celtic name for the site—taking ‘Tintagel’, on the basis of its present pronunciation and lack of an obvious Celtic etymology, as Norman French in origin.</w:t>
      </w:r>
    </w:p>
    <w:p w:rsidR="003147E6" w:rsidRDefault="003147E6" w:rsidP="003147E6">
      <w:pPr>
        <w:jc w:val="both"/>
      </w:pPr>
    </w:p>
    <w:p w:rsidR="003147E6" w:rsidRDefault="003147E6" w:rsidP="003147E6">
      <w:pPr>
        <w:jc w:val="both"/>
      </w:pPr>
      <w:r>
        <w:t xml:space="preserve">Radford also saw much in the ‘fact’ that the earliest recorded owners of the site were Augustinian canons of </w:t>
      </w:r>
      <w:proofErr w:type="spellStart"/>
      <w:r>
        <w:t>Bodmin</w:t>
      </w:r>
      <w:proofErr w:type="spellEnd"/>
      <w:r>
        <w:t xml:space="preserve">, which was taken to imply that the site had passed </w:t>
      </w:r>
      <w:r>
        <w:lastRenderedPageBreak/>
        <w:t>from earlier religious ownership. This was admittedly a known pattern of Augustinian settlement, but would prove to be untrue in this case.</w:t>
      </w:r>
    </w:p>
    <w:p w:rsidR="003147E6" w:rsidRDefault="003147E6" w:rsidP="003147E6">
      <w:pPr>
        <w:jc w:val="both"/>
      </w:pPr>
    </w:p>
    <w:p w:rsidR="003147E6" w:rsidRDefault="003147E6" w:rsidP="003147E6">
      <w:pPr>
        <w:jc w:val="both"/>
      </w:pPr>
      <w:r>
        <w:t>The monastic interpretation was debunked by Ian Burrow in 1973 (this fact has tended to be overlooked by subsequent scholarship, which attributes the decline of the ‘monastic’ hypothesis to the aftermath of the fire of 1983</w:t>
      </w:r>
      <w:r w:rsidR="000465E2">
        <w:rPr>
          <w:rStyle w:val="FootnoteReference"/>
        </w:rPr>
        <w:t xml:space="preserve"> </w:t>
      </w:r>
      <w:r>
        <w:t xml:space="preserve">). In 1981 Oliver </w:t>
      </w:r>
      <w:proofErr w:type="spellStart"/>
      <w:r>
        <w:t>Padel</w:t>
      </w:r>
      <w:proofErr w:type="spellEnd"/>
      <w:r>
        <w:t xml:space="preserve"> had delivered a further blow to the religious interpretation by identifying that the </w:t>
      </w:r>
      <w:proofErr w:type="spellStart"/>
      <w:r>
        <w:t>Augustians</w:t>
      </w:r>
      <w:proofErr w:type="spellEnd"/>
      <w:r>
        <w:t xml:space="preserve"> had only acquired the site through lease from a secular landlord.</w:t>
      </w:r>
      <w:r w:rsidR="000465E2">
        <w:rPr>
          <w:rStyle w:val="FootnoteReference"/>
        </w:rPr>
        <w:t xml:space="preserve"> </w:t>
      </w:r>
      <w:r>
        <w:t xml:space="preserve"> He also proposed a plausible Celtic etymology (&lt;</w:t>
      </w:r>
      <w:r>
        <w:rPr>
          <w:i/>
        </w:rPr>
        <w:t>tin</w:t>
      </w:r>
      <w:r>
        <w:t xml:space="preserve">, ‘fort’, + </w:t>
      </w:r>
      <w:r>
        <w:rPr>
          <w:i/>
        </w:rPr>
        <w:t>*</w:t>
      </w:r>
      <w:proofErr w:type="spellStart"/>
      <w:r>
        <w:rPr>
          <w:i/>
        </w:rPr>
        <w:t>tagell</w:t>
      </w:r>
      <w:proofErr w:type="spellEnd"/>
      <w:r>
        <w:rPr>
          <w:i/>
        </w:rPr>
        <w:t xml:space="preserve"> </w:t>
      </w:r>
      <w:r>
        <w:t xml:space="preserve">‘constriction’). In the 1980s, a series of small excavations identified early fortifications on the headland and revealed that Radford had been deficient in his </w:t>
      </w:r>
      <w:proofErr w:type="spellStart"/>
      <w:r>
        <w:t>stratigraphic</w:t>
      </w:r>
      <w:proofErr w:type="spellEnd"/>
      <w:r>
        <w:t xml:space="preserve"> analysis. The Norman ditch was shown to likely have been levelled using the spoil from a ‘robbed’ rampart up above—hence it was not a monastic ditch (</w:t>
      </w:r>
      <w:proofErr w:type="spellStart"/>
      <w:r>
        <w:rPr>
          <w:i/>
          <w:iCs/>
        </w:rPr>
        <w:t>vallum</w:t>
      </w:r>
      <w:proofErr w:type="spellEnd"/>
      <w:r>
        <w:rPr>
          <w:iCs/>
        </w:rPr>
        <w:t>), but may have been fronted with a defensive work.</w:t>
      </w:r>
      <w:r>
        <w:t xml:space="preserve"> Excavations at the nearby parish church set up a plausible case for it being the early nucleus of religious activity at Tintagel, and, by implication, detracted from the case for the chapel on the headland being more than a private chapel linked to the medieval castle.</w:t>
      </w:r>
      <w:r w:rsidR="000465E2">
        <w:rPr>
          <w:rStyle w:val="FootnoteReference"/>
        </w:rPr>
        <w:t xml:space="preserve"> </w:t>
      </w:r>
      <w:r>
        <w:t xml:space="preserve"> Kenneth Dark’s analysis of the sequence around the chapel cast increasing doubt on the early date of any of the buildings now visible on the headland—though now Chris Morris’s excavations have revived the possibility that they are early.</w:t>
      </w:r>
      <w:r w:rsidR="000465E2">
        <w:rPr>
          <w:rStyle w:val="FootnoteReference"/>
        </w:rPr>
        <w:t xml:space="preserve"> </w:t>
      </w:r>
    </w:p>
    <w:p w:rsidR="003147E6" w:rsidRDefault="003147E6" w:rsidP="003147E6">
      <w:pPr>
        <w:jc w:val="both"/>
      </w:pPr>
    </w:p>
    <w:p w:rsidR="003147E6" w:rsidRDefault="003147E6" w:rsidP="003147E6">
      <w:pPr>
        <w:jc w:val="both"/>
      </w:pPr>
      <w:r>
        <w:t xml:space="preserve">The interpretation of Tintagel thus passed from a ‘secular’ phase, through a ‘religious’ phase and back to the secular. For a long time the signage on the site reflected this confusion. </w:t>
      </w:r>
      <w:proofErr w:type="gramStart"/>
      <w:r>
        <w:t>‘King Arthur’s Castle—Celtic Monastery’ for a long time could be seen on the signs.</w:t>
      </w:r>
      <w:proofErr w:type="gramEnd"/>
      <w:r>
        <w:t xml:space="preserve"> It is humorous to observe that neither of these was correct. The ‘</w:t>
      </w:r>
      <w:proofErr w:type="spellStart"/>
      <w:r>
        <w:t>Arthurianist</w:t>
      </w:r>
      <w:proofErr w:type="spellEnd"/>
      <w:r>
        <w:t xml:space="preserve">’ might content his- or herself with the thought that Arthur is rarely brought into association with an unimportant site. The presence of so much imported material spoke to </w:t>
      </w:r>
      <w:r>
        <w:rPr>
          <w:i/>
        </w:rPr>
        <w:t xml:space="preserve">some </w:t>
      </w:r>
      <w:r>
        <w:t xml:space="preserve">outstanding significance of the site in the fifth/sixth century. But even Geoffrey of Monmouth does not represent it as a seat of Arthur’s family, only as an </w:t>
      </w:r>
      <w:proofErr w:type="spellStart"/>
      <w:r>
        <w:rPr>
          <w:i/>
          <w:iCs/>
        </w:rPr>
        <w:t>oppidum</w:t>
      </w:r>
      <w:proofErr w:type="spellEnd"/>
      <w:r>
        <w:rPr>
          <w:i/>
          <w:iCs/>
        </w:rPr>
        <w:t xml:space="preserve"> </w:t>
      </w:r>
      <w:r>
        <w:t>(fort) of the King of Cornwall, implicitly a minor seat brought to prominence for its utility as a site to shut away his wife—on account of its being a highly defensible site, not on account of its political importance.</w:t>
      </w:r>
    </w:p>
    <w:p w:rsidR="003147E6" w:rsidRDefault="003147E6" w:rsidP="003147E6">
      <w:pPr>
        <w:jc w:val="both"/>
      </w:pPr>
    </w:p>
    <w:p w:rsidR="003147E6" w:rsidRDefault="003147E6" w:rsidP="003147E6">
      <w:pPr>
        <w:jc w:val="both"/>
      </w:pPr>
      <w:r>
        <w:t xml:space="preserve">So what exactly was going on at Tintagel in the Early Middle Ages? Interpretations have varied as archaeologists have struggled to place these finds in a wider context. Charles Thomas led, in a 1988 article in </w:t>
      </w:r>
      <w:r>
        <w:rPr>
          <w:i/>
        </w:rPr>
        <w:t>Cornish Archaeology</w:t>
      </w:r>
      <w:r>
        <w:t>, made an attempt to present the finds in terms of a continuing Roman society identifiable through Latin memorials and other ‘sub-Roman’ landscape features.</w:t>
      </w:r>
      <w:r w:rsidR="000465E2">
        <w:rPr>
          <w:rStyle w:val="FootnoteReference"/>
        </w:rPr>
        <w:t xml:space="preserve"> </w:t>
      </w:r>
      <w:r>
        <w:t xml:space="preserve"> A further article in a special issue of </w:t>
      </w:r>
      <w:r>
        <w:rPr>
          <w:i/>
        </w:rPr>
        <w:t xml:space="preserve">Cornish Arch </w:t>
      </w:r>
      <w:proofErr w:type="spellStart"/>
      <w:r>
        <w:rPr>
          <w:i/>
        </w:rPr>
        <w:t>aeology</w:t>
      </w:r>
      <w:proofErr w:type="spellEnd"/>
      <w:r>
        <w:rPr>
          <w:i/>
        </w:rPr>
        <w:t xml:space="preserve"> </w:t>
      </w:r>
      <w:r>
        <w:t>published the same year, presented the case for a high status secular site on the site of the medieval castle.</w:t>
      </w:r>
      <w:r w:rsidR="000465E2">
        <w:rPr>
          <w:rStyle w:val="FootnoteReference"/>
        </w:rPr>
        <w:t xml:space="preserve"> </w:t>
      </w:r>
      <w:r>
        <w:t xml:space="preserve"> This may be said to represent an example of what Neil Faulkner has recently strongly criticised as the ‘Late-Antiquity Paradigm’ (LAP) which he feels presents post-Roman Britain too exclusively in terms of its continuing Roman identity.</w:t>
      </w:r>
      <w:r w:rsidR="000465E2">
        <w:rPr>
          <w:rStyle w:val="FootnoteReference"/>
        </w:rPr>
        <w:t xml:space="preserve"> </w:t>
      </w:r>
      <w:r>
        <w:t xml:space="preserve"> </w:t>
      </w:r>
    </w:p>
    <w:p w:rsidR="003147E6" w:rsidRDefault="003147E6" w:rsidP="003147E6">
      <w:pPr>
        <w:jc w:val="both"/>
      </w:pPr>
    </w:p>
    <w:p w:rsidR="003147E6" w:rsidRDefault="003147E6" w:rsidP="003147E6">
      <w:pPr>
        <w:jc w:val="both"/>
      </w:pPr>
      <w:r>
        <w:t xml:space="preserve">Faulkner’s critique is most strongly provoked by Anthea Harris’s 2003 book </w:t>
      </w:r>
      <w:r>
        <w:rPr>
          <w:i/>
          <w:iCs/>
        </w:rPr>
        <w:t>Byzantium, Britain and the West</w:t>
      </w:r>
      <w:r>
        <w:t>,</w:t>
      </w:r>
      <w:r w:rsidR="000465E2">
        <w:rPr>
          <w:rStyle w:val="FootnoteReference"/>
        </w:rPr>
        <w:t xml:space="preserve"> </w:t>
      </w:r>
      <w:r>
        <w:t xml:space="preserve"> which takes the increasingly visible, but still relatively slight, evidence for eastern imports—direct imports—to the West, as far as Britain, to indicate the continuity of Roman civilisation into late Antiquity. This is all of a piece with recent works that have stressed the impact of Byzantine models upon Carolingian politics and art. Without disputing the existence of these influences, Faulkner deplores the preoccupation with such a minor element in the material record, at the expense of a body of evidence that speaks to a return to dependence on local resources and the formation of new identities—a sort of ‘decolonisation’ thesis for late Antiquity. </w:t>
      </w:r>
    </w:p>
    <w:p w:rsidR="003147E6" w:rsidRDefault="003147E6" w:rsidP="003147E6">
      <w:pPr>
        <w:jc w:val="both"/>
      </w:pPr>
      <w:r>
        <w:tab/>
      </w:r>
    </w:p>
    <w:p w:rsidR="003147E6" w:rsidRDefault="003147E6" w:rsidP="003147E6">
      <w:pPr>
        <w:jc w:val="both"/>
      </w:pPr>
      <w:r>
        <w:t xml:space="preserve">It is hard not to agree that he has a point. Harris’s thesis extends what Ewan Campbell has termed the ‘diplomatic model’ to explain the eastern imports into the West—of which the present writer’s 1996 monograph was a major proponent—building on earlier studies by Michael </w:t>
      </w:r>
      <w:proofErr w:type="spellStart"/>
      <w:r>
        <w:t>Fulford</w:t>
      </w:r>
      <w:proofErr w:type="spellEnd"/>
      <w:r>
        <w:t xml:space="preserve"> and John O. Ward.</w:t>
      </w:r>
      <w:r w:rsidR="000465E2">
        <w:rPr>
          <w:rStyle w:val="FootnoteReference"/>
        </w:rPr>
        <w:t xml:space="preserve"> </w:t>
      </w:r>
      <w:r>
        <w:t xml:space="preserve"> There it was argued that the imports did not need to be understood as evincing </w:t>
      </w:r>
      <w:proofErr w:type="spellStart"/>
      <w:r>
        <w:t>ahistorical</w:t>
      </w:r>
      <w:proofErr w:type="spellEnd"/>
      <w:r>
        <w:t xml:space="preserve"> contacts between east and west: there is sufficient reference to Britain in Byzantine sources to provide a context for eastern interest in Britain. Yet Harris undoubtedly takes this much further than I did. In her hands these small quantities of ceramics become a paradigm of a much larger Byzantine interest in the west.</w:t>
      </w:r>
    </w:p>
    <w:p w:rsidR="003147E6" w:rsidRDefault="003147E6" w:rsidP="003147E6">
      <w:pPr>
        <w:jc w:val="both"/>
      </w:pPr>
      <w:r>
        <w:tab/>
      </w:r>
    </w:p>
    <w:p w:rsidR="003147E6" w:rsidRDefault="003147E6" w:rsidP="003147E6">
      <w:pPr>
        <w:jc w:val="both"/>
      </w:pPr>
      <w:r>
        <w:t xml:space="preserve">Here, perhaps, I would like to highlight a point that went largely unappreciated in my 1996 study, but which I feel is crucial for understanding the study of external elements in any body of source material—be it archaeological or literary. One should not confuse the priorities of the person who has a technical interest in ordering data with those of one who has a wider interest in explaining society. </w:t>
      </w:r>
    </w:p>
    <w:p w:rsidR="003147E6" w:rsidRDefault="003147E6" w:rsidP="003147E6">
      <w:pPr>
        <w:jc w:val="both"/>
      </w:pPr>
      <w:r>
        <w:tab/>
      </w:r>
    </w:p>
    <w:p w:rsidR="003147E6" w:rsidRDefault="003147E6" w:rsidP="003147E6">
      <w:pPr>
        <w:jc w:val="both"/>
      </w:pPr>
      <w:r>
        <w:t xml:space="preserve">One of the philosophical errors of the New Archaeology paradigm of the 1970s as applied to historical archaeology—perhaps, on reflection, any archaeology—was the assumption that social models allowed for the creation of an entirely separate type of knowledge to that provided by documentary research. Continuing a polemical trend that went back to the work of </w:t>
      </w:r>
      <w:proofErr w:type="spellStart"/>
      <w:r>
        <w:t>Bersu</w:t>
      </w:r>
      <w:proofErr w:type="spellEnd"/>
      <w:r>
        <w:t xml:space="preserve"> and others in the 1930s and ‘40s, archaeology sought to escape from the parameters of the questions asked by historians, to consider the wider social questions that might be answered using the quantitative data from excavations. Historians were, in the same period, already seeking to escape the Stubbs/</w:t>
      </w:r>
      <w:proofErr w:type="spellStart"/>
      <w:r>
        <w:t>Maitlandian</w:t>
      </w:r>
      <w:proofErr w:type="spellEnd"/>
      <w:r>
        <w:t xml:space="preserve"> </w:t>
      </w:r>
      <w:proofErr w:type="spellStart"/>
      <w:r>
        <w:t>straight</w:t>
      </w:r>
      <w:proofErr w:type="spellEnd"/>
      <w:r>
        <w:t>-jacket of institutional history. At the earliest margins, however, historical interests remained conservative—indeed there has sometimes been an expectation that historians will concern themselves with actually editing texts, and archaeologists be left to write social ‘history’.</w:t>
      </w:r>
    </w:p>
    <w:p w:rsidR="003147E6" w:rsidRDefault="003147E6" w:rsidP="003147E6">
      <w:pPr>
        <w:jc w:val="both"/>
      </w:pPr>
      <w:r>
        <w:tab/>
      </w:r>
    </w:p>
    <w:p w:rsidR="003147E6" w:rsidRDefault="003147E6" w:rsidP="003147E6">
      <w:pPr>
        <w:jc w:val="both"/>
      </w:pPr>
      <w:r>
        <w:t xml:space="preserve">What has been lost in this debate has sometimes been the reasoning by which archaeologists had come to concern themselves with the imports in the first place. This was primarily a matter of cross-referencing chronological patterns. In the days before radiocarbon, relating relative chronologies to absolutely dateable historical events was fundamental to dating models. Even in the present day, there are sufficient </w:t>
      </w:r>
      <w:r>
        <w:rPr>
          <w:i/>
          <w:iCs/>
        </w:rPr>
        <w:t xml:space="preserve">caveats </w:t>
      </w:r>
      <w:r>
        <w:t xml:space="preserve">on scientific dating methods to require calibration with absolute chronologies, </w:t>
      </w:r>
      <w:proofErr w:type="spellStart"/>
      <w:r>
        <w:t>suchs</w:t>
      </w:r>
      <w:proofErr w:type="spellEnd"/>
      <w:r>
        <w:t xml:space="preserve"> as are provided by </w:t>
      </w:r>
      <w:proofErr w:type="spellStart"/>
      <w:r>
        <w:t>dendrochronology</w:t>
      </w:r>
      <w:proofErr w:type="spellEnd"/>
      <w:r>
        <w:t xml:space="preserve"> or numismatic dating. In such models the value of an external object is not only disproportionate to its actual social </w:t>
      </w:r>
      <w:proofErr w:type="gramStart"/>
      <w:r>
        <w:t>significance,</w:t>
      </w:r>
      <w:proofErr w:type="gramEnd"/>
      <w:r>
        <w:t xml:space="preserve"> it is actually in inverse proportion. The shorter the period of importation of a foreign object-type, the more finite its </w:t>
      </w:r>
      <w:proofErr w:type="spellStart"/>
      <w:r>
        <w:rPr>
          <w:i/>
          <w:iCs/>
        </w:rPr>
        <w:t>floruit</w:t>
      </w:r>
      <w:proofErr w:type="spellEnd"/>
      <w:r>
        <w:rPr>
          <w:i/>
          <w:iCs/>
        </w:rPr>
        <w:t xml:space="preserve"> </w:t>
      </w:r>
      <w:r>
        <w:t>in the archaeological record may be assumed to be. The lower the intrinsic value of the discarded object (</w:t>
      </w:r>
      <w:r>
        <w:rPr>
          <w:i/>
          <w:iCs/>
        </w:rPr>
        <w:t xml:space="preserve">e.g. </w:t>
      </w:r>
      <w:r>
        <w:t xml:space="preserve">a bottle, used to import a substance where the substance itself is the only valued element and where the bottle is immediately discarded on consumption of the contents), the greater the chronological value; as the object consistently will appear in the record around the time of importation, rather than stay in circulation to be subsequently deposited. Such objects become finite chronological ‘benchmarks’—enjoying a status that </w:t>
      </w:r>
      <w:r>
        <w:rPr>
          <w:i/>
        </w:rPr>
        <w:t>may</w:t>
      </w:r>
      <w:r>
        <w:t xml:space="preserve"> be entirely out of proportion to the significance of the contacts which they evince.</w:t>
      </w:r>
    </w:p>
    <w:p w:rsidR="003147E6" w:rsidRDefault="003147E6" w:rsidP="003147E6">
      <w:pPr>
        <w:jc w:val="both"/>
        <w:rPr>
          <w:b/>
        </w:rPr>
      </w:pPr>
    </w:p>
    <w:p w:rsidR="003147E6" w:rsidRDefault="003147E6" w:rsidP="003147E6">
      <w:pPr>
        <w:jc w:val="both"/>
      </w:pPr>
      <w:r>
        <w:t xml:space="preserve">The centrality of Tintagel to the receipt and redistribution of the eastern imports has taken a new twist with the discoveries made on </w:t>
      </w:r>
      <w:proofErr w:type="spellStart"/>
      <w:r>
        <w:t>Bantham</w:t>
      </w:r>
      <w:proofErr w:type="spellEnd"/>
      <w:r>
        <w:t xml:space="preserve"> beach in Devon. Here a site known through stray finds of imports has yielded evidence of wholesale consumption of imports from the amphorae, which are scattered across an unenclosed beach site.</w:t>
      </w:r>
      <w:r w:rsidR="000465E2">
        <w:rPr>
          <w:rStyle w:val="FootnoteReference"/>
        </w:rPr>
        <w:t xml:space="preserve"> </w:t>
      </w:r>
      <w:r>
        <w:t xml:space="preserve"> This may be an example of a phenomenon recorded in early Irish law, whereby visitors wishing to trade had to give part of their cargo as a gift. So perhaps the </w:t>
      </w:r>
      <w:proofErr w:type="gramStart"/>
      <w:r>
        <w:t>scale of finds at Tintagel do</w:t>
      </w:r>
      <w:proofErr w:type="gramEnd"/>
      <w:r>
        <w:t xml:space="preserve"> not indicate a uniquely important site. The question here is whether we are making leaps of logic on the strength of a conviction that a major site can only be a ‘royal’ centre—or perhaps we are subconsciously looking for Arthur’s Tintagel ...</w:t>
      </w:r>
    </w:p>
    <w:p w:rsidR="003147E6" w:rsidRDefault="003147E6" w:rsidP="003147E6">
      <w:pPr>
        <w:jc w:val="both"/>
        <w:rPr>
          <w:i/>
        </w:rPr>
      </w:pPr>
    </w:p>
    <w:p w:rsidR="003147E6" w:rsidRDefault="003147E6" w:rsidP="003147E6">
      <w:pPr>
        <w:jc w:val="both"/>
        <w:rPr>
          <w:b/>
        </w:rPr>
      </w:pPr>
      <w:r>
        <w:rPr>
          <w:b/>
        </w:rPr>
        <w:t>Recommended Reading</w:t>
      </w:r>
    </w:p>
    <w:p w:rsidR="003147E6" w:rsidRDefault="003147E6" w:rsidP="003147E6"/>
    <w:p w:rsidR="000465E2" w:rsidRPr="000465E2" w:rsidRDefault="003147E6" w:rsidP="003147E6">
      <w:pPr>
        <w:pStyle w:val="Normal1"/>
        <w:tabs>
          <w:tab w:val="left" w:pos="560"/>
        </w:tabs>
        <w:ind w:left="600" w:hanging="600"/>
        <w:jc w:val="both"/>
        <w:rPr>
          <w:rFonts w:ascii="Times New Roman" w:hAnsi="Times New Roman"/>
          <w:sz w:val="22"/>
          <w:szCs w:val="22"/>
        </w:rPr>
      </w:pPr>
      <w:r w:rsidRPr="000465E2">
        <w:rPr>
          <w:rFonts w:ascii="Times New Roman" w:hAnsi="Times New Roman"/>
          <w:sz w:val="22"/>
          <w:szCs w:val="22"/>
        </w:rPr>
        <w:t xml:space="preserve">N. Faulkner, ‘The Case for the Dark Ages’, in R. Collins &amp; J. </w:t>
      </w:r>
      <w:proofErr w:type="spellStart"/>
      <w:r w:rsidRPr="000465E2">
        <w:rPr>
          <w:rFonts w:ascii="Times New Roman" w:hAnsi="Times New Roman"/>
          <w:sz w:val="22"/>
          <w:szCs w:val="22"/>
        </w:rPr>
        <w:t>Gerrard</w:t>
      </w:r>
      <w:proofErr w:type="spellEnd"/>
      <w:proofErr w:type="gramStart"/>
      <w:r w:rsidRPr="000465E2">
        <w:rPr>
          <w:rFonts w:ascii="Times New Roman" w:hAnsi="Times New Roman"/>
          <w:sz w:val="22"/>
          <w:szCs w:val="22"/>
        </w:rPr>
        <w:t>,  (</w:t>
      </w:r>
      <w:proofErr w:type="gramEnd"/>
      <w:r w:rsidRPr="000465E2">
        <w:rPr>
          <w:rFonts w:ascii="Times New Roman" w:hAnsi="Times New Roman"/>
          <w:sz w:val="22"/>
          <w:szCs w:val="22"/>
        </w:rPr>
        <w:t xml:space="preserve">ed.),  </w:t>
      </w:r>
      <w:r w:rsidRPr="000465E2">
        <w:rPr>
          <w:rFonts w:ascii="Times New Roman" w:hAnsi="Times New Roman"/>
          <w:i/>
          <w:iCs/>
          <w:sz w:val="22"/>
          <w:szCs w:val="22"/>
        </w:rPr>
        <w:t xml:space="preserve">Debating Late Antiquity in Britain  AD 300-700 </w:t>
      </w:r>
      <w:r w:rsidRPr="000465E2">
        <w:rPr>
          <w:rFonts w:ascii="Times New Roman" w:hAnsi="Times New Roman"/>
          <w:iCs/>
          <w:sz w:val="22"/>
          <w:szCs w:val="22"/>
        </w:rPr>
        <w:t>(</w:t>
      </w:r>
      <w:r w:rsidR="000465E2" w:rsidRPr="000465E2">
        <w:rPr>
          <w:rFonts w:ascii="Times New Roman" w:hAnsi="Times New Roman"/>
          <w:sz w:val="22"/>
          <w:szCs w:val="22"/>
        </w:rPr>
        <w:t xml:space="preserve">Oxford, BAR, 2004), 5-12 (on </w:t>
      </w:r>
      <w:proofErr w:type="spellStart"/>
      <w:r w:rsidR="000465E2" w:rsidRPr="000465E2">
        <w:rPr>
          <w:rFonts w:ascii="Times New Roman" w:hAnsi="Times New Roman"/>
          <w:sz w:val="22"/>
          <w:szCs w:val="22"/>
        </w:rPr>
        <w:t>Moodle</w:t>
      </w:r>
      <w:proofErr w:type="spellEnd"/>
      <w:r w:rsidR="000465E2" w:rsidRPr="000465E2">
        <w:rPr>
          <w:rFonts w:ascii="Times New Roman" w:hAnsi="Times New Roman"/>
          <w:sz w:val="22"/>
          <w:szCs w:val="22"/>
        </w:rPr>
        <w:t xml:space="preserve"> page)</w:t>
      </w:r>
    </w:p>
    <w:p w:rsidR="000465E2" w:rsidRPr="000465E2" w:rsidRDefault="000465E2" w:rsidP="000465E2">
      <w:pPr>
        <w:ind w:left="600" w:hanging="600"/>
        <w:jc w:val="both"/>
        <w:rPr>
          <w:sz w:val="22"/>
          <w:szCs w:val="22"/>
        </w:rPr>
      </w:pPr>
      <w:r w:rsidRPr="000465E2">
        <w:rPr>
          <w:sz w:val="22"/>
          <w:szCs w:val="22"/>
        </w:rPr>
        <w:t xml:space="preserve">C. Morris, ‘Not King Arthur, but King Someone’, </w:t>
      </w:r>
      <w:r w:rsidRPr="000465E2">
        <w:rPr>
          <w:i/>
          <w:sz w:val="22"/>
          <w:szCs w:val="22"/>
        </w:rPr>
        <w:t xml:space="preserve">British Archaeology </w:t>
      </w:r>
      <w:r w:rsidRPr="000465E2">
        <w:rPr>
          <w:sz w:val="22"/>
          <w:szCs w:val="22"/>
        </w:rPr>
        <w:t>4 (1995)</w:t>
      </w:r>
    </w:p>
    <w:p w:rsidR="000465E2" w:rsidRPr="000465E2" w:rsidRDefault="000465E2" w:rsidP="000465E2">
      <w:pPr>
        <w:ind w:left="600" w:hanging="600"/>
        <w:jc w:val="both"/>
        <w:rPr>
          <w:sz w:val="22"/>
          <w:szCs w:val="22"/>
        </w:rPr>
      </w:pPr>
      <w:r w:rsidRPr="000465E2">
        <w:rPr>
          <w:sz w:val="22"/>
          <w:szCs w:val="22"/>
        </w:rPr>
        <w:tab/>
        <w:t>&lt;http://www.britarch.ac.uk/ba/ba4/ba4feat.html#morris&gt;</w:t>
      </w:r>
    </w:p>
    <w:p w:rsidR="000465E2" w:rsidRPr="000465E2" w:rsidRDefault="000465E2" w:rsidP="000465E2">
      <w:pPr>
        <w:ind w:left="600" w:hanging="600"/>
        <w:rPr>
          <w:sz w:val="22"/>
          <w:szCs w:val="22"/>
        </w:rPr>
      </w:pPr>
      <w:r w:rsidRPr="000465E2">
        <w:rPr>
          <w:sz w:val="22"/>
          <w:szCs w:val="22"/>
        </w:rPr>
        <w:t xml:space="preserve">[HA Staff] ‘Early Medieval Tintagel: An Interview with Archaeologists Rachel Harry and Kevin Brady’, in </w:t>
      </w:r>
      <w:r w:rsidRPr="000465E2">
        <w:rPr>
          <w:i/>
          <w:sz w:val="22"/>
          <w:szCs w:val="22"/>
        </w:rPr>
        <w:t xml:space="preserve">The Heroic </w:t>
      </w:r>
      <w:proofErr w:type="gramStart"/>
      <w:r w:rsidRPr="000465E2">
        <w:rPr>
          <w:i/>
          <w:sz w:val="22"/>
          <w:szCs w:val="22"/>
        </w:rPr>
        <w:t xml:space="preserve">Age </w:t>
      </w:r>
      <w:r w:rsidRPr="000465E2">
        <w:rPr>
          <w:sz w:val="22"/>
          <w:szCs w:val="22"/>
        </w:rPr>
        <w:t xml:space="preserve"> 1</w:t>
      </w:r>
      <w:proofErr w:type="gramEnd"/>
      <w:r w:rsidRPr="000465E2">
        <w:rPr>
          <w:sz w:val="22"/>
          <w:szCs w:val="22"/>
        </w:rPr>
        <w:t xml:space="preserve"> (1999) </w:t>
      </w:r>
      <w:hyperlink r:id="rId6" w:history="1">
        <w:r w:rsidRPr="000465E2">
          <w:rPr>
            <w:rStyle w:val="Hyperlink"/>
            <w:sz w:val="22"/>
            <w:szCs w:val="22"/>
          </w:rPr>
          <w:t>http://www.mun.ca/mst/heroicage/issues/1/hati.htm</w:t>
        </w:r>
      </w:hyperlink>
    </w:p>
    <w:p w:rsidR="000465E2" w:rsidRDefault="000465E2" w:rsidP="000465E2">
      <w:pPr>
        <w:ind w:left="600" w:hanging="600"/>
        <w:rPr>
          <w:sz w:val="22"/>
          <w:szCs w:val="22"/>
        </w:rPr>
      </w:pPr>
      <w:r w:rsidRPr="000465E2">
        <w:rPr>
          <w:sz w:val="22"/>
          <w:szCs w:val="22"/>
        </w:rPr>
        <w:t xml:space="preserve">T. Green, ‘Trade, Gift-giving and </w:t>
      </w:r>
      <w:proofErr w:type="spellStart"/>
      <w:r w:rsidRPr="000465E2">
        <w:rPr>
          <w:i/>
          <w:iCs/>
          <w:sz w:val="22"/>
          <w:szCs w:val="22"/>
        </w:rPr>
        <w:t>Romanitas</w:t>
      </w:r>
      <w:proofErr w:type="spellEnd"/>
      <w:r w:rsidRPr="000465E2">
        <w:rPr>
          <w:sz w:val="22"/>
          <w:szCs w:val="22"/>
        </w:rPr>
        <w:t xml:space="preserve">: A Comparison of the Use of Roman Imports in Western Britain and Southern Scandinavia’, </w:t>
      </w:r>
      <w:r w:rsidRPr="000465E2">
        <w:rPr>
          <w:i/>
          <w:iCs/>
          <w:sz w:val="22"/>
          <w:szCs w:val="22"/>
        </w:rPr>
        <w:t>The Heroic Age</w:t>
      </w:r>
      <w:r>
        <w:rPr>
          <w:sz w:val="22"/>
          <w:szCs w:val="22"/>
        </w:rPr>
        <w:t xml:space="preserve">, 10 (May 2007) </w:t>
      </w:r>
      <w:hyperlink r:id="rId7" w:history="1">
        <w:r w:rsidRPr="00BF47E2">
          <w:rPr>
            <w:rStyle w:val="Hyperlink"/>
            <w:sz w:val="22"/>
            <w:szCs w:val="22"/>
          </w:rPr>
          <w:t>http://www.heroicage.org/issues/10/green.html</w:t>
        </w:r>
      </w:hyperlink>
    </w:p>
    <w:p w:rsidR="000465E2" w:rsidRDefault="000465E2" w:rsidP="000465E2">
      <w:pPr>
        <w:ind w:left="600" w:hanging="600"/>
        <w:jc w:val="both"/>
        <w:rPr>
          <w:sz w:val="22"/>
          <w:szCs w:val="22"/>
        </w:rPr>
      </w:pPr>
    </w:p>
    <w:p w:rsidR="000465E2" w:rsidRPr="000465E2" w:rsidRDefault="000465E2" w:rsidP="000465E2">
      <w:pPr>
        <w:ind w:left="600" w:hanging="600"/>
        <w:jc w:val="both"/>
        <w:rPr>
          <w:sz w:val="22"/>
          <w:szCs w:val="22"/>
        </w:rPr>
      </w:pPr>
      <w:r w:rsidRPr="000465E2">
        <w:rPr>
          <w:sz w:val="22"/>
          <w:szCs w:val="22"/>
        </w:rPr>
        <w:t xml:space="preserve">Anthea Harris, </w:t>
      </w:r>
      <w:r w:rsidRPr="000465E2">
        <w:rPr>
          <w:i/>
          <w:sz w:val="22"/>
          <w:szCs w:val="22"/>
        </w:rPr>
        <w:t xml:space="preserve">Britain, Byzantium and the West: </w:t>
      </w:r>
      <w:r w:rsidRPr="000465E2">
        <w:rPr>
          <w:i/>
          <w:color w:val="000000"/>
          <w:sz w:val="22"/>
          <w:szCs w:val="22"/>
        </w:rPr>
        <w:t xml:space="preserve">the Archaeology of Cultural </w:t>
      </w:r>
      <w:proofErr w:type="gramStart"/>
      <w:r w:rsidRPr="000465E2">
        <w:rPr>
          <w:i/>
          <w:color w:val="000000"/>
          <w:sz w:val="22"/>
          <w:szCs w:val="22"/>
        </w:rPr>
        <w:t>Identity</w:t>
      </w:r>
      <w:r w:rsidRPr="000465E2">
        <w:rPr>
          <w:color w:val="000000"/>
          <w:sz w:val="22"/>
          <w:szCs w:val="22"/>
        </w:rPr>
        <w:t xml:space="preserve"> </w:t>
      </w:r>
      <w:r w:rsidRPr="000465E2">
        <w:rPr>
          <w:i/>
          <w:sz w:val="22"/>
          <w:szCs w:val="22"/>
        </w:rPr>
        <w:t xml:space="preserve"> </w:t>
      </w:r>
      <w:r w:rsidRPr="000465E2">
        <w:rPr>
          <w:sz w:val="22"/>
          <w:szCs w:val="22"/>
        </w:rPr>
        <w:t>(</w:t>
      </w:r>
      <w:proofErr w:type="gramEnd"/>
      <w:r w:rsidRPr="000465E2">
        <w:rPr>
          <w:sz w:val="22"/>
          <w:szCs w:val="22"/>
        </w:rPr>
        <w:t>Tempus: Stroud, 2003).</w:t>
      </w:r>
    </w:p>
    <w:p w:rsidR="000465E2" w:rsidRPr="000465E2" w:rsidRDefault="000465E2" w:rsidP="000465E2">
      <w:pPr>
        <w:ind w:left="600" w:hanging="600"/>
        <w:jc w:val="both"/>
        <w:rPr>
          <w:sz w:val="22"/>
          <w:szCs w:val="22"/>
        </w:rPr>
      </w:pPr>
      <w:proofErr w:type="gramStart"/>
      <w:r w:rsidRPr="000465E2">
        <w:rPr>
          <w:sz w:val="22"/>
          <w:szCs w:val="22"/>
        </w:rPr>
        <w:t xml:space="preserve">J.M. Wooding, </w:t>
      </w:r>
      <w:r w:rsidRPr="000465E2">
        <w:rPr>
          <w:i/>
          <w:sz w:val="22"/>
          <w:szCs w:val="22"/>
        </w:rPr>
        <w:t xml:space="preserve">Communication and Commerce along the Western </w:t>
      </w:r>
      <w:proofErr w:type="spellStart"/>
      <w:r w:rsidRPr="000465E2">
        <w:rPr>
          <w:i/>
          <w:sz w:val="22"/>
          <w:szCs w:val="22"/>
        </w:rPr>
        <w:t>Sealanes</w:t>
      </w:r>
      <w:proofErr w:type="spellEnd"/>
      <w:r w:rsidRPr="000465E2">
        <w:rPr>
          <w:i/>
          <w:sz w:val="22"/>
          <w:szCs w:val="22"/>
        </w:rPr>
        <w:t xml:space="preserve"> </w:t>
      </w:r>
      <w:r w:rsidRPr="000465E2">
        <w:rPr>
          <w:sz w:val="22"/>
          <w:szCs w:val="22"/>
        </w:rPr>
        <w:t>AD400-800 (British Archaeological Reports, International Series 654, Oxford, 1996).</w:t>
      </w:r>
      <w:proofErr w:type="gramEnd"/>
    </w:p>
    <w:p w:rsidR="000465E2" w:rsidRPr="000465E2" w:rsidRDefault="000465E2" w:rsidP="000465E2">
      <w:pPr>
        <w:ind w:left="600" w:hanging="600"/>
        <w:rPr>
          <w:sz w:val="22"/>
          <w:szCs w:val="22"/>
        </w:rPr>
      </w:pPr>
    </w:p>
    <w:p w:rsidR="000465E2" w:rsidRPr="000465E2" w:rsidRDefault="000465E2" w:rsidP="003147E6">
      <w:pPr>
        <w:pStyle w:val="Normal1"/>
        <w:tabs>
          <w:tab w:val="left" w:pos="560"/>
        </w:tabs>
        <w:ind w:left="600" w:hanging="600"/>
        <w:jc w:val="both"/>
        <w:rPr>
          <w:rFonts w:ascii="Times New Roman" w:hAnsi="Times New Roman"/>
          <w:sz w:val="22"/>
          <w:szCs w:val="22"/>
        </w:rPr>
      </w:pPr>
    </w:p>
    <w:p w:rsidR="000465E2" w:rsidRPr="000465E2" w:rsidRDefault="000465E2" w:rsidP="000465E2">
      <w:pPr>
        <w:pStyle w:val="Heading1"/>
        <w:spacing w:line="240" w:lineRule="auto"/>
        <w:rPr>
          <w:rFonts w:ascii="Times New Roman" w:hAnsi="Times New Roman"/>
          <w:b w:val="0"/>
          <w:bCs/>
          <w:smallCaps w:val="0"/>
          <w:sz w:val="22"/>
          <w:szCs w:val="22"/>
        </w:rPr>
      </w:pPr>
      <w:r w:rsidRPr="000465E2">
        <w:rPr>
          <w:rFonts w:ascii="Times New Roman" w:hAnsi="Times New Roman"/>
          <w:b w:val="0"/>
          <w:bCs/>
          <w:smallCaps w:val="0"/>
          <w:sz w:val="22"/>
          <w:szCs w:val="22"/>
        </w:rPr>
        <w:t xml:space="preserve">Oliver </w:t>
      </w:r>
      <w:proofErr w:type="spellStart"/>
      <w:r w:rsidRPr="000465E2">
        <w:rPr>
          <w:rFonts w:ascii="Times New Roman" w:hAnsi="Times New Roman"/>
          <w:b w:val="0"/>
          <w:bCs/>
          <w:smallCaps w:val="0"/>
          <w:sz w:val="22"/>
          <w:szCs w:val="22"/>
        </w:rPr>
        <w:t>Padel</w:t>
      </w:r>
      <w:proofErr w:type="spellEnd"/>
      <w:r w:rsidRPr="000465E2">
        <w:rPr>
          <w:rFonts w:ascii="Times New Roman" w:hAnsi="Times New Roman"/>
          <w:b w:val="0"/>
          <w:bCs/>
          <w:smallCaps w:val="0"/>
          <w:sz w:val="22"/>
          <w:szCs w:val="22"/>
        </w:rPr>
        <w:t xml:space="preserve">, ‘Some South-Western Sites with Arthurian Associations’, in R. Bromwich </w:t>
      </w:r>
      <w:r w:rsidRPr="000465E2">
        <w:rPr>
          <w:rFonts w:ascii="Times New Roman" w:hAnsi="Times New Roman"/>
          <w:b w:val="0"/>
          <w:bCs/>
          <w:i/>
          <w:iCs w:val="0"/>
          <w:smallCaps w:val="0"/>
          <w:sz w:val="22"/>
          <w:szCs w:val="22"/>
        </w:rPr>
        <w:t xml:space="preserve">et al. </w:t>
      </w:r>
      <w:r w:rsidRPr="000465E2">
        <w:rPr>
          <w:rFonts w:ascii="Times New Roman" w:hAnsi="Times New Roman"/>
          <w:b w:val="0"/>
          <w:bCs/>
          <w:smallCaps w:val="0"/>
          <w:sz w:val="22"/>
          <w:szCs w:val="22"/>
        </w:rPr>
        <w:t xml:space="preserve">(ed.), </w:t>
      </w:r>
      <w:proofErr w:type="gramStart"/>
      <w:r w:rsidRPr="000465E2">
        <w:rPr>
          <w:rFonts w:ascii="Times New Roman" w:hAnsi="Times New Roman"/>
          <w:b w:val="0"/>
          <w:bCs/>
          <w:i/>
          <w:iCs w:val="0"/>
          <w:smallCaps w:val="0"/>
          <w:sz w:val="22"/>
          <w:szCs w:val="22"/>
        </w:rPr>
        <w:t>The</w:t>
      </w:r>
      <w:proofErr w:type="gramEnd"/>
      <w:r w:rsidRPr="000465E2">
        <w:rPr>
          <w:rFonts w:ascii="Times New Roman" w:hAnsi="Times New Roman"/>
          <w:b w:val="0"/>
          <w:bCs/>
          <w:i/>
          <w:iCs w:val="0"/>
          <w:smallCaps w:val="0"/>
          <w:sz w:val="22"/>
          <w:szCs w:val="22"/>
        </w:rPr>
        <w:t xml:space="preserve"> Arthur of the Welsh </w:t>
      </w:r>
      <w:r w:rsidRPr="000465E2">
        <w:rPr>
          <w:rFonts w:ascii="Times New Roman" w:hAnsi="Times New Roman"/>
          <w:b w:val="0"/>
          <w:bCs/>
          <w:smallCaps w:val="0"/>
          <w:sz w:val="22"/>
          <w:szCs w:val="22"/>
        </w:rPr>
        <w:t>(Cardiff, 1991) 229-248</w:t>
      </w:r>
    </w:p>
    <w:p w:rsidR="003147E6" w:rsidRPr="000465E2" w:rsidRDefault="000465E2" w:rsidP="003147E6">
      <w:pPr>
        <w:ind w:left="600" w:hanging="600"/>
        <w:jc w:val="both"/>
        <w:rPr>
          <w:sz w:val="22"/>
          <w:szCs w:val="22"/>
        </w:rPr>
      </w:pPr>
      <w:r w:rsidRPr="000465E2">
        <w:rPr>
          <w:sz w:val="22"/>
          <w:szCs w:val="22"/>
        </w:rPr>
        <w:t xml:space="preserve">O. </w:t>
      </w:r>
      <w:proofErr w:type="spellStart"/>
      <w:r w:rsidRPr="000465E2">
        <w:rPr>
          <w:sz w:val="22"/>
          <w:szCs w:val="22"/>
        </w:rPr>
        <w:t>Padel</w:t>
      </w:r>
      <w:proofErr w:type="spellEnd"/>
      <w:r w:rsidRPr="000465E2">
        <w:rPr>
          <w:sz w:val="22"/>
          <w:szCs w:val="22"/>
        </w:rPr>
        <w:t xml:space="preserve">, </w:t>
      </w:r>
      <w:r w:rsidR="003147E6" w:rsidRPr="000465E2">
        <w:rPr>
          <w:sz w:val="22"/>
          <w:szCs w:val="22"/>
        </w:rPr>
        <w:t xml:space="preserve">‘Geoffrey of Monmouth and Cornwall’, </w:t>
      </w:r>
      <w:r w:rsidR="003147E6" w:rsidRPr="000465E2">
        <w:rPr>
          <w:rStyle w:val="Emphasis"/>
          <w:sz w:val="22"/>
          <w:szCs w:val="22"/>
        </w:rPr>
        <w:t>Cambridge Medieval Celtic Studies</w:t>
      </w:r>
      <w:r w:rsidR="003147E6" w:rsidRPr="000465E2">
        <w:rPr>
          <w:sz w:val="22"/>
          <w:szCs w:val="22"/>
        </w:rPr>
        <w:t>, 8 (1984) 1-28.</w:t>
      </w:r>
    </w:p>
    <w:p w:rsidR="003147E6" w:rsidRPr="000465E2" w:rsidRDefault="003147E6" w:rsidP="003147E6">
      <w:pPr>
        <w:ind w:left="600" w:hanging="600"/>
        <w:jc w:val="both"/>
        <w:rPr>
          <w:sz w:val="22"/>
          <w:szCs w:val="22"/>
        </w:rPr>
      </w:pPr>
      <w:r w:rsidRPr="000465E2">
        <w:rPr>
          <w:sz w:val="22"/>
          <w:szCs w:val="22"/>
        </w:rPr>
        <w:t xml:space="preserve">C. Morris, ‘Excavations on the Lower Terrace, Site C, Tintagel Island 1990-1994’, </w:t>
      </w:r>
      <w:r w:rsidRPr="000465E2">
        <w:rPr>
          <w:rStyle w:val="Emphasis"/>
          <w:sz w:val="22"/>
          <w:szCs w:val="22"/>
        </w:rPr>
        <w:t>Antiquaries Journal</w:t>
      </w:r>
      <w:r w:rsidRPr="000465E2">
        <w:rPr>
          <w:sz w:val="22"/>
          <w:szCs w:val="22"/>
        </w:rPr>
        <w:t xml:space="preserve"> 77 (1996) 1-143</w:t>
      </w:r>
    </w:p>
    <w:p w:rsidR="003147E6" w:rsidRPr="000465E2" w:rsidRDefault="003147E6" w:rsidP="003147E6">
      <w:pPr>
        <w:pStyle w:val="FootnoteText"/>
        <w:ind w:left="600" w:hanging="600"/>
        <w:jc w:val="both"/>
        <w:rPr>
          <w:iCs/>
          <w:sz w:val="22"/>
          <w:szCs w:val="22"/>
        </w:rPr>
      </w:pPr>
    </w:p>
    <w:p w:rsidR="00CA165F" w:rsidRPr="000465E2" w:rsidRDefault="00CA165F">
      <w:pPr>
        <w:rPr>
          <w:sz w:val="22"/>
          <w:szCs w:val="22"/>
        </w:rPr>
      </w:pPr>
    </w:p>
    <w:sectPr w:rsidR="00CA165F" w:rsidRPr="000465E2" w:rsidSect="00B37880">
      <w:pgSz w:w="11905" w:h="16837"/>
      <w:pgMar w:top="1440" w:right="1797" w:bottom="1440" w:left="1797" w:header="720" w:footer="1134"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147E6" w:rsidRDefault="003147E6" w:rsidP="003147E6">
      <w:r>
        <w:separator/>
      </w:r>
    </w:p>
  </w:endnote>
  <w:endnote w:type="continuationSeparator" w:id="0">
    <w:p w:rsidR="003147E6" w:rsidRDefault="003147E6" w:rsidP="003147E6">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altName w:val="Garamond"/>
    <w:panose1 w:val="02020404030301010803"/>
    <w:charset w:val="00"/>
    <w:family w:val="roman"/>
    <w:pitch w:val="variable"/>
    <w:sig w:usb0="00000287" w:usb1="00000000" w:usb2="00000000" w:usb3="00000000" w:csb0="0000009F" w:csb1="00000000"/>
  </w:font>
  <w:font w:name="Palatino">
    <w:altName w:val="Book Antiqua"/>
    <w:panose1 w:val="00000000000000000000"/>
    <w:charset w:val="4D"/>
    <w:family w:val="auto"/>
    <w:notTrueType/>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147E6" w:rsidRDefault="003147E6" w:rsidP="003147E6">
      <w:r>
        <w:separator/>
      </w:r>
    </w:p>
  </w:footnote>
  <w:footnote w:type="continuationSeparator" w:id="0">
    <w:p w:rsidR="003147E6" w:rsidRDefault="003147E6" w:rsidP="003147E6">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proofState w:spelling="clean" w:grammar="clean"/>
  <w:defaultTabStop w:val="720"/>
  <w:drawingGridHorizontalSpacing w:val="120"/>
  <w:displayHorizontalDrawingGridEvery w:val="0"/>
  <w:displayVerticalDrawingGridEvery w:val="2"/>
  <w:characterSpacingControl w:val="doNotCompress"/>
  <w:footnotePr>
    <w:footnote w:id="-1"/>
    <w:footnote w:id="0"/>
  </w:footnotePr>
  <w:endnotePr>
    <w:endnote w:id="-1"/>
    <w:endnote w:id="0"/>
  </w:endnotePr>
  <w:compat/>
  <w:rsids>
    <w:rsidRoot w:val="003147E6"/>
    <w:rsid w:val="00016F2D"/>
    <w:rsid w:val="000465E2"/>
    <w:rsid w:val="00065F58"/>
    <w:rsid w:val="000C1441"/>
    <w:rsid w:val="00104A16"/>
    <w:rsid w:val="003147E6"/>
    <w:rsid w:val="00377A93"/>
    <w:rsid w:val="007131C4"/>
    <w:rsid w:val="008156BF"/>
    <w:rsid w:val="008A66CB"/>
    <w:rsid w:val="00B37880"/>
    <w:rsid w:val="00CA165F"/>
    <w:rsid w:val="00CC3D6E"/>
    <w:rsid w:val="00DC63E2"/>
    <w:rsid w:val="00E56066"/>
    <w:rsid w:val="00EC7C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47E6"/>
    <w:rPr>
      <w:rFonts w:ascii="Times New Roman" w:eastAsia="Times New Roman" w:hAnsi="Times New Roman" w:cs="Times New Roman"/>
      <w:sz w:val="24"/>
      <w:szCs w:val="24"/>
    </w:rPr>
  </w:style>
  <w:style w:type="paragraph" w:styleId="Heading1">
    <w:name w:val="heading 1"/>
    <w:basedOn w:val="Normal"/>
    <w:next w:val="Normal"/>
    <w:link w:val="Heading1Char"/>
    <w:qFormat/>
    <w:rsid w:val="003147E6"/>
    <w:pPr>
      <w:keepNext/>
      <w:spacing w:line="360" w:lineRule="auto"/>
      <w:ind w:right="-7"/>
      <w:outlineLvl w:val="0"/>
    </w:pPr>
    <w:rPr>
      <w:rFonts w:ascii="Garamond" w:hAnsi="Garamond"/>
      <w:b/>
      <w:iCs/>
      <w:smallCaps/>
      <w:sz w:val="20"/>
      <w:szCs w:val="20"/>
    </w:rPr>
  </w:style>
  <w:style w:type="paragraph" w:styleId="Heading3">
    <w:name w:val="heading 3"/>
    <w:basedOn w:val="Normal"/>
    <w:next w:val="Normal"/>
    <w:link w:val="Heading3Char"/>
    <w:qFormat/>
    <w:rsid w:val="003147E6"/>
    <w:pPr>
      <w:keepNext/>
      <w:jc w:val="both"/>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147E6"/>
    <w:rPr>
      <w:rFonts w:ascii="Garamond" w:eastAsia="Times New Roman" w:hAnsi="Garamond" w:cs="Times New Roman"/>
      <w:b/>
      <w:iCs/>
      <w:smallCaps/>
      <w:sz w:val="20"/>
      <w:szCs w:val="20"/>
    </w:rPr>
  </w:style>
  <w:style w:type="character" w:customStyle="1" w:styleId="Heading3Char">
    <w:name w:val="Heading 3 Char"/>
    <w:basedOn w:val="DefaultParagraphFont"/>
    <w:link w:val="Heading3"/>
    <w:rsid w:val="003147E6"/>
    <w:rPr>
      <w:rFonts w:ascii="Times New Roman" w:eastAsia="Times New Roman" w:hAnsi="Times New Roman" w:cs="Times New Roman"/>
      <w:b/>
      <w:bCs/>
      <w:sz w:val="24"/>
      <w:szCs w:val="24"/>
    </w:rPr>
  </w:style>
  <w:style w:type="paragraph" w:styleId="FootnoteText">
    <w:name w:val="footnote text"/>
    <w:basedOn w:val="Normal"/>
    <w:link w:val="FootnoteTextChar"/>
    <w:semiHidden/>
    <w:rsid w:val="003147E6"/>
    <w:rPr>
      <w:sz w:val="20"/>
      <w:szCs w:val="20"/>
    </w:rPr>
  </w:style>
  <w:style w:type="character" w:customStyle="1" w:styleId="FootnoteTextChar">
    <w:name w:val="Footnote Text Char"/>
    <w:basedOn w:val="DefaultParagraphFont"/>
    <w:link w:val="FootnoteText"/>
    <w:semiHidden/>
    <w:rsid w:val="003147E6"/>
    <w:rPr>
      <w:rFonts w:ascii="Times New Roman" w:eastAsia="Times New Roman" w:hAnsi="Times New Roman" w:cs="Times New Roman"/>
      <w:sz w:val="20"/>
      <w:szCs w:val="20"/>
    </w:rPr>
  </w:style>
  <w:style w:type="character" w:styleId="FootnoteReference">
    <w:name w:val="footnote reference"/>
    <w:basedOn w:val="DefaultParagraphFont"/>
    <w:semiHidden/>
    <w:rsid w:val="003147E6"/>
    <w:rPr>
      <w:vertAlign w:val="superscript"/>
    </w:rPr>
  </w:style>
  <w:style w:type="paragraph" w:customStyle="1" w:styleId="Normal1">
    <w:name w:val="Normal1"/>
    <w:basedOn w:val="Normal"/>
    <w:rsid w:val="003147E6"/>
    <w:rPr>
      <w:rFonts w:ascii="Palatino" w:hAnsi="Palatino"/>
      <w:szCs w:val="20"/>
      <w:lang w:val="en-US"/>
    </w:rPr>
  </w:style>
  <w:style w:type="character" w:styleId="Emphasis">
    <w:name w:val="Emphasis"/>
    <w:basedOn w:val="DefaultParagraphFont"/>
    <w:qFormat/>
    <w:rsid w:val="003147E6"/>
    <w:rPr>
      <w:i/>
      <w:iCs/>
    </w:rPr>
  </w:style>
  <w:style w:type="character" w:styleId="Hyperlink">
    <w:name w:val="Hyperlink"/>
    <w:basedOn w:val="DefaultParagraphFont"/>
    <w:uiPriority w:val="99"/>
    <w:unhideWhenUsed/>
    <w:rsid w:val="000465E2"/>
    <w:rPr>
      <w:color w:val="0000FF" w:themeColor="hyperlink"/>
      <w:u w:val="single"/>
    </w:rPr>
  </w:style>
  <w:style w:type="paragraph" w:customStyle="1" w:styleId="Default">
    <w:name w:val="Default"/>
    <w:rsid w:val="000465E2"/>
    <w:pPr>
      <w:autoSpaceDE w:val="0"/>
      <w:autoSpaceDN w:val="0"/>
      <w:adjustRightInd w:val="0"/>
    </w:pPr>
    <w:rPr>
      <w:rFonts w:ascii="Garamond" w:hAnsi="Garamond" w:cs="Garamond"/>
      <w:color w:val="000000"/>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heroicage.org/issues/10/green.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un.ca/mst/heroicage/issues/1/hati.ht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2519</Words>
  <Characters>14363</Characters>
  <Application>Microsoft Office Word</Application>
  <DocSecurity>0</DocSecurity>
  <Lines>119</Lines>
  <Paragraphs>33</Paragraphs>
  <ScaleCrop>false</ScaleCrop>
  <Company/>
  <LinksUpToDate>false</LinksUpToDate>
  <CharactersWithSpaces>16849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Wooding</dc:creator>
  <cp:lastModifiedBy>Jonathan Wooding</cp:lastModifiedBy>
  <cp:revision>4</cp:revision>
  <cp:lastPrinted>2012-11-28T10:59:00Z</cp:lastPrinted>
  <dcterms:created xsi:type="dcterms:W3CDTF">2012-10-23T15:24:00Z</dcterms:created>
  <dcterms:modified xsi:type="dcterms:W3CDTF">2012-11-28T11:44:00Z</dcterms:modified>
</cp:coreProperties>
</file>