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1493649" cy="563929"/>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93649" cy="56392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jc w:val="center"/>
        <w:rPr>
          <w:b w:val="1"/>
          <w:sz w:val="40"/>
          <w:szCs w:val="40"/>
        </w:rPr>
      </w:pPr>
      <w:r w:rsidDel="00000000" w:rsidR="00000000" w:rsidRPr="00000000">
        <w:rPr>
          <w:b w:val="1"/>
          <w:sz w:val="40"/>
          <w:szCs w:val="40"/>
          <w:rtl w:val="0"/>
        </w:rPr>
        <w:t xml:space="preserve">BA Business Management</w:t>
      </w:r>
    </w:p>
    <w:p w:rsidR="00000000" w:rsidDel="00000000" w:rsidP="00000000" w:rsidRDefault="00000000" w:rsidRPr="00000000" w14:paraId="00000006">
      <w:pPr>
        <w:jc w:val="center"/>
        <w:rPr>
          <w:b w:val="1"/>
          <w:sz w:val="40"/>
          <w:szCs w:val="40"/>
        </w:rPr>
      </w:pPr>
      <w:r w:rsidDel="00000000" w:rsidR="00000000" w:rsidRPr="00000000">
        <w:rPr>
          <w:b w:val="1"/>
          <w:sz w:val="40"/>
          <w:szCs w:val="40"/>
          <w:rtl w:val="0"/>
        </w:rPr>
        <w:t xml:space="preserve">Component 1: Written Report</w:t>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rPr>
          <w:rtl w:val="0"/>
        </w:rPr>
      </w:r>
    </w:p>
    <w:p w:rsidR="00000000" w:rsidDel="00000000" w:rsidP="00000000" w:rsidRDefault="00000000" w:rsidRPr="00000000" w14:paraId="00000009">
      <w:pPr>
        <w:jc w:val="center"/>
        <w:rPr>
          <w:sz w:val="36"/>
          <w:szCs w:val="36"/>
        </w:rPr>
      </w:pPr>
      <w:r w:rsidDel="00000000" w:rsidR="00000000" w:rsidRPr="00000000">
        <w:rPr>
          <w:rtl w:val="0"/>
        </w:rPr>
      </w:r>
    </w:p>
    <w:p w:rsidR="00000000" w:rsidDel="00000000" w:rsidP="00000000" w:rsidRDefault="00000000" w:rsidRPr="00000000" w14:paraId="0000000A">
      <w:pPr>
        <w:jc w:val="left"/>
        <w:rPr>
          <w:b w:val="1"/>
          <w:sz w:val="28"/>
          <w:szCs w:val="28"/>
        </w:rPr>
      </w:pPr>
      <w:r w:rsidDel="00000000" w:rsidR="00000000" w:rsidRPr="00000000">
        <w:rPr>
          <w:b w:val="1"/>
          <w:sz w:val="28"/>
          <w:szCs w:val="28"/>
          <w:rtl w:val="0"/>
        </w:rPr>
        <w:t xml:space="preserve">Module: Entrepreneurship LCBB5001 </w:t>
      </w:r>
    </w:p>
    <w:p w:rsidR="00000000" w:rsidDel="00000000" w:rsidP="00000000" w:rsidRDefault="00000000" w:rsidRPr="00000000" w14:paraId="0000000B">
      <w:pPr>
        <w:jc w:val="left"/>
        <w:rPr>
          <w:b w:val="1"/>
          <w:sz w:val="28"/>
          <w:szCs w:val="28"/>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673" w:before="0" w:line="240" w:lineRule="auto"/>
        <w:ind w:left="0" w:right="0" w:firstLine="0"/>
        <w:jc w:val="left"/>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Name: Elena Mihaela Bucur</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673" w:before="0" w:line="240" w:lineRule="auto"/>
        <w:ind w:left="0" w:right="0" w:firstLine="0"/>
        <w:jc w:val="left"/>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Student Number: 2133670</w:t>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b w:val="1"/>
          <w:sz w:val="28"/>
          <w:szCs w:val="28"/>
          <w:rtl w:val="0"/>
        </w:rPr>
        <w:t xml:space="preserve">Lecturer: Nishi Ramsurrun</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Description</w:t>
            </w:r>
          </w:hyperlink>
          <w:hyperlink w:anchor="_gjdgxs">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 or Service Description</w:t>
            </w:r>
          </w:hyperlink>
          <w:hyperlink w:anchor="_30j0zll">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Mission Statement</w:t>
            </w:r>
          </w:hyperlink>
          <w:hyperlink w:anchor="_1fob9te">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Intellectual Property Considerations</w:t>
            </w:r>
          </w:hyperlink>
          <w:hyperlink w:anchor="_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Ownership Structure and Legal Considerations</w:t>
            </w:r>
          </w:hyperlink>
          <w:hyperlink w:anchor="_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Industry Overview</w:t>
            </w:r>
          </w:hyperlink>
          <w:hyperlink w:anchor="_tyjcwt">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VRIO Analysis</w:t>
            </w:r>
          </w:hyperlink>
          <w:hyperlink w:anchor="_3dy6vkm">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w:t>
            </w:r>
          </w:hyperlink>
          <w:hyperlink w:anchor="_1t3h5sf">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Operations and Management Team Plan</w:t>
            </w:r>
          </w:hyperlink>
          <w:hyperlink w:anchor="_4d34og8">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Process Overview</w:t>
            </w:r>
          </w:hyperlink>
          <w:hyperlink w:anchor="_2s8eyo1">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Revenue Generation and Loss Prevention</w:t>
            </w:r>
          </w:hyperlink>
          <w:hyperlink w:anchor="_17dp8vu">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Team Profiles</w:t>
            </w:r>
          </w:hyperlink>
          <w:hyperlink w:anchor="_3rdcrjn">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Plan and Strategy</w:t>
            </w:r>
          </w:hyperlink>
          <w:hyperlink w:anchor="_26in1rg">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Strategy</w:t>
            </w:r>
          </w:hyperlink>
          <w:hyperlink w:anchor="_lnxbz9">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w:t>
            </w:r>
          </w:hyperlink>
          <w:hyperlink w:anchor="_35nkun2">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Plan</w:t>
            </w:r>
          </w:hyperlink>
          <w:hyperlink w:anchor="_1ksv4uv">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and Uses of Funds</w:t>
            </w:r>
          </w:hyperlink>
          <w:hyperlink w:anchor="_44sinio">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Types of Financing</w:t>
            </w:r>
          </w:hyperlink>
          <w:hyperlink w:anchor="_2jxsxqh">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Six-Month Cash Budget Forecast</w:t>
            </w:r>
          </w:hyperlink>
          <w:hyperlink w:anchor="_z337ya">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Closing Summary</w:t>
            </w:r>
          </w:hyperlink>
          <w:hyperlink w:anchor="_3j2qqm3">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r>
          </w:hyperlink>
          <w:hyperlink w:anchor="_1y810tw">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jc w:val="left"/>
        <w:rPr>
          <w:rFonts w:ascii="Times New Roman" w:cs="Times New Roman" w:eastAsia="Times New Roman" w:hAnsi="Times New Roman"/>
          <w:b w:val="1"/>
        </w:rPr>
        <w:sectPr>
          <w:footerReference r:id="rId7" w:type="default"/>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Business Description</w:t>
      </w:r>
    </w:p>
    <w:p w:rsidR="00000000" w:rsidDel="00000000" w:rsidP="00000000" w:rsidRDefault="00000000" w:rsidRPr="00000000" w14:paraId="00000028">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w:t>
      </w:r>
      <w:r w:rsidDel="00000000" w:rsidR="00000000" w:rsidRPr="00000000">
        <w:rPr>
          <w:rFonts w:ascii="Times New Roman" w:cs="Times New Roman" w:eastAsia="Times New Roman" w:hAnsi="Times New Roman"/>
          <w:b w:val="1"/>
          <w:rtl w:val="0"/>
        </w:rPr>
        <w:t xml:space="preserve">Solstice Smartwear</w:t>
      </w:r>
      <w:r w:rsidDel="00000000" w:rsidR="00000000" w:rsidRPr="00000000">
        <w:rPr>
          <w:rFonts w:ascii="Times New Roman" w:cs="Times New Roman" w:eastAsia="Times New Roman" w:hAnsi="Times New Roman"/>
          <w:rtl w:val="0"/>
        </w:rPr>
        <w:t xml:space="preserve"> foresees a future in the field of wearable technology in which innovation and sustainability will be intertwined entirely and seamlessly.</w:t>
      </w:r>
    </w:p>
    <w:p w:rsidR="00000000" w:rsidDel="00000000" w:rsidP="00000000" w:rsidRDefault="00000000" w:rsidRPr="00000000" w14:paraId="00000029">
      <w:pPr>
        <w:pStyle w:val="Heading2"/>
        <w:rPr>
          <w:rFonts w:ascii="Times New Roman" w:cs="Times New Roman" w:eastAsia="Times New Roman" w:hAnsi="Times New Roman"/>
          <w:sz w:val="24"/>
          <w:szCs w:val="24"/>
        </w:rPr>
      </w:pPr>
      <w:bookmarkStart w:colFirst="0" w:colLast="0" w:name="_30j0zll" w:id="1"/>
      <w:bookmarkEnd w:id="1"/>
      <w:r w:rsidDel="00000000" w:rsidR="00000000" w:rsidRPr="00000000">
        <w:rPr>
          <w:rFonts w:ascii="Times New Roman" w:cs="Times New Roman" w:eastAsia="Times New Roman" w:hAnsi="Times New Roman"/>
          <w:sz w:val="24"/>
          <w:szCs w:val="24"/>
          <w:rtl w:val="0"/>
        </w:rPr>
        <w:t xml:space="preserve">Product or Service Description</w:t>
      </w:r>
    </w:p>
    <w:p w:rsidR="00000000" w:rsidDel="00000000" w:rsidP="00000000" w:rsidRDefault="00000000" w:rsidRPr="00000000" w14:paraId="0000002A">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solar-powered smartwatches of Solstice Smartwear are at the forefront of their product line and represent the perfect synthesis of cutting-edge technology and environmentally responsible design. These smartwatches have extensive features for tracking fitness and health and sensors for health monitoring and seamless communication. The revolutionary incorporation of solar charging technology inside the watch face sets them apart from similar products (Chowdhury et al., 2023). These wearables use solar energy to lengthen the battery life, reducing their dependency on conventional charging methods. In the field of wearables, this innovation signifies a revolution in the paradigm, bringing together usefulness and sustainability.</w:t>
      </w:r>
    </w:p>
    <w:p w:rsidR="00000000" w:rsidDel="00000000" w:rsidP="00000000" w:rsidRDefault="00000000" w:rsidRPr="00000000" w14:paraId="0000002B">
      <w:pPr>
        <w:pStyle w:val="Heading2"/>
        <w:rPr>
          <w:rFonts w:ascii="Times New Roman" w:cs="Times New Roman" w:eastAsia="Times New Roman" w:hAnsi="Times New Roman"/>
          <w:sz w:val="24"/>
          <w:szCs w:val="24"/>
        </w:rPr>
      </w:pPr>
      <w:bookmarkStart w:colFirst="0" w:colLast="0" w:name="_1fob9te" w:id="2"/>
      <w:bookmarkEnd w:id="2"/>
      <w:r w:rsidDel="00000000" w:rsidR="00000000" w:rsidRPr="00000000">
        <w:rPr>
          <w:rFonts w:ascii="Times New Roman" w:cs="Times New Roman" w:eastAsia="Times New Roman" w:hAnsi="Times New Roman"/>
          <w:sz w:val="24"/>
          <w:szCs w:val="24"/>
          <w:rtl w:val="0"/>
        </w:rPr>
        <w:t xml:space="preserve">Mission Statement</w:t>
      </w:r>
    </w:p>
    <w:p w:rsidR="00000000" w:rsidDel="00000000" w:rsidP="00000000" w:rsidRDefault="00000000" w:rsidRPr="00000000" w14:paraId="0000002C">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mission is to encourage environmentally responsible behaviour while providing people cutting-edge wearable technology to enhance their agency. The company's mission is to make the integration of technology progress into everyday life as smooth and natural as possible by providing goods that improve individual well-being and reduce environmental impact.</w:t>
      </w:r>
    </w:p>
    <w:p w:rsidR="00000000" w:rsidDel="00000000" w:rsidP="00000000" w:rsidRDefault="00000000" w:rsidRPr="00000000" w14:paraId="0000002D">
      <w:pPr>
        <w:pStyle w:val="Heading2"/>
        <w:rPr>
          <w:rFonts w:ascii="Times New Roman" w:cs="Times New Roman" w:eastAsia="Times New Roman" w:hAnsi="Times New Roman"/>
          <w:sz w:val="24"/>
          <w:szCs w:val="24"/>
        </w:rPr>
      </w:pPr>
      <w:bookmarkStart w:colFirst="0" w:colLast="0" w:name="_3znysh7" w:id="3"/>
      <w:bookmarkEnd w:id="3"/>
      <w:r w:rsidDel="00000000" w:rsidR="00000000" w:rsidRPr="00000000">
        <w:rPr>
          <w:rFonts w:ascii="Times New Roman" w:cs="Times New Roman" w:eastAsia="Times New Roman" w:hAnsi="Times New Roman"/>
          <w:sz w:val="24"/>
          <w:szCs w:val="24"/>
          <w:rtl w:val="0"/>
        </w:rPr>
        <w:t xml:space="preserve">Intellectual Property Considerations</w:t>
      </w:r>
    </w:p>
    <w:p w:rsidR="00000000" w:rsidDel="00000000" w:rsidP="00000000" w:rsidRDefault="00000000" w:rsidRPr="00000000" w14:paraId="0000002E">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company values intellectual property highly because it understands how critical it is to defend against losing its discoveries. They are aggressively seeking patent protection for the sophisticated integration process because they believe it to be a novel idea to include solar charging technology in smartwatches. They do so to distinguish themselves from competitors (Geels et al., 2020). The dedication to protecting intellectual property ensures the company's place in the market and defines it as a leader in developing environmentally friendly technologies within the wearables sector.</w:t>
      </w:r>
    </w:p>
    <w:p w:rsidR="00000000" w:rsidDel="00000000" w:rsidP="00000000" w:rsidRDefault="00000000" w:rsidRPr="00000000" w14:paraId="0000002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pStyle w:val="Heading2"/>
        <w:rPr>
          <w:rFonts w:ascii="Times New Roman" w:cs="Times New Roman" w:eastAsia="Times New Roman" w:hAnsi="Times New Roman"/>
          <w:sz w:val="24"/>
          <w:szCs w:val="24"/>
        </w:rPr>
      </w:pPr>
      <w:bookmarkStart w:colFirst="0" w:colLast="0" w:name="_2et92p0" w:id="4"/>
      <w:bookmarkEnd w:id="4"/>
      <w:r w:rsidDel="00000000" w:rsidR="00000000" w:rsidRPr="00000000">
        <w:rPr>
          <w:rFonts w:ascii="Times New Roman" w:cs="Times New Roman" w:eastAsia="Times New Roman" w:hAnsi="Times New Roman"/>
          <w:sz w:val="24"/>
          <w:szCs w:val="24"/>
          <w:rtl w:val="0"/>
        </w:rPr>
        <w:t xml:space="preserve">Ownership Structure and Legal Considerations</w:t>
      </w:r>
    </w:p>
    <w:p w:rsidR="00000000" w:rsidDel="00000000" w:rsidP="00000000" w:rsidRDefault="00000000" w:rsidRPr="00000000" w14:paraId="00000034">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company is structured to be resilient and expand and works as a corporation. This ensures that there is a clear separation of power and responsibility, which in turn enables effective decision-making. This organisational structure offers a solid basis for developing scalability and strategic collaborations. When it comes to matters of the law, the objective is to provide compliance with industry norms and regulations the highest priority, with a particular emphasis on preserving the natural environment and protecting consumer goods (Carmichael et al., 2021). Underscoring the dedication to ethical business practises within the wearable technology industry; the legal framework covers essential areas, such as adherence to environmental legislation, product safety requirements, and customer data protection.</w:t>
      </w:r>
    </w:p>
    <w:p w:rsidR="00000000" w:rsidDel="00000000" w:rsidP="00000000" w:rsidRDefault="00000000" w:rsidRPr="00000000" w14:paraId="00000035">
      <w:pPr>
        <w:pStyle w:val="Heading1"/>
        <w:rPr>
          <w:rFonts w:ascii="Times New Roman" w:cs="Times New Roman" w:eastAsia="Times New Roman" w:hAnsi="Times New Roman"/>
          <w:sz w:val="24"/>
          <w:szCs w:val="24"/>
        </w:rPr>
      </w:pPr>
      <w:bookmarkStart w:colFirst="0" w:colLast="0" w:name="_tyjcwt" w:id="5"/>
      <w:bookmarkEnd w:id="5"/>
      <w:r w:rsidDel="00000000" w:rsidR="00000000" w:rsidRPr="00000000">
        <w:rPr>
          <w:rFonts w:ascii="Times New Roman" w:cs="Times New Roman" w:eastAsia="Times New Roman" w:hAnsi="Times New Roman"/>
          <w:sz w:val="24"/>
          <w:szCs w:val="24"/>
          <w:rtl w:val="0"/>
        </w:rPr>
        <w:t xml:space="preserve">Industry Overview</w:t>
      </w:r>
    </w:p>
    <w:p w:rsidR="00000000" w:rsidDel="00000000" w:rsidP="00000000" w:rsidRDefault="00000000" w:rsidRPr="00000000" w14:paraId="0000003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wearable technology sector is characterised by significant growth and innovation, with a forecasted market size in the coming years. The industry's trajectory is marked by a steady growth rate accelerated by the increasing demand for intelligent accessories that seamlessly integrate technology into daily life (Tushar et al., 2020). Sales projections indicate a promising future, with consumers showing a strong interest in wearables that offer advanced functionalities and sustainability.</w:t>
      </w:r>
    </w:p>
    <w:p w:rsidR="00000000" w:rsidDel="00000000" w:rsidP="00000000" w:rsidRDefault="00000000" w:rsidRPr="00000000" w14:paraId="00000037">
      <w:pPr>
        <w:pStyle w:val="Heading2"/>
        <w:rPr>
          <w:rFonts w:ascii="Times New Roman" w:cs="Times New Roman" w:eastAsia="Times New Roman" w:hAnsi="Times New Roman"/>
          <w:sz w:val="24"/>
          <w:szCs w:val="24"/>
        </w:rPr>
      </w:pPr>
      <w:bookmarkStart w:colFirst="0" w:colLast="0" w:name="_3dy6vkm" w:id="6"/>
      <w:bookmarkEnd w:id="6"/>
      <w:r w:rsidDel="00000000" w:rsidR="00000000" w:rsidRPr="00000000">
        <w:rPr>
          <w:rFonts w:ascii="Times New Roman" w:cs="Times New Roman" w:eastAsia="Times New Roman" w:hAnsi="Times New Roman"/>
          <w:sz w:val="24"/>
          <w:szCs w:val="24"/>
          <w:rtl w:val="0"/>
        </w:rPr>
        <w:t xml:space="preserve">VRIO Analysis</w:t>
      </w:r>
    </w:p>
    <w:p w:rsidR="00000000" w:rsidDel="00000000" w:rsidP="00000000" w:rsidRDefault="00000000" w:rsidRPr="00000000" w14:paraId="00000038">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comprehensive VRIO analysis sheds light on the strategic positioning of the business within the wearable technology landscape. </w:t>
      </w:r>
    </w:p>
    <w:p w:rsidR="00000000" w:rsidDel="00000000" w:rsidP="00000000" w:rsidRDefault="00000000" w:rsidRPr="00000000" w14:paraId="00000039">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2718823" cy="2227876"/>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718823" cy="2227876"/>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VRIO Analysis</w:t>
        <w:br w:type="textWrapping"/>
        <w:t xml:space="preserve">Source: (Tushar et al., 2020).</w:t>
      </w:r>
    </w:p>
    <w:p w:rsidR="00000000" w:rsidDel="00000000" w:rsidP="00000000" w:rsidRDefault="00000000" w:rsidRPr="00000000" w14:paraId="0000003B">
      <w:pPr>
        <w:pStyle w:val="Heading2"/>
        <w:rPr>
          <w:rFonts w:ascii="Times New Roman" w:cs="Times New Roman" w:eastAsia="Times New Roman" w:hAnsi="Times New Roman"/>
          <w:sz w:val="24"/>
          <w:szCs w:val="24"/>
        </w:rPr>
      </w:pPr>
      <w:bookmarkStart w:colFirst="0" w:colLast="0" w:name="_1t3h5sf" w:id="7"/>
      <w:bookmarkEnd w:id="7"/>
      <w:r w:rsidDel="00000000" w:rsidR="00000000" w:rsidRPr="00000000">
        <w:rPr>
          <w:rFonts w:ascii="Times New Roman" w:cs="Times New Roman" w:eastAsia="Times New Roman" w:hAnsi="Times New Roman"/>
          <w:sz w:val="24"/>
          <w:szCs w:val="24"/>
          <w:rtl w:val="0"/>
        </w:rPr>
        <w:t xml:space="preserve">Porter's Five Forces</w:t>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Porter's Five Forces model offers insights into the wearable technology industry's dynamics. </w:t>
      </w:r>
    </w:p>
    <w:p w:rsidR="00000000" w:rsidDel="00000000" w:rsidP="00000000" w:rsidRDefault="00000000" w:rsidRPr="00000000" w14:paraId="0000003D">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Threat of New Entrants: </w:t>
      </w:r>
      <w:r w:rsidDel="00000000" w:rsidR="00000000" w:rsidRPr="00000000">
        <w:rPr>
          <w:rFonts w:ascii="Times New Roman" w:cs="Times New Roman" w:eastAsia="Times New Roman" w:hAnsi="Times New Roman"/>
          <w:rtl w:val="0"/>
        </w:rPr>
        <w:t xml:space="preserve">The risk is relatively low, but it will need competence in wearable technology and incorporating renewable energy sources to sustain in the long term.</w:t>
      </w:r>
    </w:p>
    <w:p w:rsidR="00000000" w:rsidDel="00000000" w:rsidP="00000000" w:rsidRDefault="00000000" w:rsidRPr="00000000" w14:paraId="0000003E">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Bargaining Power of Buyers:</w:t>
      </w:r>
      <w:r w:rsidDel="00000000" w:rsidR="00000000" w:rsidRPr="00000000">
        <w:rPr>
          <w:rFonts w:ascii="Times New Roman" w:cs="Times New Roman" w:eastAsia="Times New Roman" w:hAnsi="Times New Roman"/>
          <w:rtl w:val="0"/>
        </w:rPr>
        <w:t xml:space="preserve"> There is a moderate bargaining power for buyers, with customers looking for distinctive characteristics; solar-powered wearables satisfy this need.</w:t>
      </w:r>
    </w:p>
    <w:p w:rsidR="00000000" w:rsidDel="00000000" w:rsidP="00000000" w:rsidRDefault="00000000" w:rsidRPr="00000000" w14:paraId="0000003F">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Threat of Substitutes:</w:t>
      </w:r>
      <w:r w:rsidDel="00000000" w:rsidR="00000000" w:rsidRPr="00000000">
        <w:rPr>
          <w:rFonts w:ascii="Times New Roman" w:cs="Times New Roman" w:eastAsia="Times New Roman" w:hAnsi="Times New Roman"/>
          <w:rtl w:val="0"/>
        </w:rPr>
        <w:t xml:space="preserve"> Because solar-powered wearables have a unique appearance and are difficult to copy, the likelihood of this happening is low (Goulding and Rahimian, 2019).</w:t>
      </w:r>
    </w:p>
    <w:p w:rsidR="00000000" w:rsidDel="00000000" w:rsidP="00000000" w:rsidRDefault="00000000" w:rsidRPr="00000000" w14:paraId="00000040">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 Bargaining Power of Suppliers:</w:t>
      </w:r>
      <w:r w:rsidDel="00000000" w:rsidR="00000000" w:rsidRPr="00000000">
        <w:rPr>
          <w:rFonts w:ascii="Times New Roman" w:cs="Times New Roman" w:eastAsia="Times New Roman" w:hAnsi="Times New Roman"/>
          <w:rtl w:val="0"/>
        </w:rPr>
        <w:t xml:space="preserve"> The cost is manageable because of long-standing partnerships with companies that manufacture solar technology components. </w:t>
      </w:r>
    </w:p>
    <w:tbl>
      <w:tblPr>
        <w:tblStyle w:val="Table1"/>
        <w:tblW w:w="7060.999999999999"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82"/>
        <w:gridCol w:w="3379"/>
        <w:tblGridChange w:id="0">
          <w:tblGrid>
            <w:gridCol w:w="3682"/>
            <w:gridCol w:w="3379"/>
          </w:tblGrid>
        </w:tblGridChange>
      </w:tblGrid>
      <w:tr>
        <w:trPr>
          <w:cantSplit w:val="0"/>
          <w:trHeight w:val="428" w:hRule="atLeast"/>
          <w:tblHeader w:val="0"/>
        </w:trPr>
        <w:tc>
          <w:tcPr/>
          <w:p w:rsidR="00000000" w:rsidDel="00000000" w:rsidP="00000000" w:rsidRDefault="00000000" w:rsidRPr="00000000" w14:paraId="00000041">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Porter's Five Forces</w:t>
            </w:r>
          </w:p>
        </w:tc>
        <w:tc>
          <w:tcPr/>
          <w:p w:rsidR="00000000" w:rsidDel="00000000" w:rsidP="00000000" w:rsidRDefault="00000000" w:rsidRPr="00000000" w14:paraId="00000042">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Assessment</w:t>
            </w:r>
          </w:p>
        </w:tc>
      </w:tr>
      <w:tr>
        <w:trPr>
          <w:cantSplit w:val="0"/>
          <w:trHeight w:val="440" w:hRule="atLeast"/>
          <w:tblHeader w:val="0"/>
        </w:trPr>
        <w:tc>
          <w:tcPr/>
          <w:p w:rsidR="00000000" w:rsidDel="00000000" w:rsidP="00000000" w:rsidRDefault="00000000" w:rsidRPr="00000000" w14:paraId="0000004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Threat of New Entrants</w:t>
            </w:r>
          </w:p>
        </w:tc>
        <w:tc>
          <w:tcPr/>
          <w:p w:rsidR="00000000" w:rsidDel="00000000" w:rsidP="00000000" w:rsidRDefault="00000000" w:rsidRPr="00000000" w14:paraId="0000004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Moderate</w:t>
            </w:r>
          </w:p>
        </w:tc>
      </w:tr>
      <w:tr>
        <w:trPr>
          <w:cantSplit w:val="0"/>
          <w:trHeight w:val="428" w:hRule="atLeast"/>
          <w:tblHeader w:val="0"/>
        </w:trPr>
        <w:tc>
          <w:tcPr/>
          <w:p w:rsidR="00000000" w:rsidDel="00000000" w:rsidP="00000000" w:rsidRDefault="00000000" w:rsidRPr="00000000" w14:paraId="0000004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Bargaining Power of Buyers</w:t>
            </w:r>
          </w:p>
        </w:tc>
        <w:tc>
          <w:tcPr/>
          <w:p w:rsidR="00000000" w:rsidDel="00000000" w:rsidP="00000000" w:rsidRDefault="00000000" w:rsidRPr="00000000" w14:paraId="0000004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w:t>
            </w:r>
          </w:p>
        </w:tc>
      </w:tr>
      <w:tr>
        <w:trPr>
          <w:cantSplit w:val="0"/>
          <w:trHeight w:val="440" w:hRule="atLeast"/>
          <w:tblHeader w:val="0"/>
        </w:trPr>
        <w:tc>
          <w:tcPr/>
          <w:p w:rsidR="00000000" w:rsidDel="00000000" w:rsidP="00000000" w:rsidRDefault="00000000" w:rsidRPr="00000000" w14:paraId="0000004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Bargaining Power of Suppliers</w:t>
            </w:r>
          </w:p>
        </w:tc>
        <w:tc>
          <w:tcPr/>
          <w:p w:rsidR="00000000" w:rsidDel="00000000" w:rsidP="00000000" w:rsidRDefault="00000000" w:rsidRPr="00000000" w14:paraId="0000004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Moderate</w:t>
            </w:r>
          </w:p>
        </w:tc>
      </w:tr>
      <w:tr>
        <w:trPr>
          <w:cantSplit w:val="0"/>
          <w:trHeight w:val="428" w:hRule="atLeast"/>
          <w:tblHeader w:val="0"/>
        </w:trPr>
        <w:tc>
          <w:tcPr/>
          <w:p w:rsidR="00000000" w:rsidDel="00000000" w:rsidP="00000000" w:rsidRDefault="00000000" w:rsidRPr="00000000" w14:paraId="0000004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Threat of Substitutes</w:t>
            </w:r>
          </w:p>
        </w:tc>
        <w:tc>
          <w:tcPr/>
          <w:p w:rsidR="00000000" w:rsidDel="00000000" w:rsidP="00000000" w:rsidRDefault="00000000" w:rsidRPr="00000000" w14:paraId="0000004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Low</w:t>
            </w:r>
          </w:p>
        </w:tc>
      </w:tr>
      <w:tr>
        <w:trPr>
          <w:cantSplit w:val="0"/>
          <w:trHeight w:val="440" w:hRule="atLeast"/>
          <w:tblHeader w:val="0"/>
        </w:trPr>
        <w:tc>
          <w:tcPr/>
          <w:p w:rsidR="00000000" w:rsidDel="00000000" w:rsidP="00000000" w:rsidRDefault="00000000" w:rsidRPr="00000000" w14:paraId="0000004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Competitive Rivalry</w:t>
            </w:r>
          </w:p>
        </w:tc>
        <w:tc>
          <w:tcPr/>
          <w:p w:rsidR="00000000" w:rsidDel="00000000" w:rsidP="00000000" w:rsidRDefault="00000000" w:rsidRPr="00000000" w14:paraId="0000004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Moderate</w:t>
            </w:r>
          </w:p>
        </w:tc>
      </w:tr>
    </w:tbl>
    <w:p w:rsidR="00000000" w:rsidDel="00000000" w:rsidP="00000000" w:rsidRDefault="00000000" w:rsidRPr="00000000" w14:paraId="0000004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Competitive Rivalry:</w:t>
      </w:r>
      <w:r w:rsidDel="00000000" w:rsidR="00000000" w:rsidRPr="00000000">
        <w:rPr>
          <w:rFonts w:ascii="Times New Roman" w:cs="Times New Roman" w:eastAsia="Times New Roman" w:hAnsi="Times New Roman"/>
          <w:rtl w:val="0"/>
        </w:rPr>
        <w:t xml:space="preserve"> The level of competition is relatively low, with established firms concentrating their efforts on conventional wearables (Raybould et al., 2020). The solar-powered strategy, which emphasises prolonged battery life and less environmental effect, is one of the differentiating factors in the business.</w:t>
      </w:r>
    </w:p>
    <w:p w:rsidR="00000000" w:rsidDel="00000000" w:rsidP="00000000" w:rsidRDefault="00000000" w:rsidRPr="00000000" w14:paraId="0000004F">
      <w:pPr>
        <w:jc w:val="left"/>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rPr>
          <w:rFonts w:ascii="Times New Roman" w:cs="Times New Roman" w:eastAsia="Times New Roman" w:hAnsi="Times New Roman"/>
          <w:sz w:val="24"/>
          <w:szCs w:val="24"/>
        </w:rPr>
      </w:pPr>
      <w:bookmarkStart w:colFirst="0" w:colLast="0" w:name="_4d34og8" w:id="8"/>
      <w:bookmarkEnd w:id="8"/>
      <w:r w:rsidDel="00000000" w:rsidR="00000000" w:rsidRPr="00000000">
        <w:rPr>
          <w:rFonts w:ascii="Times New Roman" w:cs="Times New Roman" w:eastAsia="Times New Roman" w:hAnsi="Times New Roman"/>
          <w:sz w:val="24"/>
          <w:szCs w:val="24"/>
          <w:rtl w:val="0"/>
        </w:rPr>
        <w:t xml:space="preserve">Operations and Management Team Plan</w:t>
      </w:r>
    </w:p>
    <w:p w:rsidR="00000000" w:rsidDel="00000000" w:rsidP="00000000" w:rsidRDefault="00000000" w:rsidRPr="00000000" w14:paraId="00000051">
      <w:pPr>
        <w:pStyle w:val="Heading2"/>
        <w:rPr>
          <w:rFonts w:ascii="Times New Roman" w:cs="Times New Roman" w:eastAsia="Times New Roman" w:hAnsi="Times New Roman"/>
          <w:sz w:val="24"/>
          <w:szCs w:val="24"/>
        </w:rPr>
      </w:pPr>
      <w:bookmarkStart w:colFirst="0" w:colLast="0" w:name="_2s8eyo1" w:id="9"/>
      <w:bookmarkEnd w:id="9"/>
      <w:r w:rsidDel="00000000" w:rsidR="00000000" w:rsidRPr="00000000">
        <w:rPr>
          <w:rFonts w:ascii="Times New Roman" w:cs="Times New Roman" w:eastAsia="Times New Roman" w:hAnsi="Times New Roman"/>
          <w:sz w:val="24"/>
          <w:szCs w:val="24"/>
          <w:rtl w:val="0"/>
        </w:rPr>
        <w:t xml:space="preserve">Business Process Overview</w:t>
      </w:r>
    </w:p>
    <w:p w:rsidR="00000000" w:rsidDel="00000000" w:rsidP="00000000" w:rsidRDefault="00000000" w:rsidRPr="00000000" w14:paraId="00000052">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market context in the United Kingdom, doing business with solar-powered smartwatches requires a well-coordinated supply chain, innovative manufacturing techniques, and a reliable delivery system. The procedure starts with procuring high-quality solar technology components from reliable suppliers in the UK (Krauss et al., 2021). It then moves on to the precise manufacturing phase, during which the solar cells are incorporated into the watch face in an invisible way to the naked eye. Distribution via pre-existing channels is the last phase, which ensures that final customers in all parts of the UK get their orders promptly.</w:t>
      </w:r>
    </w:p>
    <w:p w:rsidR="00000000" w:rsidDel="00000000" w:rsidP="00000000" w:rsidRDefault="00000000" w:rsidRPr="00000000" w14:paraId="00000053">
      <w:pPr>
        <w:pStyle w:val="Heading2"/>
        <w:rPr>
          <w:rFonts w:ascii="Times New Roman" w:cs="Times New Roman" w:eastAsia="Times New Roman" w:hAnsi="Times New Roman"/>
          <w:sz w:val="24"/>
          <w:szCs w:val="24"/>
        </w:rPr>
      </w:pPr>
      <w:bookmarkStart w:colFirst="0" w:colLast="0" w:name="_17dp8vu" w:id="10"/>
      <w:bookmarkEnd w:id="10"/>
      <w:r w:rsidDel="00000000" w:rsidR="00000000" w:rsidRPr="00000000">
        <w:rPr>
          <w:rFonts w:ascii="Times New Roman" w:cs="Times New Roman" w:eastAsia="Times New Roman" w:hAnsi="Times New Roman"/>
          <w:sz w:val="24"/>
          <w:szCs w:val="24"/>
          <w:rtl w:val="0"/>
        </w:rPr>
        <w:t xml:space="preserve">Revenue Generation and Loss Prevention</w:t>
      </w:r>
    </w:p>
    <w:p w:rsidR="00000000" w:rsidDel="00000000" w:rsidP="00000000" w:rsidRDefault="00000000" w:rsidRPr="00000000" w14:paraId="00000054">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Product sales and related auxiliary services are included in the strategies for generating income in the UK market. Offering premium features or extras to a customer base known for its discrimination might result in the creation of upselling possibilities (Geels, 2019). Additional income streams may be created by implementing upgrade options that align with the most recent technical developments. During manufacturing, stringent quality control procedures are put into place to minimise revenue loss by reducing the number of faults and increasing the level of satisfaction experienced by customers.</w:t>
      </w:r>
    </w:p>
    <w:p w:rsidR="00000000" w:rsidDel="00000000" w:rsidP="00000000" w:rsidRDefault="00000000" w:rsidRPr="00000000" w14:paraId="00000055">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Upselling and creative marketing are at the core of the company's plan for increasing revenue. Upselling will entail giving clients premium features and complementing accessories that improve the functionality and visual appeal of the solar-powered smartwatches (Markard et al., 2020). The primary emphasis will be on delivering these premium features and accessories. Consumers are encouraged to consider and invest in higher-value alternatives by strategically offering these add-ons throughout the purchase process to increase the average transaction value (Mitchell et al., 2021). This encourages consumers to explore and spend in higher-value options. The solar-powered smartwatches will be positioned as distinctive and desired in the UK market thanks to the innovative marketing that will play a significant part in the process. The team will emphasise the sustainability features of wearables by emphasising the eco-friendly and revolutionary solar charging technology, which will be highlighted via creative marketing campaigns (Sun et al., 2021). Not only does this strategy set the product apart from the competition, but it also appeals to the rising awareness among consumers about their duty to the environment.</w:t>
      </w:r>
    </w:p>
    <w:p w:rsidR="00000000" w:rsidDel="00000000" w:rsidP="00000000" w:rsidRDefault="00000000" w:rsidRPr="00000000" w14:paraId="0000005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team seeks to tell a captivating story about the brand via targeted digital and conventional marketing channels, emphasising technology's complexity and beneficial influence on personal convenience and environmental sustainability. This innovative marketing method draws new customers and increases upselling potential as consumers become more engrossed in the solar-powered smartwatches' value proposition.</w:t>
      </w:r>
    </w:p>
    <w:p w:rsidR="00000000" w:rsidDel="00000000" w:rsidP="00000000" w:rsidRDefault="00000000" w:rsidRPr="00000000" w14:paraId="00000057">
      <w:pPr>
        <w:pStyle w:val="Heading2"/>
        <w:rPr>
          <w:rFonts w:ascii="Times New Roman" w:cs="Times New Roman" w:eastAsia="Times New Roman" w:hAnsi="Times New Roman"/>
          <w:sz w:val="24"/>
          <w:szCs w:val="24"/>
        </w:rPr>
      </w:pPr>
      <w:bookmarkStart w:colFirst="0" w:colLast="0" w:name="_3rdcrjn" w:id="11"/>
      <w:bookmarkEnd w:id="11"/>
      <w:r w:rsidDel="00000000" w:rsidR="00000000" w:rsidRPr="00000000">
        <w:rPr>
          <w:rFonts w:ascii="Times New Roman" w:cs="Times New Roman" w:eastAsia="Times New Roman" w:hAnsi="Times New Roman"/>
          <w:sz w:val="24"/>
          <w:szCs w:val="24"/>
          <w:rtl w:val="0"/>
        </w:rPr>
        <w:t xml:space="preserve">Management Team Profiles</w:t>
      </w:r>
    </w:p>
    <w:p w:rsidR="00000000" w:rsidDel="00000000" w:rsidP="00000000" w:rsidRDefault="00000000" w:rsidRPr="00000000" w14:paraId="00000058">
      <w:pPr>
        <w:ind w:firstLine="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management team profile of the working team for the venture is as follows. </w:t>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CEO and Founder</w:t>
      </w:r>
    </w:p>
    <w:p w:rsidR="00000000" w:rsidDel="00000000" w:rsidP="00000000" w:rsidRDefault="00000000" w:rsidRPr="00000000" w14:paraId="0000005A">
      <w:pPr>
        <w:ind w:firstLine="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company's Chief Executive Officer and Founder should have a Master of Business Administration degree (MBA) from a reputable educational institution. The company can lead the market in innovation by having prior experience working in the technology industry and having a track record of successfully guiding teams through various milestones.</w:t>
      </w:r>
    </w:p>
    <w:p w:rsidR="00000000" w:rsidDel="00000000" w:rsidP="00000000" w:rsidRDefault="00000000" w:rsidRPr="00000000" w14:paraId="0000005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CTO (Chief Technology Officer)</w:t>
      </w:r>
    </w:p>
    <w:p w:rsidR="00000000" w:rsidDel="00000000" w:rsidP="00000000" w:rsidRDefault="00000000" w:rsidRPr="00000000" w14:paraId="0000005C">
      <w:pPr>
        <w:ind w:firstLine="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Chief Technology Officer should have a Master of Science or Electrical Engineering degree from an accredited institution. S/He is expected to have a track record of success in creating technology, having previously contributed to the efforts of other groups.</w:t>
      </w:r>
    </w:p>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Head of Operations</w:t>
      </w:r>
    </w:p>
    <w:p w:rsidR="00000000" w:rsidDel="00000000" w:rsidP="00000000" w:rsidRDefault="00000000" w:rsidRPr="00000000" w14:paraId="0000005E">
      <w:pPr>
        <w:ind w:firstLine="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Bachelor's degree in Mechanical Engineering from a reputable institution is required for the position of Head of Operations. Priority will be given to those with a significant role in the optimisation of operations, as well as two years of expertise in the management of manufacturing and supply chains.</w:t>
      </w:r>
    </w:p>
    <w:p w:rsidR="00000000" w:rsidDel="00000000" w:rsidP="00000000" w:rsidRDefault="00000000" w:rsidRPr="00000000" w14:paraId="000000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Head of Marketing and Sales</w:t>
      </w:r>
    </w:p>
    <w:p w:rsidR="00000000" w:rsidDel="00000000" w:rsidP="00000000" w:rsidRDefault="00000000" w:rsidRPr="00000000" w14:paraId="00000060">
      <w:pPr>
        <w:ind w:firstLine="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person in charge of marketing and sales has to have a bachelor's degree from a reputable university in marketing. A preference will be given to those with experience directing successful campaigns for environmentally friendly product marketing.</w:t>
      </w:r>
    </w:p>
    <w:p w:rsidR="00000000" w:rsidDel="00000000" w:rsidP="00000000" w:rsidRDefault="00000000" w:rsidRPr="00000000" w14:paraId="0000006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4">
      <w:pPr>
        <w:pStyle w:val="Heading1"/>
        <w:rPr>
          <w:rFonts w:ascii="Times New Roman" w:cs="Times New Roman" w:eastAsia="Times New Roman" w:hAnsi="Times New Roman"/>
          <w:sz w:val="24"/>
          <w:szCs w:val="24"/>
        </w:rPr>
      </w:pPr>
      <w:bookmarkStart w:colFirst="0" w:colLast="0" w:name="_26in1rg" w:id="12"/>
      <w:bookmarkEnd w:id="12"/>
      <w:r w:rsidDel="00000000" w:rsidR="00000000" w:rsidRPr="00000000">
        <w:rPr>
          <w:rFonts w:ascii="Times New Roman" w:cs="Times New Roman" w:eastAsia="Times New Roman" w:hAnsi="Times New Roman"/>
          <w:sz w:val="24"/>
          <w:szCs w:val="24"/>
          <w:rtl w:val="0"/>
        </w:rPr>
        <w:t xml:space="preserve">Marketing Plan and Strategy</w:t>
      </w:r>
    </w:p>
    <w:p w:rsidR="00000000" w:rsidDel="00000000" w:rsidP="00000000" w:rsidRDefault="00000000" w:rsidRPr="00000000" w14:paraId="00000065">
      <w:pPr>
        <w:pStyle w:val="Heading2"/>
        <w:rPr>
          <w:rFonts w:ascii="Times New Roman" w:cs="Times New Roman" w:eastAsia="Times New Roman" w:hAnsi="Times New Roman"/>
          <w:sz w:val="24"/>
          <w:szCs w:val="24"/>
        </w:rPr>
      </w:pPr>
      <w:bookmarkStart w:colFirst="0" w:colLast="0" w:name="_lnxbz9" w:id="13"/>
      <w:bookmarkEnd w:id="13"/>
      <w:r w:rsidDel="00000000" w:rsidR="00000000" w:rsidRPr="00000000">
        <w:rPr>
          <w:rFonts w:ascii="Times New Roman" w:cs="Times New Roman" w:eastAsia="Times New Roman" w:hAnsi="Times New Roman"/>
          <w:sz w:val="24"/>
          <w:szCs w:val="24"/>
          <w:rtl w:val="0"/>
        </w:rPr>
        <w:t xml:space="preserve">Marketing Strategy</w:t>
      </w:r>
    </w:p>
    <w:p w:rsidR="00000000" w:rsidDel="00000000" w:rsidP="00000000" w:rsidRDefault="00000000" w:rsidRPr="00000000" w14:paraId="0000006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plan to sell solar-powered smartwatches in the UK market centres on establishing the brand as a frontrunner in environmentally friendly and forward-thinking wearables. This is the core of the marketing approach. The primary differentiating factors are the one-of-a-kind value proposition offered by solar charging technology and the general commitment to acting responsibly towards the environment (Furstenau et al., 2020). A unique brand image will be created by emphasising these features, appealing to customers who emphasise cutting-edge technology and environmentally responsible options.</w:t>
      </w:r>
    </w:p>
    <w:p w:rsidR="00000000" w:rsidDel="00000000" w:rsidP="00000000" w:rsidRDefault="00000000" w:rsidRPr="00000000" w14:paraId="00000067">
      <w:pPr>
        <w:pStyle w:val="Heading2"/>
        <w:rPr>
          <w:rFonts w:ascii="Times New Roman" w:cs="Times New Roman" w:eastAsia="Times New Roman" w:hAnsi="Times New Roman"/>
          <w:sz w:val="24"/>
          <w:szCs w:val="24"/>
        </w:rPr>
      </w:pPr>
      <w:bookmarkStart w:colFirst="0" w:colLast="0" w:name="_35nkun2" w:id="14"/>
      <w:bookmarkEnd w:id="14"/>
      <w:r w:rsidDel="00000000" w:rsidR="00000000" w:rsidRPr="00000000">
        <w:rPr>
          <w:rFonts w:ascii="Times New Roman" w:cs="Times New Roman" w:eastAsia="Times New Roman" w:hAnsi="Times New Roman"/>
          <w:sz w:val="24"/>
          <w:szCs w:val="24"/>
          <w:rtl w:val="0"/>
        </w:rPr>
        <w:t xml:space="preserve">Marketing Mix</w:t>
      </w:r>
    </w:p>
    <w:p w:rsidR="00000000" w:rsidDel="00000000" w:rsidP="00000000" w:rsidRDefault="00000000" w:rsidRPr="00000000" w14:paraId="00000068">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Product: </w:t>
      </w:r>
      <w:r w:rsidDel="00000000" w:rsidR="00000000" w:rsidRPr="00000000">
        <w:rPr>
          <w:rFonts w:ascii="Times New Roman" w:cs="Times New Roman" w:eastAsia="Times New Roman" w:hAnsi="Times New Roman"/>
          <w:rtl w:val="0"/>
        </w:rPr>
        <w:t xml:space="preserve">The product, which will be solar-powered smartwatches, will be positioned as a combination of high-end technology and environmentally friendly practices. The primary message will highlight characteristics such as increased battery life achieved via solar charging and new capabilities for health monitoring (Geels et al., 2020).</w:t>
      </w: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Price: </w:t>
      </w:r>
      <w:r w:rsidDel="00000000" w:rsidR="00000000" w:rsidRPr="00000000">
        <w:rPr>
          <w:rFonts w:ascii="Times New Roman" w:cs="Times New Roman" w:eastAsia="Times New Roman" w:hAnsi="Times New Roman"/>
          <w:rtl w:val="0"/>
        </w:rPr>
        <w:t xml:space="preserve">The pricing structure will be competitive and accurately represent the value of the technology and the commitment to sustainability (Tushar et al., 2020). Various customer categories will be accommodated via tiered pricing models, including the availability of alternatives for both regular models and premium editions that provide extra features.</w:t>
      </w:r>
    </w:p>
    <w:p w:rsidR="00000000" w:rsidDel="00000000" w:rsidP="00000000" w:rsidRDefault="00000000" w:rsidRPr="00000000" w14:paraId="0000006A">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Promotion:</w:t>
      </w:r>
      <w:r w:rsidDel="00000000" w:rsidR="00000000" w:rsidRPr="00000000">
        <w:rPr>
          <w:rFonts w:ascii="Times New Roman" w:cs="Times New Roman" w:eastAsia="Times New Roman" w:hAnsi="Times New Roman"/>
          <w:rtl w:val="0"/>
        </w:rPr>
        <w:t xml:space="preserve"> The promotional approach will concentrate on developing original marketing initiatives to raise consumer awareness of the brand. The team will showcase the one-of-a-kind qualities of the wearables by using internet platforms, social media, and more conventional means of advertising, emphasising the positive effects on the environment and the advanced technological capabilities of the products (Raybould et al., 2020).</w:t>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Place:</w:t>
      </w:r>
      <w:r w:rsidDel="00000000" w:rsidR="00000000" w:rsidRPr="00000000">
        <w:rPr>
          <w:rFonts w:ascii="Times New Roman" w:cs="Times New Roman" w:eastAsia="Times New Roman" w:hAnsi="Times New Roman"/>
          <w:rtl w:val="0"/>
        </w:rPr>
        <w:t xml:space="preserve"> Distribution methods are going to be broadened so that the product is readily available to many people. In addition to making sales online via an e-commerce platform, the focus will also be to build agreements with respectable retail shops located around the UK. This multi-channel strategy seeks to meet customers where they are, enabling quick access to solar-powered smartwatches. </w:t>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D">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By implementing this all-encompassing marketing plan and strategy, the team wants to solidify its market position as a dominant player in the UK market by clearly conveying the benefits of using solar-powered smartwatches. This will focus on strategically positioning the company, adopting a competitive pricing strategy, engaging in meaningful promotional activities, and establishing a solid distribution network. </w:t>
      </w:r>
    </w:p>
    <w:p w:rsidR="00000000" w:rsidDel="00000000" w:rsidP="00000000" w:rsidRDefault="00000000" w:rsidRPr="00000000" w14:paraId="0000006E">
      <w:pPr>
        <w:pStyle w:val="Heading1"/>
        <w:rPr>
          <w:rFonts w:ascii="Times New Roman" w:cs="Times New Roman" w:eastAsia="Times New Roman" w:hAnsi="Times New Roman"/>
          <w:sz w:val="24"/>
          <w:szCs w:val="24"/>
        </w:rPr>
      </w:pPr>
      <w:bookmarkStart w:colFirst="0" w:colLast="0" w:name="_1ksv4uv" w:id="15"/>
      <w:bookmarkEnd w:id="15"/>
      <w:r w:rsidDel="00000000" w:rsidR="00000000" w:rsidRPr="00000000">
        <w:rPr>
          <w:rFonts w:ascii="Times New Roman" w:cs="Times New Roman" w:eastAsia="Times New Roman" w:hAnsi="Times New Roman"/>
          <w:sz w:val="24"/>
          <w:szCs w:val="24"/>
          <w:rtl w:val="0"/>
        </w:rPr>
        <w:t xml:space="preserve">Financial Plan</w:t>
      </w:r>
    </w:p>
    <w:p w:rsidR="00000000" w:rsidDel="00000000" w:rsidP="00000000" w:rsidRDefault="00000000" w:rsidRPr="00000000" w14:paraId="0000006F">
      <w:pPr>
        <w:pStyle w:val="Heading2"/>
        <w:rPr>
          <w:rFonts w:ascii="Times New Roman" w:cs="Times New Roman" w:eastAsia="Times New Roman" w:hAnsi="Times New Roman"/>
          <w:sz w:val="24"/>
          <w:szCs w:val="24"/>
        </w:rPr>
      </w:pPr>
      <w:bookmarkStart w:colFirst="0" w:colLast="0" w:name="_44sinio" w:id="16"/>
      <w:bookmarkEnd w:id="16"/>
      <w:r w:rsidDel="00000000" w:rsidR="00000000" w:rsidRPr="00000000">
        <w:rPr>
          <w:rFonts w:ascii="Times New Roman" w:cs="Times New Roman" w:eastAsia="Times New Roman" w:hAnsi="Times New Roman"/>
          <w:sz w:val="24"/>
          <w:szCs w:val="24"/>
          <w:rtl w:val="0"/>
        </w:rPr>
        <w:t xml:space="preserve">Source and Uses of Funds</w:t>
      </w:r>
    </w:p>
    <w:p w:rsidR="00000000" w:rsidDel="00000000" w:rsidP="00000000" w:rsidRDefault="00000000" w:rsidRPr="00000000" w14:paraId="00000070">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predicted that a total capital of £1 Million would be required to start and maintain operations for the solar-powered smartwatches business in the UK. The cash will be obtained via various means, including direct stock investments, bank loans, and possible business partnerships. The distribution of money will cover a wide range of activities, including the creation of new products, the organisation of production, the execution of marketing campaigns, and the formation of solid distribution networks (Markard et al., 2020). A significant percentage will be allocated to research and development to guarantee continuous innovation that is in line with the market's requirements.</w:t>
      </w:r>
    </w:p>
    <w:p w:rsidR="00000000" w:rsidDel="00000000" w:rsidP="00000000" w:rsidRDefault="00000000" w:rsidRPr="00000000" w14:paraId="00000071">
      <w:pPr>
        <w:pStyle w:val="Heading2"/>
        <w:rPr>
          <w:rFonts w:ascii="Times New Roman" w:cs="Times New Roman" w:eastAsia="Times New Roman" w:hAnsi="Times New Roman"/>
          <w:sz w:val="24"/>
          <w:szCs w:val="24"/>
        </w:rPr>
      </w:pPr>
      <w:bookmarkStart w:colFirst="0" w:colLast="0" w:name="_2jxsxqh" w:id="17"/>
      <w:bookmarkEnd w:id="17"/>
      <w:r w:rsidDel="00000000" w:rsidR="00000000" w:rsidRPr="00000000">
        <w:rPr>
          <w:rFonts w:ascii="Times New Roman" w:cs="Times New Roman" w:eastAsia="Times New Roman" w:hAnsi="Times New Roman"/>
          <w:sz w:val="24"/>
          <w:szCs w:val="24"/>
          <w:rtl w:val="0"/>
        </w:rPr>
        <w:t xml:space="preserve">Types of Financing</w:t>
      </w:r>
    </w:p>
    <w:p w:rsidR="00000000" w:rsidDel="00000000" w:rsidP="00000000" w:rsidRDefault="00000000" w:rsidRPr="00000000" w14:paraId="00000072">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reviewing the many alternatives for financing, equity investment will boost the company's capital while ensuring that the investors' interests are aligned with the company's overall performance. In addition, obtaining a bank loan may give financial leverage with affordable interest rates, which can assist with operational and marketing costs (Furstenau et al., 2020). The investigation of prospective strategic alliances is also being contemplated to acquire extra finance and identify potential synergies that might expand market reach and improve brand exposure.</w:t>
      </w:r>
    </w:p>
    <w:p w:rsidR="00000000" w:rsidDel="00000000" w:rsidP="00000000" w:rsidRDefault="00000000" w:rsidRPr="00000000" w14:paraId="00000073">
      <w:pPr>
        <w:jc w:val="left"/>
        <w:rPr>
          <w:rFonts w:ascii="Times New Roman" w:cs="Times New Roman" w:eastAsia="Times New Roman" w:hAnsi="Times New Roman"/>
          <w:b w:val="1"/>
        </w:rPr>
      </w:pPr>
      <w:r w:rsidDel="00000000" w:rsidR="00000000" w:rsidRPr="00000000">
        <w:br w:type="page"/>
      </w:r>
      <w:r w:rsidDel="00000000" w:rsidR="00000000" w:rsidRPr="00000000">
        <w:rPr>
          <w:rtl w:val="0"/>
        </w:rPr>
      </w:r>
    </w:p>
    <w:p w:rsidR="00000000" w:rsidDel="00000000" w:rsidP="00000000" w:rsidRDefault="00000000" w:rsidRPr="00000000" w14:paraId="00000074">
      <w:pPr>
        <w:pStyle w:val="Heading2"/>
        <w:rPr>
          <w:rFonts w:ascii="Times New Roman" w:cs="Times New Roman" w:eastAsia="Times New Roman" w:hAnsi="Times New Roman"/>
          <w:sz w:val="24"/>
          <w:szCs w:val="24"/>
        </w:rPr>
      </w:pPr>
      <w:bookmarkStart w:colFirst="0" w:colLast="0" w:name="_z337ya" w:id="18"/>
      <w:bookmarkEnd w:id="18"/>
      <w:r w:rsidDel="00000000" w:rsidR="00000000" w:rsidRPr="00000000">
        <w:rPr>
          <w:rFonts w:ascii="Times New Roman" w:cs="Times New Roman" w:eastAsia="Times New Roman" w:hAnsi="Times New Roman"/>
          <w:sz w:val="24"/>
          <w:szCs w:val="24"/>
          <w:rtl w:val="0"/>
        </w:rPr>
        <w:t xml:space="preserve">Six-Month Cash Budget Forecast</w:t>
      </w:r>
    </w:p>
    <w:p w:rsidR="00000000" w:rsidDel="00000000" w:rsidP="00000000" w:rsidRDefault="00000000" w:rsidRPr="00000000" w14:paraId="00000075">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cash budget prediction for the next six months is intended to offer a thorough prognosis of cash inflows and outflows, taking into consideration revenue forecasts and operating expenditure projections, respectively. The projection implies that there will be a steady growth in revenue during the early months, and these projections are based on cautious estimations and the expected market traction (Skeete et al., 2020). It considers manufacturing costs, marketing charges, distribution costs, and the need for working capital. After six months, the aim is to achieve financial sustainability by ensuring a positive cash flow and advancing in that direction.</w:t>
      </w:r>
    </w:p>
    <w:tbl>
      <w:tblPr>
        <w:tblStyle w:val="Table2"/>
        <w:tblW w:w="93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0"/>
        <w:gridCol w:w="1200"/>
        <w:gridCol w:w="1119"/>
        <w:gridCol w:w="916"/>
        <w:gridCol w:w="1295"/>
        <w:gridCol w:w="1186"/>
        <w:gridCol w:w="1687"/>
        <w:gridCol w:w="1051"/>
        <w:tblGridChange w:id="0">
          <w:tblGrid>
            <w:gridCol w:w="930"/>
            <w:gridCol w:w="1200"/>
            <w:gridCol w:w="1119"/>
            <w:gridCol w:w="916"/>
            <w:gridCol w:w="1295"/>
            <w:gridCol w:w="1186"/>
            <w:gridCol w:w="1687"/>
            <w:gridCol w:w="1051"/>
          </w:tblGrid>
        </w:tblGridChange>
      </w:tblGrid>
      <w:tr>
        <w:trPr>
          <w:cantSplit w:val="0"/>
          <w:trHeight w:val="1198" w:hRule="atLeast"/>
          <w:tblHeader w:val="0"/>
        </w:trPr>
        <w:tc>
          <w:tcPr/>
          <w:p w:rsidR="00000000" w:rsidDel="00000000" w:rsidP="00000000" w:rsidRDefault="00000000" w:rsidRPr="00000000" w14:paraId="00000076">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Month</w:t>
            </w:r>
          </w:p>
        </w:tc>
        <w:tc>
          <w:tcPr/>
          <w:p w:rsidR="00000000" w:rsidDel="00000000" w:rsidP="00000000" w:rsidRDefault="00000000" w:rsidRPr="00000000" w14:paraId="00000077">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Opening Balance (£)</w:t>
            </w:r>
          </w:p>
        </w:tc>
        <w:tc>
          <w:tcPr/>
          <w:p w:rsidR="00000000" w:rsidDel="00000000" w:rsidP="00000000" w:rsidRDefault="00000000" w:rsidRPr="00000000" w14:paraId="00000078">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Sales Revenue (£)</w:t>
            </w:r>
          </w:p>
        </w:tc>
        <w:tc>
          <w:tcPr/>
          <w:p w:rsidR="00000000" w:rsidDel="00000000" w:rsidP="00000000" w:rsidRDefault="00000000" w:rsidRPr="00000000" w14:paraId="00000079">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COGS (£)</w:t>
            </w:r>
          </w:p>
        </w:tc>
        <w:tc>
          <w:tcPr/>
          <w:p w:rsidR="00000000" w:rsidDel="00000000" w:rsidP="00000000" w:rsidRDefault="00000000" w:rsidRPr="00000000" w14:paraId="0000007A">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Operating Expenses (£)</w:t>
            </w:r>
          </w:p>
        </w:tc>
        <w:tc>
          <w:tcPr/>
          <w:p w:rsidR="00000000" w:rsidDel="00000000" w:rsidP="00000000" w:rsidRDefault="00000000" w:rsidRPr="00000000" w14:paraId="0000007B">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R&amp;D Expenses (£)</w:t>
            </w:r>
          </w:p>
        </w:tc>
        <w:tc>
          <w:tcPr/>
          <w:p w:rsidR="00000000" w:rsidDel="00000000" w:rsidP="00000000" w:rsidRDefault="00000000" w:rsidRPr="00000000" w14:paraId="0000007C">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Miscellaneous Costs (£)</w:t>
            </w:r>
          </w:p>
        </w:tc>
        <w:tc>
          <w:tcPr/>
          <w:p w:rsidR="00000000" w:rsidDel="00000000" w:rsidP="00000000" w:rsidRDefault="00000000" w:rsidRPr="00000000" w14:paraId="0000007D">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Closing Balance (£)</w:t>
            </w:r>
          </w:p>
        </w:tc>
      </w:tr>
      <w:tr>
        <w:trPr>
          <w:cantSplit w:val="0"/>
          <w:trHeight w:val="594" w:hRule="atLeast"/>
          <w:tblHeader w:val="0"/>
        </w:trPr>
        <w:tc>
          <w:tcPr/>
          <w:p w:rsidR="00000000" w:rsidDel="00000000" w:rsidP="00000000" w:rsidRDefault="00000000" w:rsidRPr="00000000" w14:paraId="0000007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1</w:t>
            </w:r>
          </w:p>
        </w:tc>
        <w:tc>
          <w:tcPr/>
          <w:p w:rsidR="00000000" w:rsidDel="00000000" w:rsidP="00000000" w:rsidRDefault="00000000" w:rsidRPr="00000000" w14:paraId="0000007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1,000,000</w:t>
            </w:r>
          </w:p>
        </w:tc>
        <w:tc>
          <w:tcPr/>
          <w:p w:rsidR="00000000" w:rsidDel="00000000" w:rsidP="00000000" w:rsidRDefault="00000000" w:rsidRPr="00000000" w14:paraId="0000008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50,000</w:t>
            </w:r>
          </w:p>
        </w:tc>
        <w:tc>
          <w:tcPr/>
          <w:p w:rsidR="00000000" w:rsidDel="00000000" w:rsidP="00000000" w:rsidRDefault="00000000" w:rsidRPr="00000000" w14:paraId="0000008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20,000</w:t>
            </w:r>
          </w:p>
        </w:tc>
        <w:tc>
          <w:tcPr/>
          <w:p w:rsidR="00000000" w:rsidDel="00000000" w:rsidP="00000000" w:rsidRDefault="00000000" w:rsidRPr="00000000" w14:paraId="0000008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100,000</w:t>
            </w:r>
          </w:p>
        </w:tc>
        <w:tc>
          <w:tcPr/>
          <w:p w:rsidR="00000000" w:rsidDel="00000000" w:rsidP="00000000" w:rsidRDefault="00000000" w:rsidRPr="00000000" w14:paraId="0000008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80,000</w:t>
            </w:r>
          </w:p>
        </w:tc>
        <w:tc>
          <w:tcPr/>
          <w:p w:rsidR="00000000" w:rsidDel="00000000" w:rsidP="00000000" w:rsidRDefault="00000000" w:rsidRPr="00000000" w14:paraId="0000008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w:t>
            </w:r>
          </w:p>
        </w:tc>
        <w:tc>
          <w:tcPr/>
          <w:p w:rsidR="00000000" w:rsidDel="00000000" w:rsidP="00000000" w:rsidRDefault="00000000" w:rsidRPr="00000000" w14:paraId="0000008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840,000</w:t>
            </w:r>
          </w:p>
        </w:tc>
      </w:tr>
      <w:tr>
        <w:trPr>
          <w:cantSplit w:val="0"/>
          <w:trHeight w:val="603" w:hRule="atLeast"/>
          <w:tblHeader w:val="0"/>
        </w:trPr>
        <w:tc>
          <w:tcPr/>
          <w:p w:rsidR="00000000" w:rsidDel="00000000" w:rsidP="00000000" w:rsidRDefault="00000000" w:rsidRPr="00000000" w14:paraId="0000008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2</w:t>
            </w:r>
          </w:p>
        </w:tc>
        <w:tc>
          <w:tcPr/>
          <w:p w:rsidR="00000000" w:rsidDel="00000000" w:rsidP="00000000" w:rsidRDefault="00000000" w:rsidRPr="00000000" w14:paraId="0000008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840,000</w:t>
            </w:r>
          </w:p>
        </w:tc>
        <w:tc>
          <w:tcPr/>
          <w:p w:rsidR="00000000" w:rsidDel="00000000" w:rsidP="00000000" w:rsidRDefault="00000000" w:rsidRPr="00000000" w14:paraId="0000008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70,000</w:t>
            </w:r>
          </w:p>
        </w:tc>
        <w:tc>
          <w:tcPr/>
          <w:p w:rsidR="00000000" w:rsidDel="00000000" w:rsidP="00000000" w:rsidRDefault="00000000" w:rsidRPr="00000000" w14:paraId="0000008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28,000</w:t>
            </w:r>
          </w:p>
        </w:tc>
        <w:tc>
          <w:tcPr/>
          <w:p w:rsidR="00000000" w:rsidDel="00000000" w:rsidP="00000000" w:rsidRDefault="00000000" w:rsidRPr="00000000" w14:paraId="0000008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100,000</w:t>
            </w:r>
          </w:p>
        </w:tc>
        <w:tc>
          <w:tcPr/>
          <w:p w:rsidR="00000000" w:rsidDel="00000000" w:rsidP="00000000" w:rsidRDefault="00000000" w:rsidRPr="00000000" w14:paraId="0000008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60,000</w:t>
            </w:r>
          </w:p>
        </w:tc>
        <w:tc>
          <w:tcPr/>
          <w:p w:rsidR="00000000" w:rsidDel="00000000" w:rsidP="00000000" w:rsidRDefault="00000000" w:rsidRPr="00000000" w14:paraId="0000008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w:t>
            </w:r>
          </w:p>
        </w:tc>
        <w:tc>
          <w:tcPr/>
          <w:p w:rsidR="00000000" w:rsidDel="00000000" w:rsidP="00000000" w:rsidRDefault="00000000" w:rsidRPr="00000000" w14:paraId="0000008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712,000</w:t>
            </w:r>
          </w:p>
        </w:tc>
      </w:tr>
      <w:tr>
        <w:trPr>
          <w:cantSplit w:val="0"/>
          <w:trHeight w:val="594" w:hRule="atLeast"/>
          <w:tblHeader w:val="0"/>
        </w:trPr>
        <w:tc>
          <w:tcPr/>
          <w:p w:rsidR="00000000" w:rsidDel="00000000" w:rsidP="00000000" w:rsidRDefault="00000000" w:rsidRPr="00000000" w14:paraId="0000008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3</w:t>
            </w:r>
          </w:p>
        </w:tc>
        <w:tc>
          <w:tcPr/>
          <w:p w:rsidR="00000000" w:rsidDel="00000000" w:rsidP="00000000" w:rsidRDefault="00000000" w:rsidRPr="00000000" w14:paraId="0000008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712,000</w:t>
            </w:r>
          </w:p>
        </w:tc>
        <w:tc>
          <w:tcPr/>
          <w:p w:rsidR="00000000" w:rsidDel="00000000" w:rsidP="00000000" w:rsidRDefault="00000000" w:rsidRPr="00000000" w14:paraId="0000009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90,000</w:t>
            </w:r>
          </w:p>
        </w:tc>
        <w:tc>
          <w:tcPr/>
          <w:p w:rsidR="00000000" w:rsidDel="00000000" w:rsidP="00000000" w:rsidRDefault="00000000" w:rsidRPr="00000000" w14:paraId="0000009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36,000</w:t>
            </w:r>
          </w:p>
        </w:tc>
        <w:tc>
          <w:tcPr/>
          <w:p w:rsidR="00000000" w:rsidDel="00000000" w:rsidP="00000000" w:rsidRDefault="00000000" w:rsidRPr="00000000" w14:paraId="0000009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100,000</w:t>
            </w:r>
          </w:p>
        </w:tc>
        <w:tc>
          <w:tcPr/>
          <w:p w:rsidR="00000000" w:rsidDel="00000000" w:rsidP="00000000" w:rsidRDefault="00000000" w:rsidRPr="00000000" w14:paraId="0000009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40,000</w:t>
            </w:r>
          </w:p>
        </w:tc>
        <w:tc>
          <w:tcPr/>
          <w:p w:rsidR="00000000" w:rsidDel="00000000" w:rsidP="00000000" w:rsidRDefault="00000000" w:rsidRPr="00000000" w14:paraId="0000009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w:t>
            </w:r>
          </w:p>
        </w:tc>
        <w:tc>
          <w:tcPr/>
          <w:p w:rsidR="00000000" w:rsidDel="00000000" w:rsidP="00000000" w:rsidRDefault="00000000" w:rsidRPr="00000000" w14:paraId="0000009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616,000</w:t>
            </w:r>
          </w:p>
        </w:tc>
      </w:tr>
      <w:tr>
        <w:trPr>
          <w:cantSplit w:val="0"/>
          <w:trHeight w:val="603" w:hRule="atLeast"/>
          <w:tblHeader w:val="0"/>
        </w:trPr>
        <w:tc>
          <w:tcPr/>
          <w:p w:rsidR="00000000" w:rsidDel="00000000" w:rsidP="00000000" w:rsidRDefault="00000000" w:rsidRPr="00000000" w14:paraId="0000009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4</w:t>
            </w:r>
          </w:p>
        </w:tc>
        <w:tc>
          <w:tcPr/>
          <w:p w:rsidR="00000000" w:rsidDel="00000000" w:rsidP="00000000" w:rsidRDefault="00000000" w:rsidRPr="00000000" w14:paraId="0000009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616,000</w:t>
            </w:r>
          </w:p>
        </w:tc>
        <w:tc>
          <w:tcPr/>
          <w:p w:rsidR="00000000" w:rsidDel="00000000" w:rsidP="00000000" w:rsidRDefault="00000000" w:rsidRPr="00000000" w14:paraId="0000009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110,000</w:t>
            </w:r>
          </w:p>
        </w:tc>
        <w:tc>
          <w:tcPr/>
          <w:p w:rsidR="00000000" w:rsidDel="00000000" w:rsidP="00000000" w:rsidRDefault="00000000" w:rsidRPr="00000000" w14:paraId="0000009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44,000</w:t>
            </w:r>
          </w:p>
        </w:tc>
        <w:tc>
          <w:tcPr/>
          <w:p w:rsidR="00000000" w:rsidDel="00000000" w:rsidP="00000000" w:rsidRDefault="00000000" w:rsidRPr="00000000" w14:paraId="0000009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100,000</w:t>
            </w:r>
          </w:p>
        </w:tc>
        <w:tc>
          <w:tcPr/>
          <w:p w:rsidR="00000000" w:rsidDel="00000000" w:rsidP="00000000" w:rsidRDefault="00000000" w:rsidRPr="00000000" w14:paraId="0000009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30,000</w:t>
            </w:r>
          </w:p>
        </w:tc>
        <w:tc>
          <w:tcPr/>
          <w:p w:rsidR="00000000" w:rsidDel="00000000" w:rsidP="00000000" w:rsidRDefault="00000000" w:rsidRPr="00000000" w14:paraId="0000009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w:t>
            </w:r>
          </w:p>
        </w:tc>
        <w:tc>
          <w:tcPr/>
          <w:p w:rsidR="00000000" w:rsidDel="00000000" w:rsidP="00000000" w:rsidRDefault="00000000" w:rsidRPr="00000000" w14:paraId="0000009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542,000</w:t>
            </w:r>
          </w:p>
        </w:tc>
      </w:tr>
      <w:tr>
        <w:trPr>
          <w:cantSplit w:val="0"/>
          <w:trHeight w:val="594" w:hRule="atLeast"/>
          <w:tblHeader w:val="0"/>
        </w:trPr>
        <w:tc>
          <w:tcPr/>
          <w:p w:rsidR="00000000" w:rsidDel="00000000" w:rsidP="00000000" w:rsidRDefault="00000000" w:rsidRPr="00000000" w14:paraId="0000009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5</w:t>
            </w:r>
          </w:p>
        </w:tc>
        <w:tc>
          <w:tcPr/>
          <w:p w:rsidR="00000000" w:rsidDel="00000000" w:rsidP="00000000" w:rsidRDefault="00000000" w:rsidRPr="00000000" w14:paraId="0000009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542,000</w:t>
            </w:r>
          </w:p>
        </w:tc>
        <w:tc>
          <w:tcPr/>
          <w:p w:rsidR="00000000" w:rsidDel="00000000" w:rsidP="00000000" w:rsidRDefault="00000000" w:rsidRPr="00000000" w14:paraId="000000A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130,000</w:t>
            </w:r>
          </w:p>
        </w:tc>
        <w:tc>
          <w:tcPr/>
          <w:p w:rsidR="00000000" w:rsidDel="00000000" w:rsidP="00000000" w:rsidRDefault="00000000" w:rsidRPr="00000000" w14:paraId="000000A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52,000</w:t>
            </w:r>
          </w:p>
        </w:tc>
        <w:tc>
          <w:tcPr/>
          <w:p w:rsidR="00000000" w:rsidDel="00000000" w:rsidP="00000000" w:rsidRDefault="00000000" w:rsidRPr="00000000" w14:paraId="000000A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100,000</w:t>
            </w:r>
          </w:p>
        </w:tc>
        <w:tc>
          <w:tcPr/>
          <w:p w:rsidR="00000000" w:rsidDel="00000000" w:rsidP="00000000" w:rsidRDefault="00000000" w:rsidRPr="00000000" w14:paraId="000000A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20,000</w:t>
            </w:r>
          </w:p>
        </w:tc>
        <w:tc>
          <w:tcPr/>
          <w:p w:rsidR="00000000" w:rsidDel="00000000" w:rsidP="00000000" w:rsidRDefault="00000000" w:rsidRPr="00000000" w14:paraId="000000A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w:t>
            </w:r>
          </w:p>
        </w:tc>
        <w:tc>
          <w:tcPr/>
          <w:p w:rsidR="00000000" w:rsidDel="00000000" w:rsidP="00000000" w:rsidRDefault="00000000" w:rsidRPr="00000000" w14:paraId="000000A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490,000</w:t>
            </w:r>
          </w:p>
        </w:tc>
      </w:tr>
      <w:tr>
        <w:trPr>
          <w:cantSplit w:val="0"/>
          <w:trHeight w:val="603" w:hRule="atLeast"/>
          <w:tblHeader w:val="0"/>
        </w:trPr>
        <w:tc>
          <w:tcPr/>
          <w:p w:rsidR="00000000" w:rsidDel="00000000" w:rsidP="00000000" w:rsidRDefault="00000000" w:rsidRPr="00000000" w14:paraId="000000A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6</w:t>
            </w:r>
          </w:p>
        </w:tc>
        <w:tc>
          <w:tcPr/>
          <w:p w:rsidR="00000000" w:rsidDel="00000000" w:rsidP="00000000" w:rsidRDefault="00000000" w:rsidRPr="00000000" w14:paraId="000000A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490,000</w:t>
            </w:r>
          </w:p>
        </w:tc>
        <w:tc>
          <w:tcPr/>
          <w:p w:rsidR="00000000" w:rsidDel="00000000" w:rsidP="00000000" w:rsidRDefault="00000000" w:rsidRPr="00000000" w14:paraId="000000A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150,000</w:t>
            </w:r>
          </w:p>
        </w:tc>
        <w:tc>
          <w:tcPr/>
          <w:p w:rsidR="00000000" w:rsidDel="00000000" w:rsidP="00000000" w:rsidRDefault="00000000" w:rsidRPr="00000000" w14:paraId="000000A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60,000</w:t>
            </w:r>
          </w:p>
        </w:tc>
        <w:tc>
          <w:tcPr/>
          <w:p w:rsidR="00000000" w:rsidDel="00000000" w:rsidP="00000000" w:rsidRDefault="00000000" w:rsidRPr="00000000" w14:paraId="000000A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100,000</w:t>
            </w:r>
          </w:p>
        </w:tc>
        <w:tc>
          <w:tcPr/>
          <w:p w:rsidR="00000000" w:rsidDel="00000000" w:rsidP="00000000" w:rsidRDefault="00000000" w:rsidRPr="00000000" w14:paraId="000000A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w:t>
            </w:r>
          </w:p>
        </w:tc>
        <w:tc>
          <w:tcPr/>
          <w:p w:rsidR="00000000" w:rsidDel="00000000" w:rsidP="00000000" w:rsidRDefault="00000000" w:rsidRPr="00000000" w14:paraId="000000A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10,000</w:t>
            </w:r>
          </w:p>
        </w:tc>
        <w:tc>
          <w:tcPr/>
          <w:p w:rsidR="00000000" w:rsidDel="00000000" w:rsidP="00000000" w:rsidRDefault="00000000" w:rsidRPr="00000000" w14:paraId="000000AD">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460,000</w:t>
            </w:r>
          </w:p>
        </w:tc>
      </w:tr>
    </w:tbl>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1: Cash Flow</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Source: Author</w:t>
      </w:r>
    </w:p>
    <w:p w:rsidR="00000000" w:rsidDel="00000000" w:rsidP="00000000" w:rsidRDefault="00000000" w:rsidRPr="00000000" w14:paraId="000000B0">
      <w:pPr>
        <w:jc w:val="left"/>
        <w:rPr>
          <w:rFonts w:ascii="Times New Roman" w:cs="Times New Roman" w:eastAsia="Times New Roman" w:hAnsi="Times New Roman"/>
          <w:b w:val="1"/>
        </w:rPr>
      </w:pPr>
      <w:r w:rsidDel="00000000" w:rsidR="00000000" w:rsidRPr="00000000">
        <w:br w:type="page"/>
      </w:r>
      <w:r w:rsidDel="00000000" w:rsidR="00000000" w:rsidRPr="00000000">
        <w:rPr>
          <w:rtl w:val="0"/>
        </w:rPr>
      </w:r>
    </w:p>
    <w:p w:rsidR="00000000" w:rsidDel="00000000" w:rsidP="00000000" w:rsidRDefault="00000000" w:rsidRPr="00000000" w14:paraId="000000B1">
      <w:pPr>
        <w:pStyle w:val="Heading1"/>
        <w:rPr>
          <w:rFonts w:ascii="Times New Roman" w:cs="Times New Roman" w:eastAsia="Times New Roman" w:hAnsi="Times New Roman"/>
          <w:sz w:val="24"/>
          <w:szCs w:val="24"/>
        </w:rPr>
      </w:pPr>
      <w:bookmarkStart w:colFirst="0" w:colLast="0" w:name="_3j2qqm3" w:id="19"/>
      <w:bookmarkEnd w:id="19"/>
      <w:r w:rsidDel="00000000" w:rsidR="00000000" w:rsidRPr="00000000">
        <w:rPr>
          <w:rFonts w:ascii="Times New Roman" w:cs="Times New Roman" w:eastAsia="Times New Roman" w:hAnsi="Times New Roman"/>
          <w:sz w:val="24"/>
          <w:szCs w:val="24"/>
          <w:rtl w:val="0"/>
        </w:rPr>
        <w:t xml:space="preserve">Closing Summary</w:t>
      </w:r>
    </w:p>
    <w:p w:rsidR="00000000" w:rsidDel="00000000" w:rsidP="00000000" w:rsidRDefault="00000000" w:rsidRPr="00000000" w14:paraId="000000B2">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the business plan presents an attractive strategy for penetrating the UK market with solar-powered smartwatches. The enterprise stands out due to its holistic approach to product development, marketing, and distribution and its distinctive value proposition based on sustainable technology. The team is at the forefront of the wearable technology industry because of the team's dedication to innovation, sustainability, and quality. The business plan's analysis of the market and its strategic operational and financial strategies lead the authors to conclude that there is a high potential for success in the UK market. The company is well-positioned for market penetration and sustainable expansion because of rising consumer demand for cutting-edge wearables and an increasing focus on environmental responsibility. Investors looking for innovation and sustainability in the IT industry can consider the solar-powered smartwatches endeavour. Strong market demand for the product is forecast, and a profitable business model is laid. This business has a compelling investment offering because of its well-thought-out financial structure, committed and experienced management team, and product that meets the needs of today's consumers. </w:t>
      </w:r>
    </w:p>
    <w:p w:rsidR="00000000" w:rsidDel="00000000" w:rsidP="00000000" w:rsidRDefault="00000000" w:rsidRPr="00000000" w14:paraId="000000B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B4">
      <w:pPr>
        <w:jc w:val="left"/>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B5">
      <w:pPr>
        <w:pStyle w:val="Heading1"/>
        <w:rPr>
          <w:rFonts w:ascii="Times New Roman" w:cs="Times New Roman" w:eastAsia="Times New Roman" w:hAnsi="Times New Roman"/>
          <w:sz w:val="24"/>
          <w:szCs w:val="24"/>
        </w:rPr>
      </w:pPr>
      <w:bookmarkStart w:colFirst="0" w:colLast="0" w:name="_1y810tw" w:id="20"/>
      <w:bookmarkEnd w:id="20"/>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B6">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Babu, M.M., Rahman, M., Alam, A. and Dey, B.L. (2021). Exploring significant data-driven innovation in the manufacturing sector: evidence from UK firms. </w:t>
      </w:r>
      <w:r w:rsidDel="00000000" w:rsidR="00000000" w:rsidRPr="00000000">
        <w:rPr>
          <w:rFonts w:ascii="Times New Roman" w:cs="Times New Roman" w:eastAsia="Times New Roman" w:hAnsi="Times New Roman"/>
          <w:i w:val="1"/>
          <w:color w:val="222222"/>
          <w:highlight w:val="white"/>
          <w:rtl w:val="0"/>
        </w:rPr>
        <w:t xml:space="preserve">Annals of Operations Research</w:t>
      </w:r>
      <w:r w:rsidDel="00000000" w:rsidR="00000000" w:rsidRPr="00000000">
        <w:rPr>
          <w:rFonts w:ascii="Times New Roman" w:cs="Times New Roman" w:eastAsia="Times New Roman" w:hAnsi="Times New Roman"/>
          <w:color w:val="222222"/>
          <w:highlight w:val="white"/>
          <w:rtl w:val="0"/>
        </w:rPr>
        <w:t xml:space="preserve">, pp.1-28.</w:t>
      </w:r>
    </w:p>
    <w:p w:rsidR="00000000" w:rsidDel="00000000" w:rsidP="00000000" w:rsidRDefault="00000000" w:rsidRPr="00000000" w14:paraId="000000B7">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Carmichael, R., Gross, R., Hanna, R., Rhodes, A. and Green, T. (2021). The Demand Response Technology Cluster: Accelerating UK residential consumer engagement with time-of-use tariffs, electric vehicles and intelligent meters via digital comparison tools. </w:t>
      </w:r>
      <w:r w:rsidDel="00000000" w:rsidR="00000000" w:rsidRPr="00000000">
        <w:rPr>
          <w:rFonts w:ascii="Times New Roman" w:cs="Times New Roman" w:eastAsia="Times New Roman" w:hAnsi="Times New Roman"/>
          <w:i w:val="1"/>
          <w:color w:val="222222"/>
          <w:highlight w:val="white"/>
          <w:rtl w:val="0"/>
        </w:rPr>
        <w:t xml:space="preserve">Renewable and Sustainable Energy Reviews</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139</w:t>
      </w:r>
      <w:r w:rsidDel="00000000" w:rsidR="00000000" w:rsidRPr="00000000">
        <w:rPr>
          <w:rFonts w:ascii="Times New Roman" w:cs="Times New Roman" w:eastAsia="Times New Roman" w:hAnsi="Times New Roman"/>
          <w:color w:val="222222"/>
          <w:highlight w:val="white"/>
          <w:rtl w:val="0"/>
        </w:rPr>
        <w:t xml:space="preserve">, p.110701.</w:t>
      </w:r>
    </w:p>
    <w:p w:rsidR="00000000" w:rsidDel="00000000" w:rsidP="00000000" w:rsidRDefault="00000000" w:rsidRPr="00000000" w14:paraId="000000B8">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Chowdhury, S., Rodriguez-Espindola, O., Dey, P. and Budhwar, P. (2023). Blockchain technology adoption for managing risks in operations and supply chain management: evidence from the UK. </w:t>
      </w:r>
      <w:r w:rsidDel="00000000" w:rsidR="00000000" w:rsidRPr="00000000">
        <w:rPr>
          <w:rFonts w:ascii="Times New Roman" w:cs="Times New Roman" w:eastAsia="Times New Roman" w:hAnsi="Times New Roman"/>
          <w:i w:val="1"/>
          <w:color w:val="222222"/>
          <w:highlight w:val="white"/>
          <w:rtl w:val="0"/>
        </w:rPr>
        <w:t xml:space="preserve">Annals of Operations Research</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327</w:t>
      </w:r>
      <w:r w:rsidDel="00000000" w:rsidR="00000000" w:rsidRPr="00000000">
        <w:rPr>
          <w:rFonts w:ascii="Times New Roman" w:cs="Times New Roman" w:eastAsia="Times New Roman" w:hAnsi="Times New Roman"/>
          <w:color w:val="222222"/>
          <w:highlight w:val="white"/>
          <w:rtl w:val="0"/>
        </w:rPr>
        <w:t xml:space="preserve">(1), pp.539-574.</w:t>
      </w:r>
    </w:p>
    <w:p w:rsidR="00000000" w:rsidDel="00000000" w:rsidP="00000000" w:rsidRDefault="00000000" w:rsidRPr="00000000" w14:paraId="000000B9">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Furstenau, L.B., Sott, M.K., Kipper, L.M., Machado, E.L., Lopez-Robles, J.R., Dohan, M.S., Cobo, M.J., Zahid, A., Abbasi, Q.H. and Imran, M.A. (2020). The link between sustainability and industry 4.0: trends, challenges and new perspectives. </w:t>
      </w:r>
      <w:r w:rsidDel="00000000" w:rsidR="00000000" w:rsidRPr="00000000">
        <w:rPr>
          <w:rFonts w:ascii="Times New Roman" w:cs="Times New Roman" w:eastAsia="Times New Roman" w:hAnsi="Times New Roman"/>
          <w:i w:val="1"/>
          <w:color w:val="222222"/>
          <w:highlight w:val="white"/>
          <w:rtl w:val="0"/>
        </w:rPr>
        <w:t xml:space="preserve">Ieee Access</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8</w:t>
      </w:r>
      <w:r w:rsidDel="00000000" w:rsidR="00000000" w:rsidRPr="00000000">
        <w:rPr>
          <w:rFonts w:ascii="Times New Roman" w:cs="Times New Roman" w:eastAsia="Times New Roman" w:hAnsi="Times New Roman"/>
          <w:color w:val="222222"/>
          <w:highlight w:val="white"/>
          <w:rtl w:val="0"/>
        </w:rPr>
        <w:t xml:space="preserve">, pp.140079-140096.</w:t>
      </w:r>
    </w:p>
    <w:p w:rsidR="00000000" w:rsidDel="00000000" w:rsidP="00000000" w:rsidRDefault="00000000" w:rsidRPr="00000000" w14:paraId="000000BA">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Geels, F.W. (2019. Socio-technical transitions to sustainability: A review of criticisms and elaborations of the Multi-Level Perspective. </w:t>
      </w:r>
      <w:r w:rsidDel="00000000" w:rsidR="00000000" w:rsidRPr="00000000">
        <w:rPr>
          <w:rFonts w:ascii="Times New Roman" w:cs="Times New Roman" w:eastAsia="Times New Roman" w:hAnsi="Times New Roman"/>
          <w:i w:val="1"/>
          <w:color w:val="222222"/>
          <w:highlight w:val="white"/>
          <w:rtl w:val="0"/>
        </w:rPr>
        <w:t xml:space="preserve">Current opinion in environmental sustainability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39</w:t>
      </w:r>
      <w:r w:rsidDel="00000000" w:rsidR="00000000" w:rsidRPr="00000000">
        <w:rPr>
          <w:rFonts w:ascii="Times New Roman" w:cs="Times New Roman" w:eastAsia="Times New Roman" w:hAnsi="Times New Roman"/>
          <w:color w:val="222222"/>
          <w:highlight w:val="white"/>
          <w:rtl w:val="0"/>
        </w:rPr>
        <w:t xml:space="preserve">, pp.187-201.</w:t>
      </w:r>
    </w:p>
    <w:p w:rsidR="00000000" w:rsidDel="00000000" w:rsidP="00000000" w:rsidRDefault="00000000" w:rsidRPr="00000000" w14:paraId="000000BB">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Geels, F.W., McMeekin, A. and Pfluger, B. (2020). Socio-technical scenarios as a methodological tool to explore social and political feasibility in low-carbon transitions: Bridging computer models and the multi-level perspective in UK electricity generation (2010–2050). </w:t>
      </w:r>
      <w:r w:rsidDel="00000000" w:rsidR="00000000" w:rsidRPr="00000000">
        <w:rPr>
          <w:rFonts w:ascii="Times New Roman" w:cs="Times New Roman" w:eastAsia="Times New Roman" w:hAnsi="Times New Roman"/>
          <w:i w:val="1"/>
          <w:color w:val="222222"/>
          <w:highlight w:val="white"/>
          <w:rtl w:val="0"/>
        </w:rPr>
        <w:t xml:space="preserve">Technological Forecasting and Social Change</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151</w:t>
      </w:r>
      <w:r w:rsidDel="00000000" w:rsidR="00000000" w:rsidRPr="00000000">
        <w:rPr>
          <w:rFonts w:ascii="Times New Roman" w:cs="Times New Roman" w:eastAsia="Times New Roman" w:hAnsi="Times New Roman"/>
          <w:color w:val="222222"/>
          <w:highlight w:val="white"/>
          <w:rtl w:val="0"/>
        </w:rPr>
        <w:t xml:space="preserve">, p.119258.</w:t>
      </w:r>
    </w:p>
    <w:p w:rsidR="00000000" w:rsidDel="00000000" w:rsidP="00000000" w:rsidRDefault="00000000" w:rsidRPr="00000000" w14:paraId="000000BC">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Goulding, J.S. and Rahimian, F.P. eds. (2019). </w:t>
      </w:r>
      <w:r w:rsidDel="00000000" w:rsidR="00000000" w:rsidRPr="00000000">
        <w:rPr>
          <w:rFonts w:ascii="Times New Roman" w:cs="Times New Roman" w:eastAsia="Times New Roman" w:hAnsi="Times New Roman"/>
          <w:i w:val="1"/>
          <w:color w:val="222222"/>
          <w:highlight w:val="white"/>
          <w:rtl w:val="0"/>
        </w:rPr>
        <w:t xml:space="preserve">Offsite production and manufacturing for innovative construction: People, process and technology</w:t>
      </w:r>
      <w:r w:rsidDel="00000000" w:rsidR="00000000" w:rsidRPr="00000000">
        <w:rPr>
          <w:rFonts w:ascii="Times New Roman" w:cs="Times New Roman" w:eastAsia="Times New Roman" w:hAnsi="Times New Roman"/>
          <w:color w:val="222222"/>
          <w:highlight w:val="white"/>
          <w:rtl w:val="0"/>
        </w:rPr>
        <w:t xml:space="preserve">. Routledge.</w:t>
      </w:r>
    </w:p>
    <w:p w:rsidR="00000000" w:rsidDel="00000000" w:rsidP="00000000" w:rsidRDefault="00000000" w:rsidRPr="00000000" w14:paraId="000000BD">
      <w:pPr>
        <w:spacing w:after="0" w:lineRule="auto"/>
        <w:ind w:left="567" w:hanging="567"/>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Hernandez, R.R., Armstrong, A., Burney, J., Ryan, G., Moore-O’Leary, K., Diédhiou, I., Grodsky, S.M., Saul-Gershenz, L., Davis, R., Macknick, J. and Mulvaney, D. (2019). Techno–ecological synergies of solar energy for global sustainability. </w:t>
      </w:r>
      <w:r w:rsidDel="00000000" w:rsidR="00000000" w:rsidRPr="00000000">
        <w:rPr>
          <w:rFonts w:ascii="Times New Roman" w:cs="Times New Roman" w:eastAsia="Times New Roman" w:hAnsi="Times New Roman"/>
          <w:i w:val="1"/>
          <w:color w:val="222222"/>
          <w:highlight w:val="white"/>
          <w:rtl w:val="0"/>
        </w:rPr>
        <w:t xml:space="preserve">Nature Sustainability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2</w:t>
      </w:r>
      <w:r w:rsidDel="00000000" w:rsidR="00000000" w:rsidRPr="00000000">
        <w:rPr>
          <w:rFonts w:ascii="Times New Roman" w:cs="Times New Roman" w:eastAsia="Times New Roman" w:hAnsi="Times New Roman"/>
          <w:color w:val="222222"/>
          <w:highlight w:val="white"/>
          <w:rtl w:val="0"/>
        </w:rPr>
        <w:t xml:space="preserve">(7), pp.560-568.</w:t>
      </w:r>
      <w:r w:rsidDel="00000000" w:rsidR="00000000" w:rsidRPr="00000000">
        <w:rPr>
          <w:rtl w:val="0"/>
        </w:rPr>
      </w:r>
    </w:p>
    <w:p w:rsidR="00000000" w:rsidDel="00000000" w:rsidP="00000000" w:rsidRDefault="00000000" w:rsidRPr="00000000" w14:paraId="000000BE">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Krauss, J.K., Lipsman, N., Aziz, T., Boutet, A., Brown, P., Chang, J.W., Davidson, B., Grill, W.M., Hariz, M.I., Horn, A. and Schulder, M. (2021). Technology of deep brain stimulation: current status and future directions. </w:t>
      </w:r>
      <w:r w:rsidDel="00000000" w:rsidR="00000000" w:rsidRPr="00000000">
        <w:rPr>
          <w:rFonts w:ascii="Times New Roman" w:cs="Times New Roman" w:eastAsia="Times New Roman" w:hAnsi="Times New Roman"/>
          <w:i w:val="1"/>
          <w:color w:val="222222"/>
          <w:highlight w:val="white"/>
          <w:rtl w:val="0"/>
        </w:rPr>
        <w:t xml:space="preserve">Nature Reviews Neurology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17</w:t>
      </w:r>
      <w:r w:rsidDel="00000000" w:rsidR="00000000" w:rsidRPr="00000000">
        <w:rPr>
          <w:rFonts w:ascii="Times New Roman" w:cs="Times New Roman" w:eastAsia="Times New Roman" w:hAnsi="Times New Roman"/>
          <w:color w:val="222222"/>
          <w:highlight w:val="white"/>
          <w:rtl w:val="0"/>
        </w:rPr>
        <w:t xml:space="preserve">(2), pp.75-87.</w:t>
      </w:r>
    </w:p>
    <w:p w:rsidR="00000000" w:rsidDel="00000000" w:rsidP="00000000" w:rsidRDefault="00000000" w:rsidRPr="00000000" w14:paraId="000000BF">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Markard, J., Geels, F.W. and Raven, R. (2020). Challenges in the acceleration of sustainability transitions. </w:t>
      </w:r>
      <w:r w:rsidDel="00000000" w:rsidR="00000000" w:rsidRPr="00000000">
        <w:rPr>
          <w:rFonts w:ascii="Times New Roman" w:cs="Times New Roman" w:eastAsia="Times New Roman" w:hAnsi="Times New Roman"/>
          <w:i w:val="1"/>
          <w:color w:val="222222"/>
          <w:highlight w:val="white"/>
          <w:rtl w:val="0"/>
        </w:rPr>
        <w:t xml:space="preserve">Environmental Research Letters</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15</w:t>
      </w:r>
      <w:r w:rsidDel="00000000" w:rsidR="00000000" w:rsidRPr="00000000">
        <w:rPr>
          <w:rFonts w:ascii="Times New Roman" w:cs="Times New Roman" w:eastAsia="Times New Roman" w:hAnsi="Times New Roman"/>
          <w:color w:val="222222"/>
          <w:highlight w:val="white"/>
          <w:rtl w:val="0"/>
        </w:rPr>
        <w:t xml:space="preserve">(8), p.081001.</w:t>
      </w:r>
    </w:p>
    <w:p w:rsidR="00000000" w:rsidDel="00000000" w:rsidP="00000000" w:rsidRDefault="00000000" w:rsidRPr="00000000" w14:paraId="000000C0">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Mitchell, S., Qin, R., Zheng, N. and Pérez-Ramírez, J. (2021). Nanoscale engineering of catalytic materials for sustainable technologies. </w:t>
      </w:r>
      <w:r w:rsidDel="00000000" w:rsidR="00000000" w:rsidRPr="00000000">
        <w:rPr>
          <w:rFonts w:ascii="Times New Roman" w:cs="Times New Roman" w:eastAsia="Times New Roman" w:hAnsi="Times New Roman"/>
          <w:i w:val="1"/>
          <w:color w:val="222222"/>
          <w:highlight w:val="white"/>
          <w:rtl w:val="0"/>
        </w:rPr>
        <w:t xml:space="preserve">Nature Nanotechnology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16</w:t>
      </w:r>
      <w:r w:rsidDel="00000000" w:rsidR="00000000" w:rsidRPr="00000000">
        <w:rPr>
          <w:rFonts w:ascii="Times New Roman" w:cs="Times New Roman" w:eastAsia="Times New Roman" w:hAnsi="Times New Roman"/>
          <w:color w:val="222222"/>
          <w:highlight w:val="white"/>
          <w:rtl w:val="0"/>
        </w:rPr>
        <w:t xml:space="preserve">(2), pp.129-139.</w:t>
      </w:r>
    </w:p>
    <w:p w:rsidR="00000000" w:rsidDel="00000000" w:rsidP="00000000" w:rsidRDefault="00000000" w:rsidRPr="00000000" w14:paraId="000000C1">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Raybould, B., Cheung, W.M., Connor, C. and Butcher, R. (2020). An investigation into UK government policy and legislation to renewable energy and greenhouse gas reduction commitments. </w:t>
      </w:r>
      <w:r w:rsidDel="00000000" w:rsidR="00000000" w:rsidRPr="00000000">
        <w:rPr>
          <w:rFonts w:ascii="Times New Roman" w:cs="Times New Roman" w:eastAsia="Times New Roman" w:hAnsi="Times New Roman"/>
          <w:i w:val="1"/>
          <w:color w:val="222222"/>
          <w:highlight w:val="white"/>
          <w:rtl w:val="0"/>
        </w:rPr>
        <w:t xml:space="preserve">Clean Technologies and Environmental Policy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22</w:t>
      </w:r>
      <w:r w:rsidDel="00000000" w:rsidR="00000000" w:rsidRPr="00000000">
        <w:rPr>
          <w:rFonts w:ascii="Times New Roman" w:cs="Times New Roman" w:eastAsia="Times New Roman" w:hAnsi="Times New Roman"/>
          <w:color w:val="222222"/>
          <w:highlight w:val="white"/>
          <w:rtl w:val="0"/>
        </w:rPr>
        <w:t xml:space="preserve">, pp.371-387.</w:t>
      </w:r>
    </w:p>
    <w:p w:rsidR="00000000" w:rsidDel="00000000" w:rsidP="00000000" w:rsidRDefault="00000000" w:rsidRPr="00000000" w14:paraId="000000C2">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Skeete, J.P., Wells, P., Dong, X., Heidrich, O. and Harper, G. (2020). Beyond the event horizon: Battery waste, recycling, and sustainability in the United Kingdom electric vehicle transition. </w:t>
      </w:r>
      <w:r w:rsidDel="00000000" w:rsidR="00000000" w:rsidRPr="00000000">
        <w:rPr>
          <w:rFonts w:ascii="Times New Roman" w:cs="Times New Roman" w:eastAsia="Times New Roman" w:hAnsi="Times New Roman"/>
          <w:i w:val="1"/>
          <w:color w:val="222222"/>
          <w:highlight w:val="white"/>
          <w:rtl w:val="0"/>
        </w:rPr>
        <w:t xml:space="preserve">Energy Research &amp; Social Science</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69</w:t>
      </w:r>
      <w:r w:rsidDel="00000000" w:rsidR="00000000" w:rsidRPr="00000000">
        <w:rPr>
          <w:rFonts w:ascii="Times New Roman" w:cs="Times New Roman" w:eastAsia="Times New Roman" w:hAnsi="Times New Roman"/>
          <w:color w:val="222222"/>
          <w:highlight w:val="white"/>
          <w:rtl w:val="0"/>
        </w:rPr>
        <w:t xml:space="preserve">, p.101581.</w:t>
      </w:r>
    </w:p>
    <w:p w:rsidR="00000000" w:rsidDel="00000000" w:rsidP="00000000" w:rsidRDefault="00000000" w:rsidRPr="00000000" w14:paraId="000000C3">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Sun, H., Edziah, B.K., Kporsu, A.K., Sarkodie, S.A. and Taghizadeh-Hesary, F. (2021). Energy efficiency: The role of technological innovation and knowledge spillover. </w:t>
      </w:r>
      <w:r w:rsidDel="00000000" w:rsidR="00000000" w:rsidRPr="00000000">
        <w:rPr>
          <w:rFonts w:ascii="Times New Roman" w:cs="Times New Roman" w:eastAsia="Times New Roman" w:hAnsi="Times New Roman"/>
          <w:i w:val="1"/>
          <w:color w:val="222222"/>
          <w:highlight w:val="white"/>
          <w:rtl w:val="0"/>
        </w:rPr>
        <w:t xml:space="preserve">Technological Forecasting and Social Change</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167</w:t>
      </w:r>
      <w:r w:rsidDel="00000000" w:rsidR="00000000" w:rsidRPr="00000000">
        <w:rPr>
          <w:rFonts w:ascii="Times New Roman" w:cs="Times New Roman" w:eastAsia="Times New Roman" w:hAnsi="Times New Roman"/>
          <w:color w:val="222222"/>
          <w:highlight w:val="white"/>
          <w:rtl w:val="0"/>
        </w:rPr>
        <w:t xml:space="preserve">, p.120659.</w:t>
      </w:r>
    </w:p>
    <w:p w:rsidR="00000000" w:rsidDel="00000000" w:rsidP="00000000" w:rsidRDefault="00000000" w:rsidRPr="00000000" w14:paraId="000000C4">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Tushar, W., Saha, T.K., Yuen, C., Smith, D., Ashworth, P., Poor, H.V. and Basnet, S. (2020). Challenges and prospects for negawatt trading in light of recent technological developments. </w:t>
      </w:r>
      <w:r w:rsidDel="00000000" w:rsidR="00000000" w:rsidRPr="00000000">
        <w:rPr>
          <w:rFonts w:ascii="Times New Roman" w:cs="Times New Roman" w:eastAsia="Times New Roman" w:hAnsi="Times New Roman"/>
          <w:i w:val="1"/>
          <w:color w:val="222222"/>
          <w:highlight w:val="white"/>
          <w:rtl w:val="0"/>
        </w:rPr>
        <w:t xml:space="preserve">Nature Energy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5</w:t>
      </w:r>
      <w:r w:rsidDel="00000000" w:rsidR="00000000" w:rsidRPr="00000000">
        <w:rPr>
          <w:rFonts w:ascii="Times New Roman" w:cs="Times New Roman" w:eastAsia="Times New Roman" w:hAnsi="Times New Roman"/>
          <w:color w:val="222222"/>
          <w:highlight w:val="white"/>
          <w:rtl w:val="0"/>
        </w:rPr>
        <w:t xml:space="preserve">(11), pp.834-841.</w:t>
      </w:r>
    </w:p>
    <w:sectPr>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sz w:val="28"/>
      <w:szCs w:val="28"/>
    </w:rPr>
  </w:style>
  <w:style w:type="paragraph" w:styleId="Heading2">
    <w:name w:val="heading 2"/>
    <w:basedOn w:val="Normal"/>
    <w:next w:val="Normal"/>
    <w:pPr/>
    <w:rPr>
      <w:b w:val="1"/>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