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5EB3A9F" w:rsidR="00583709" w:rsidRDefault="00744990">
            <w:pPr>
              <w:spacing w:before="120" w:after="120" w:line="360" w:lineRule="auto"/>
              <w:rPr>
                <w:rFonts w:ascii="Tahoma" w:eastAsia="Tahoma" w:hAnsi="Tahoma" w:cs="Tahoma"/>
                <w:sz w:val="32"/>
                <w:szCs w:val="32"/>
              </w:rPr>
            </w:pPr>
            <w:r>
              <w:rPr>
                <w:rFonts w:ascii="Tahoma" w:eastAsia="Tahoma" w:hAnsi="Tahoma" w:cs="Tahoma"/>
                <w:sz w:val="32"/>
                <w:szCs w:val="32"/>
              </w:rPr>
              <w:t>Lisa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608F20F" w:rsidR="00583709" w:rsidRDefault="00744990">
            <w:pPr>
              <w:spacing w:before="120" w:after="120" w:line="360" w:lineRule="auto"/>
              <w:rPr>
                <w:rFonts w:ascii="Tahoma" w:eastAsia="Tahoma" w:hAnsi="Tahoma" w:cs="Tahoma"/>
                <w:sz w:val="32"/>
                <w:szCs w:val="32"/>
              </w:rPr>
            </w:pPr>
            <w:r>
              <w:rPr>
                <w:rFonts w:ascii="Tahoma" w:eastAsia="Tahoma" w:hAnsi="Tahoma" w:cs="Tahoma"/>
                <w:sz w:val="32"/>
                <w:szCs w:val="32"/>
              </w:rPr>
              <w:t>2115847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68DDFFD" w:rsidR="00583709" w:rsidRDefault="00FA75B1">
            <w:pPr>
              <w:spacing w:before="120" w:after="120" w:line="360" w:lineRule="auto"/>
              <w:rPr>
                <w:rFonts w:ascii="Tahoma" w:eastAsia="Tahoma" w:hAnsi="Tahoma" w:cs="Tahoma"/>
                <w:color w:val="FF0000"/>
                <w:sz w:val="32"/>
                <w:szCs w:val="32"/>
              </w:rPr>
            </w:pPr>
            <w:r w:rsidRPr="00FA75B1">
              <w:rPr>
                <w:rFonts w:ascii="Tahoma" w:eastAsia="Tahoma" w:hAnsi="Tahoma" w:cs="Tahoma"/>
                <w:sz w:val="32"/>
                <w:szCs w:val="32"/>
              </w:rPr>
              <w:t>BMSK</w:t>
            </w:r>
            <w:r w:rsidR="00744990">
              <w:rPr>
                <w:rFonts w:ascii="Tahoma" w:eastAsia="Tahoma" w:hAnsi="Tahoma" w:cs="Tahoma"/>
                <w:sz w:val="32"/>
                <w:szCs w:val="32"/>
              </w:rPr>
              <w:t>5011</w:t>
            </w:r>
          </w:p>
        </w:tc>
      </w:tr>
      <w:tr w:rsidR="00BE34BC" w14:paraId="0A18C513" w14:textId="77777777">
        <w:trPr>
          <w:trHeight w:val="413"/>
        </w:trPr>
        <w:tc>
          <w:tcPr>
            <w:tcW w:w="3438" w:type="dxa"/>
            <w:shd w:val="clear" w:color="auto" w:fill="D9D9D9"/>
          </w:tcPr>
          <w:p w14:paraId="322E8485" w14:textId="77777777" w:rsidR="00BE34BC" w:rsidRDefault="00BE34BC" w:rsidP="00BE34B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2085204" w:rsidR="00BE34BC" w:rsidRPr="00FA75B1" w:rsidRDefault="002752D4" w:rsidP="00BE34BC">
            <w:pPr>
              <w:spacing w:before="120" w:after="120" w:line="360" w:lineRule="auto"/>
              <w:rPr>
                <w:rFonts w:ascii="Tahoma" w:eastAsia="Tahoma" w:hAnsi="Tahoma" w:cs="Tahoma"/>
                <w:sz w:val="32"/>
                <w:szCs w:val="32"/>
              </w:rPr>
            </w:pPr>
            <w:r>
              <w:rPr>
                <w:rFonts w:ascii="Tahoma" w:eastAsia="Tahoma" w:hAnsi="Tahoma" w:cs="Tahoma"/>
                <w:sz w:val="32"/>
                <w:szCs w:val="32"/>
              </w:rPr>
              <w:t xml:space="preserve">Developing Workplace </w:t>
            </w:r>
            <w:r w:rsidR="00D55F52">
              <w:rPr>
                <w:rFonts w:ascii="Tahoma" w:eastAsia="Tahoma" w:hAnsi="Tahoma" w:cs="Tahoma"/>
                <w:sz w:val="32"/>
                <w:szCs w:val="32"/>
              </w:rPr>
              <w:t>Critical Thinking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2F8E8441" w14:textId="4F98D9C6" w:rsidR="00C61A58" w:rsidRDefault="00C61A58" w:rsidP="00C00915">
      <w:pPr>
        <w:pStyle w:val="TOCHeading"/>
      </w:pPr>
    </w:p>
    <w:p w14:paraId="06055B17" w14:textId="77777777" w:rsidR="00C00915" w:rsidRDefault="00C00915" w:rsidP="00C00915">
      <w:pPr>
        <w:rPr>
          <w:lang w:val="en-US" w:eastAsia="en-US"/>
        </w:rPr>
      </w:pPr>
    </w:p>
    <w:sdt>
      <w:sdtPr>
        <w:rPr>
          <w:rFonts w:ascii="Calibri" w:eastAsia="Calibri" w:hAnsi="Calibri" w:cs="Calibri"/>
          <w:color w:val="auto"/>
          <w:sz w:val="22"/>
          <w:szCs w:val="22"/>
          <w:lang w:val="en-GB" w:eastAsia="zh-CN"/>
        </w:rPr>
        <w:id w:val="-614990538"/>
        <w:docPartObj>
          <w:docPartGallery w:val="Table of Contents"/>
          <w:docPartUnique/>
        </w:docPartObj>
      </w:sdtPr>
      <w:sdtEndPr>
        <w:rPr>
          <w:b/>
          <w:bCs/>
          <w:noProof/>
        </w:rPr>
      </w:sdtEndPr>
      <w:sdtContent>
        <w:p w14:paraId="65DDAA64" w14:textId="49C38AAE" w:rsidR="00957DE7" w:rsidRDefault="00957DE7">
          <w:pPr>
            <w:pStyle w:val="TOCHeading"/>
          </w:pPr>
          <w:r>
            <w:t>Contents</w:t>
          </w:r>
        </w:p>
        <w:p w14:paraId="3581C3FC" w14:textId="5BB9E155" w:rsidR="00BC35F6" w:rsidRDefault="00957DE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712062" w:history="1">
            <w:r w:rsidR="00BC35F6" w:rsidRPr="00B34B50">
              <w:rPr>
                <w:rStyle w:val="Hyperlink"/>
                <w:noProof/>
              </w:rPr>
              <w:t>Introduction</w:t>
            </w:r>
            <w:r w:rsidR="00BC35F6">
              <w:rPr>
                <w:noProof/>
                <w:webHidden/>
              </w:rPr>
              <w:tab/>
            </w:r>
            <w:r w:rsidR="00BC35F6">
              <w:rPr>
                <w:noProof/>
                <w:webHidden/>
              </w:rPr>
              <w:fldChar w:fldCharType="begin"/>
            </w:r>
            <w:r w:rsidR="00BC35F6">
              <w:rPr>
                <w:noProof/>
                <w:webHidden/>
              </w:rPr>
              <w:instrText xml:space="preserve"> PAGEREF _Toc225712062 \h </w:instrText>
            </w:r>
            <w:r w:rsidR="00BC35F6">
              <w:rPr>
                <w:noProof/>
                <w:webHidden/>
              </w:rPr>
            </w:r>
            <w:r w:rsidR="00BC35F6">
              <w:rPr>
                <w:noProof/>
                <w:webHidden/>
              </w:rPr>
              <w:fldChar w:fldCharType="separate"/>
            </w:r>
            <w:r w:rsidR="00BC35F6">
              <w:rPr>
                <w:noProof/>
                <w:webHidden/>
              </w:rPr>
              <w:t>3</w:t>
            </w:r>
            <w:r w:rsidR="00BC35F6">
              <w:rPr>
                <w:noProof/>
                <w:webHidden/>
              </w:rPr>
              <w:fldChar w:fldCharType="end"/>
            </w:r>
          </w:hyperlink>
        </w:p>
        <w:p w14:paraId="4E487762" w14:textId="61F406EA" w:rsidR="00BC35F6" w:rsidRDefault="00BC35F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3" w:history="1">
            <w:r w:rsidRPr="00B34B50">
              <w:rPr>
                <w:rStyle w:val="Hyperlink"/>
                <w:noProof/>
              </w:rPr>
              <w:t>A Critical Analysis of the Impact of Beliefs, Attitudes and Values on Workplace Behaviour</w:t>
            </w:r>
            <w:r>
              <w:rPr>
                <w:noProof/>
                <w:webHidden/>
              </w:rPr>
              <w:tab/>
            </w:r>
            <w:r>
              <w:rPr>
                <w:noProof/>
                <w:webHidden/>
              </w:rPr>
              <w:fldChar w:fldCharType="begin"/>
            </w:r>
            <w:r>
              <w:rPr>
                <w:noProof/>
                <w:webHidden/>
              </w:rPr>
              <w:instrText xml:space="preserve"> PAGEREF _Toc225712063 \h </w:instrText>
            </w:r>
            <w:r>
              <w:rPr>
                <w:noProof/>
                <w:webHidden/>
              </w:rPr>
            </w:r>
            <w:r>
              <w:rPr>
                <w:noProof/>
                <w:webHidden/>
              </w:rPr>
              <w:fldChar w:fldCharType="separate"/>
            </w:r>
            <w:r>
              <w:rPr>
                <w:noProof/>
                <w:webHidden/>
              </w:rPr>
              <w:t>4</w:t>
            </w:r>
            <w:r>
              <w:rPr>
                <w:noProof/>
                <w:webHidden/>
              </w:rPr>
              <w:fldChar w:fldCharType="end"/>
            </w:r>
          </w:hyperlink>
        </w:p>
        <w:p w14:paraId="4D18D1ED" w14:textId="26B94794"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4" w:history="1">
            <w:r w:rsidRPr="00B34B50">
              <w:rPr>
                <w:rStyle w:val="Hyperlink"/>
                <w:noProof/>
              </w:rPr>
              <w:t>Distinguishing Beliefs, Attitudes and Values in a Workplace Context</w:t>
            </w:r>
            <w:r>
              <w:rPr>
                <w:noProof/>
                <w:webHidden/>
              </w:rPr>
              <w:tab/>
            </w:r>
            <w:r>
              <w:rPr>
                <w:noProof/>
                <w:webHidden/>
              </w:rPr>
              <w:fldChar w:fldCharType="begin"/>
            </w:r>
            <w:r>
              <w:rPr>
                <w:noProof/>
                <w:webHidden/>
              </w:rPr>
              <w:instrText xml:space="preserve"> PAGEREF _Toc225712064 \h </w:instrText>
            </w:r>
            <w:r>
              <w:rPr>
                <w:noProof/>
                <w:webHidden/>
              </w:rPr>
            </w:r>
            <w:r>
              <w:rPr>
                <w:noProof/>
                <w:webHidden/>
              </w:rPr>
              <w:fldChar w:fldCharType="separate"/>
            </w:r>
            <w:r>
              <w:rPr>
                <w:noProof/>
                <w:webHidden/>
              </w:rPr>
              <w:t>4</w:t>
            </w:r>
            <w:r>
              <w:rPr>
                <w:noProof/>
                <w:webHidden/>
              </w:rPr>
              <w:fldChar w:fldCharType="end"/>
            </w:r>
          </w:hyperlink>
        </w:p>
        <w:p w14:paraId="4C3A5D72" w14:textId="51CE8CDF" w:rsidR="00BC35F6" w:rsidRDefault="00BC35F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5" w:history="1">
            <w:r w:rsidRPr="00B34B50">
              <w:rPr>
                <w:rStyle w:val="Hyperlink"/>
                <w:noProof/>
              </w:rPr>
              <w:t>Critical Assessment of the Individual’s Beliefs, Attitudes and Values and Their Impact on Workplace Behaviour</w:t>
            </w:r>
            <w:r>
              <w:rPr>
                <w:noProof/>
                <w:webHidden/>
              </w:rPr>
              <w:tab/>
            </w:r>
            <w:r>
              <w:rPr>
                <w:noProof/>
                <w:webHidden/>
              </w:rPr>
              <w:fldChar w:fldCharType="begin"/>
            </w:r>
            <w:r>
              <w:rPr>
                <w:noProof/>
                <w:webHidden/>
              </w:rPr>
              <w:instrText xml:space="preserve"> PAGEREF _Toc225712065 \h </w:instrText>
            </w:r>
            <w:r>
              <w:rPr>
                <w:noProof/>
                <w:webHidden/>
              </w:rPr>
            </w:r>
            <w:r>
              <w:rPr>
                <w:noProof/>
                <w:webHidden/>
              </w:rPr>
              <w:fldChar w:fldCharType="separate"/>
            </w:r>
            <w:r>
              <w:rPr>
                <w:noProof/>
                <w:webHidden/>
              </w:rPr>
              <w:t>5</w:t>
            </w:r>
            <w:r>
              <w:rPr>
                <w:noProof/>
                <w:webHidden/>
              </w:rPr>
              <w:fldChar w:fldCharType="end"/>
            </w:r>
          </w:hyperlink>
        </w:p>
        <w:p w14:paraId="761FAAEA" w14:textId="059EFCBE"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6" w:history="1">
            <w:r w:rsidRPr="00B34B50">
              <w:rPr>
                <w:rStyle w:val="Hyperlink"/>
                <w:noProof/>
              </w:rPr>
              <w:t>Positive behavioural impacts</w:t>
            </w:r>
            <w:r>
              <w:rPr>
                <w:noProof/>
                <w:webHidden/>
              </w:rPr>
              <w:tab/>
            </w:r>
            <w:r>
              <w:rPr>
                <w:noProof/>
                <w:webHidden/>
              </w:rPr>
              <w:fldChar w:fldCharType="begin"/>
            </w:r>
            <w:r>
              <w:rPr>
                <w:noProof/>
                <w:webHidden/>
              </w:rPr>
              <w:instrText xml:space="preserve"> PAGEREF _Toc225712066 \h </w:instrText>
            </w:r>
            <w:r>
              <w:rPr>
                <w:noProof/>
                <w:webHidden/>
              </w:rPr>
            </w:r>
            <w:r>
              <w:rPr>
                <w:noProof/>
                <w:webHidden/>
              </w:rPr>
              <w:fldChar w:fldCharType="separate"/>
            </w:r>
            <w:r>
              <w:rPr>
                <w:noProof/>
                <w:webHidden/>
              </w:rPr>
              <w:t>5</w:t>
            </w:r>
            <w:r>
              <w:rPr>
                <w:noProof/>
                <w:webHidden/>
              </w:rPr>
              <w:fldChar w:fldCharType="end"/>
            </w:r>
          </w:hyperlink>
        </w:p>
        <w:p w14:paraId="37ECBE4E" w14:textId="62D05FEE"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7" w:history="1">
            <w:r w:rsidRPr="00B34B50">
              <w:rPr>
                <w:rStyle w:val="Hyperlink"/>
                <w:noProof/>
              </w:rPr>
              <w:t>Challenges and tensions</w:t>
            </w:r>
            <w:r>
              <w:rPr>
                <w:noProof/>
                <w:webHidden/>
              </w:rPr>
              <w:tab/>
            </w:r>
            <w:r>
              <w:rPr>
                <w:noProof/>
                <w:webHidden/>
              </w:rPr>
              <w:fldChar w:fldCharType="begin"/>
            </w:r>
            <w:r>
              <w:rPr>
                <w:noProof/>
                <w:webHidden/>
              </w:rPr>
              <w:instrText xml:space="preserve"> PAGEREF _Toc225712067 \h </w:instrText>
            </w:r>
            <w:r>
              <w:rPr>
                <w:noProof/>
                <w:webHidden/>
              </w:rPr>
            </w:r>
            <w:r>
              <w:rPr>
                <w:noProof/>
                <w:webHidden/>
              </w:rPr>
              <w:fldChar w:fldCharType="separate"/>
            </w:r>
            <w:r>
              <w:rPr>
                <w:noProof/>
                <w:webHidden/>
              </w:rPr>
              <w:t>6</w:t>
            </w:r>
            <w:r>
              <w:rPr>
                <w:noProof/>
                <w:webHidden/>
              </w:rPr>
              <w:fldChar w:fldCharType="end"/>
            </w:r>
          </w:hyperlink>
        </w:p>
        <w:p w14:paraId="104D9460" w14:textId="7E8C09EE"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8" w:history="1">
            <w:r w:rsidRPr="00B34B50">
              <w:rPr>
                <w:rStyle w:val="Hyperlink"/>
                <w:noProof/>
              </w:rPr>
              <w:t>Influence of critical thinking capacity</w:t>
            </w:r>
            <w:r>
              <w:rPr>
                <w:noProof/>
                <w:webHidden/>
              </w:rPr>
              <w:tab/>
            </w:r>
            <w:r>
              <w:rPr>
                <w:noProof/>
                <w:webHidden/>
              </w:rPr>
              <w:fldChar w:fldCharType="begin"/>
            </w:r>
            <w:r>
              <w:rPr>
                <w:noProof/>
                <w:webHidden/>
              </w:rPr>
              <w:instrText xml:space="preserve"> PAGEREF _Toc225712068 \h </w:instrText>
            </w:r>
            <w:r>
              <w:rPr>
                <w:noProof/>
                <w:webHidden/>
              </w:rPr>
            </w:r>
            <w:r>
              <w:rPr>
                <w:noProof/>
                <w:webHidden/>
              </w:rPr>
              <w:fldChar w:fldCharType="separate"/>
            </w:r>
            <w:r>
              <w:rPr>
                <w:noProof/>
                <w:webHidden/>
              </w:rPr>
              <w:t>7</w:t>
            </w:r>
            <w:r>
              <w:rPr>
                <w:noProof/>
                <w:webHidden/>
              </w:rPr>
              <w:fldChar w:fldCharType="end"/>
            </w:r>
          </w:hyperlink>
        </w:p>
        <w:p w14:paraId="0B41D8C8" w14:textId="2B771532"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69" w:history="1">
            <w:r w:rsidRPr="00B34B50">
              <w:rPr>
                <w:rStyle w:val="Hyperlink"/>
                <w:noProof/>
              </w:rPr>
              <w:t>Conflict tendencies</w:t>
            </w:r>
            <w:r>
              <w:rPr>
                <w:noProof/>
                <w:webHidden/>
              </w:rPr>
              <w:tab/>
            </w:r>
            <w:r>
              <w:rPr>
                <w:noProof/>
                <w:webHidden/>
              </w:rPr>
              <w:fldChar w:fldCharType="begin"/>
            </w:r>
            <w:r>
              <w:rPr>
                <w:noProof/>
                <w:webHidden/>
              </w:rPr>
              <w:instrText xml:space="preserve"> PAGEREF _Toc225712069 \h </w:instrText>
            </w:r>
            <w:r>
              <w:rPr>
                <w:noProof/>
                <w:webHidden/>
              </w:rPr>
            </w:r>
            <w:r>
              <w:rPr>
                <w:noProof/>
                <w:webHidden/>
              </w:rPr>
              <w:fldChar w:fldCharType="separate"/>
            </w:r>
            <w:r>
              <w:rPr>
                <w:noProof/>
                <w:webHidden/>
              </w:rPr>
              <w:t>7</w:t>
            </w:r>
            <w:r>
              <w:rPr>
                <w:noProof/>
                <w:webHidden/>
              </w:rPr>
              <w:fldChar w:fldCharType="end"/>
            </w:r>
          </w:hyperlink>
        </w:p>
        <w:p w14:paraId="78262314" w14:textId="2942B269" w:rsidR="00BC35F6" w:rsidRDefault="00BC35F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0" w:history="1">
            <w:r w:rsidRPr="00B34B50">
              <w:rPr>
                <w:rStyle w:val="Hyperlink"/>
                <w:noProof/>
              </w:rPr>
              <w:t>Critical Assessment of McGregor’s Theory X and Theory Y and Its Impact on the Individual’s Beliefs, Attitudes and Values</w:t>
            </w:r>
            <w:r>
              <w:rPr>
                <w:noProof/>
                <w:webHidden/>
              </w:rPr>
              <w:tab/>
            </w:r>
            <w:r>
              <w:rPr>
                <w:noProof/>
                <w:webHidden/>
              </w:rPr>
              <w:fldChar w:fldCharType="begin"/>
            </w:r>
            <w:r>
              <w:rPr>
                <w:noProof/>
                <w:webHidden/>
              </w:rPr>
              <w:instrText xml:space="preserve"> PAGEREF _Toc225712070 \h </w:instrText>
            </w:r>
            <w:r>
              <w:rPr>
                <w:noProof/>
                <w:webHidden/>
              </w:rPr>
            </w:r>
            <w:r>
              <w:rPr>
                <w:noProof/>
                <w:webHidden/>
              </w:rPr>
              <w:fldChar w:fldCharType="separate"/>
            </w:r>
            <w:r>
              <w:rPr>
                <w:noProof/>
                <w:webHidden/>
              </w:rPr>
              <w:t>8</w:t>
            </w:r>
            <w:r>
              <w:rPr>
                <w:noProof/>
                <w:webHidden/>
              </w:rPr>
              <w:fldChar w:fldCharType="end"/>
            </w:r>
          </w:hyperlink>
        </w:p>
        <w:p w14:paraId="6A1CBFD5" w14:textId="23AB5606"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1" w:history="1">
            <w:r w:rsidRPr="00B34B50">
              <w:rPr>
                <w:rStyle w:val="Hyperlink"/>
                <w:noProof/>
              </w:rPr>
              <w:t>Overview of Theory X and Theory Y</w:t>
            </w:r>
            <w:r>
              <w:rPr>
                <w:noProof/>
                <w:webHidden/>
              </w:rPr>
              <w:tab/>
            </w:r>
            <w:r>
              <w:rPr>
                <w:noProof/>
                <w:webHidden/>
              </w:rPr>
              <w:fldChar w:fldCharType="begin"/>
            </w:r>
            <w:r>
              <w:rPr>
                <w:noProof/>
                <w:webHidden/>
              </w:rPr>
              <w:instrText xml:space="preserve"> PAGEREF _Toc225712071 \h </w:instrText>
            </w:r>
            <w:r>
              <w:rPr>
                <w:noProof/>
                <w:webHidden/>
              </w:rPr>
            </w:r>
            <w:r>
              <w:rPr>
                <w:noProof/>
                <w:webHidden/>
              </w:rPr>
              <w:fldChar w:fldCharType="separate"/>
            </w:r>
            <w:r>
              <w:rPr>
                <w:noProof/>
                <w:webHidden/>
              </w:rPr>
              <w:t>8</w:t>
            </w:r>
            <w:r>
              <w:rPr>
                <w:noProof/>
                <w:webHidden/>
              </w:rPr>
              <w:fldChar w:fldCharType="end"/>
            </w:r>
          </w:hyperlink>
        </w:p>
        <w:p w14:paraId="6BF83B19" w14:textId="1EC28ED8"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2" w:history="1">
            <w:r w:rsidRPr="00B34B50">
              <w:rPr>
                <w:rStyle w:val="Hyperlink"/>
                <w:noProof/>
              </w:rPr>
              <w:t>The individual identifies as a Theory Y manager.</w:t>
            </w:r>
            <w:r>
              <w:rPr>
                <w:noProof/>
                <w:webHidden/>
              </w:rPr>
              <w:tab/>
            </w:r>
            <w:r>
              <w:rPr>
                <w:noProof/>
                <w:webHidden/>
              </w:rPr>
              <w:fldChar w:fldCharType="begin"/>
            </w:r>
            <w:r>
              <w:rPr>
                <w:noProof/>
                <w:webHidden/>
              </w:rPr>
              <w:instrText xml:space="preserve"> PAGEREF _Toc225712072 \h </w:instrText>
            </w:r>
            <w:r>
              <w:rPr>
                <w:noProof/>
                <w:webHidden/>
              </w:rPr>
            </w:r>
            <w:r>
              <w:rPr>
                <w:noProof/>
                <w:webHidden/>
              </w:rPr>
              <w:fldChar w:fldCharType="separate"/>
            </w:r>
            <w:r>
              <w:rPr>
                <w:noProof/>
                <w:webHidden/>
              </w:rPr>
              <w:t>8</w:t>
            </w:r>
            <w:r>
              <w:rPr>
                <w:noProof/>
                <w:webHidden/>
              </w:rPr>
              <w:fldChar w:fldCharType="end"/>
            </w:r>
          </w:hyperlink>
        </w:p>
        <w:p w14:paraId="2D001D6D" w14:textId="667FC2A7"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3" w:history="1">
            <w:r w:rsidRPr="00B34B50">
              <w:rPr>
                <w:rStyle w:val="Hyperlink"/>
                <w:noProof/>
              </w:rPr>
              <w:t>Interaction of Theory X and Theory Y personal beliefs and values</w:t>
            </w:r>
            <w:r>
              <w:rPr>
                <w:noProof/>
                <w:webHidden/>
              </w:rPr>
              <w:tab/>
            </w:r>
            <w:r>
              <w:rPr>
                <w:noProof/>
                <w:webHidden/>
              </w:rPr>
              <w:fldChar w:fldCharType="begin"/>
            </w:r>
            <w:r>
              <w:rPr>
                <w:noProof/>
                <w:webHidden/>
              </w:rPr>
              <w:instrText xml:space="preserve"> PAGEREF _Toc225712073 \h </w:instrText>
            </w:r>
            <w:r>
              <w:rPr>
                <w:noProof/>
                <w:webHidden/>
              </w:rPr>
            </w:r>
            <w:r>
              <w:rPr>
                <w:noProof/>
                <w:webHidden/>
              </w:rPr>
              <w:fldChar w:fldCharType="separate"/>
            </w:r>
            <w:r>
              <w:rPr>
                <w:noProof/>
                <w:webHidden/>
              </w:rPr>
              <w:t>9</w:t>
            </w:r>
            <w:r>
              <w:rPr>
                <w:noProof/>
                <w:webHidden/>
              </w:rPr>
              <w:fldChar w:fldCharType="end"/>
            </w:r>
          </w:hyperlink>
        </w:p>
        <w:p w14:paraId="7875B570" w14:textId="25BC9016" w:rsidR="00BC35F6" w:rsidRDefault="00BC35F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4" w:history="1">
            <w:r w:rsidRPr="00B34B50">
              <w:rPr>
                <w:rStyle w:val="Hyperlink"/>
                <w:noProof/>
              </w:rPr>
              <w:t>How individuals with different beliefs, attitudes and values interpret the theory differently</w:t>
            </w:r>
            <w:r>
              <w:rPr>
                <w:noProof/>
                <w:webHidden/>
              </w:rPr>
              <w:tab/>
            </w:r>
            <w:r>
              <w:rPr>
                <w:noProof/>
                <w:webHidden/>
              </w:rPr>
              <w:fldChar w:fldCharType="begin"/>
            </w:r>
            <w:r>
              <w:rPr>
                <w:noProof/>
                <w:webHidden/>
              </w:rPr>
              <w:instrText xml:space="preserve"> PAGEREF _Toc225712074 \h </w:instrText>
            </w:r>
            <w:r>
              <w:rPr>
                <w:noProof/>
                <w:webHidden/>
              </w:rPr>
            </w:r>
            <w:r>
              <w:rPr>
                <w:noProof/>
                <w:webHidden/>
              </w:rPr>
              <w:fldChar w:fldCharType="separate"/>
            </w:r>
            <w:r>
              <w:rPr>
                <w:noProof/>
                <w:webHidden/>
              </w:rPr>
              <w:t>9</w:t>
            </w:r>
            <w:r>
              <w:rPr>
                <w:noProof/>
                <w:webHidden/>
              </w:rPr>
              <w:fldChar w:fldCharType="end"/>
            </w:r>
          </w:hyperlink>
        </w:p>
        <w:p w14:paraId="56BE7788" w14:textId="17BAF98B" w:rsidR="00BC35F6" w:rsidRDefault="00BC35F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5" w:history="1">
            <w:r w:rsidRPr="00B34B50">
              <w:rPr>
                <w:rStyle w:val="Hyperlink"/>
                <w:noProof/>
              </w:rPr>
              <w:t>Conclusion</w:t>
            </w:r>
            <w:r>
              <w:rPr>
                <w:noProof/>
                <w:webHidden/>
              </w:rPr>
              <w:tab/>
            </w:r>
            <w:r>
              <w:rPr>
                <w:noProof/>
                <w:webHidden/>
              </w:rPr>
              <w:fldChar w:fldCharType="begin"/>
            </w:r>
            <w:r>
              <w:rPr>
                <w:noProof/>
                <w:webHidden/>
              </w:rPr>
              <w:instrText xml:space="preserve"> PAGEREF _Toc225712075 \h </w:instrText>
            </w:r>
            <w:r>
              <w:rPr>
                <w:noProof/>
                <w:webHidden/>
              </w:rPr>
            </w:r>
            <w:r>
              <w:rPr>
                <w:noProof/>
                <w:webHidden/>
              </w:rPr>
              <w:fldChar w:fldCharType="separate"/>
            </w:r>
            <w:r>
              <w:rPr>
                <w:noProof/>
                <w:webHidden/>
              </w:rPr>
              <w:t>10</w:t>
            </w:r>
            <w:r>
              <w:rPr>
                <w:noProof/>
                <w:webHidden/>
              </w:rPr>
              <w:fldChar w:fldCharType="end"/>
            </w:r>
          </w:hyperlink>
        </w:p>
        <w:p w14:paraId="63FC8155" w14:textId="655CD37C" w:rsidR="00BC35F6" w:rsidRDefault="00BC35F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5712076" w:history="1">
            <w:r w:rsidRPr="00B34B50">
              <w:rPr>
                <w:rStyle w:val="Hyperlink"/>
                <w:noProof/>
              </w:rPr>
              <w:t>References</w:t>
            </w:r>
            <w:r>
              <w:rPr>
                <w:noProof/>
                <w:webHidden/>
              </w:rPr>
              <w:tab/>
            </w:r>
            <w:r>
              <w:rPr>
                <w:noProof/>
                <w:webHidden/>
              </w:rPr>
              <w:fldChar w:fldCharType="begin"/>
            </w:r>
            <w:r>
              <w:rPr>
                <w:noProof/>
                <w:webHidden/>
              </w:rPr>
              <w:instrText xml:space="preserve"> PAGEREF _Toc225712076 \h </w:instrText>
            </w:r>
            <w:r>
              <w:rPr>
                <w:noProof/>
                <w:webHidden/>
              </w:rPr>
            </w:r>
            <w:r>
              <w:rPr>
                <w:noProof/>
                <w:webHidden/>
              </w:rPr>
              <w:fldChar w:fldCharType="separate"/>
            </w:r>
            <w:r>
              <w:rPr>
                <w:noProof/>
                <w:webHidden/>
              </w:rPr>
              <w:t>12</w:t>
            </w:r>
            <w:r>
              <w:rPr>
                <w:noProof/>
                <w:webHidden/>
              </w:rPr>
              <w:fldChar w:fldCharType="end"/>
            </w:r>
          </w:hyperlink>
        </w:p>
        <w:p w14:paraId="03DEB099" w14:textId="68FA8D6B" w:rsidR="00957DE7" w:rsidRDefault="00957DE7">
          <w:r>
            <w:rPr>
              <w:b/>
              <w:bCs/>
              <w:noProof/>
            </w:rPr>
            <w:fldChar w:fldCharType="end"/>
          </w:r>
        </w:p>
      </w:sdtContent>
    </w:sdt>
    <w:p w14:paraId="67D7AD77" w14:textId="77777777" w:rsidR="00C00915" w:rsidRDefault="00C00915" w:rsidP="00C00915">
      <w:pPr>
        <w:rPr>
          <w:lang w:val="en-US" w:eastAsia="en-US"/>
        </w:rPr>
      </w:pPr>
    </w:p>
    <w:p w14:paraId="5AF9984B" w14:textId="77777777" w:rsidR="00C00915" w:rsidRDefault="00C00915" w:rsidP="00C00915">
      <w:pPr>
        <w:rPr>
          <w:lang w:val="en-US" w:eastAsia="en-US"/>
        </w:rPr>
      </w:pPr>
    </w:p>
    <w:p w14:paraId="23FA332E" w14:textId="77777777" w:rsidR="00C00915" w:rsidRDefault="00C00915" w:rsidP="00C00915">
      <w:pPr>
        <w:rPr>
          <w:lang w:val="en-US" w:eastAsia="en-US"/>
        </w:rPr>
      </w:pPr>
    </w:p>
    <w:p w14:paraId="60B56542" w14:textId="77777777" w:rsidR="00C00915" w:rsidRDefault="00C00915" w:rsidP="00C00915">
      <w:pPr>
        <w:rPr>
          <w:lang w:val="en-US" w:eastAsia="en-US"/>
        </w:rPr>
      </w:pPr>
    </w:p>
    <w:p w14:paraId="0B84EB0B" w14:textId="77777777" w:rsidR="00C00915" w:rsidRDefault="00C00915" w:rsidP="00C00915">
      <w:pPr>
        <w:rPr>
          <w:lang w:val="en-US" w:eastAsia="en-US"/>
        </w:rPr>
      </w:pPr>
    </w:p>
    <w:p w14:paraId="143876AE" w14:textId="77777777" w:rsidR="00C00915" w:rsidRDefault="00C00915" w:rsidP="00C00915">
      <w:pPr>
        <w:rPr>
          <w:lang w:val="en-US" w:eastAsia="en-US"/>
        </w:rPr>
      </w:pPr>
    </w:p>
    <w:p w14:paraId="56721ECF" w14:textId="77777777" w:rsidR="00C00915" w:rsidRDefault="00C00915" w:rsidP="00C00915">
      <w:pPr>
        <w:rPr>
          <w:lang w:val="en-US" w:eastAsia="en-US"/>
        </w:rPr>
      </w:pPr>
    </w:p>
    <w:p w14:paraId="0338EFDF" w14:textId="77777777" w:rsidR="00C00915" w:rsidRDefault="00C00915" w:rsidP="00C00915">
      <w:pPr>
        <w:rPr>
          <w:lang w:val="en-US" w:eastAsia="en-US"/>
        </w:rPr>
      </w:pPr>
    </w:p>
    <w:p w14:paraId="350513E1" w14:textId="77777777" w:rsidR="00C00915" w:rsidRDefault="00C00915" w:rsidP="00C00915">
      <w:pPr>
        <w:rPr>
          <w:lang w:val="en-US" w:eastAsia="en-US"/>
        </w:rPr>
      </w:pPr>
    </w:p>
    <w:p w14:paraId="6E521D12" w14:textId="77777777" w:rsidR="00C00915" w:rsidRDefault="00C00915" w:rsidP="00C00915">
      <w:pPr>
        <w:rPr>
          <w:lang w:val="en-US" w:eastAsia="en-US"/>
        </w:rPr>
      </w:pPr>
    </w:p>
    <w:p w14:paraId="20D80BA3" w14:textId="77777777" w:rsidR="00C00915" w:rsidRDefault="00C00915" w:rsidP="00C00915">
      <w:pPr>
        <w:rPr>
          <w:lang w:val="en-US" w:eastAsia="en-US"/>
        </w:rPr>
      </w:pPr>
    </w:p>
    <w:p w14:paraId="153553B2" w14:textId="1A7BF828" w:rsidR="00583709" w:rsidRPr="00C00915" w:rsidRDefault="005831A9" w:rsidP="00C00915">
      <w:pPr>
        <w:pStyle w:val="Heading1"/>
      </w:pPr>
      <w:bookmarkStart w:id="0" w:name="_1ci93xb" w:colFirst="0" w:colLast="0"/>
      <w:bookmarkStart w:id="1" w:name="_Toc225708133"/>
      <w:bookmarkStart w:id="2" w:name="_Toc225712062"/>
      <w:bookmarkEnd w:id="0"/>
      <w:r w:rsidRPr="00C00915">
        <w:t>Introduction</w:t>
      </w:r>
      <w:bookmarkEnd w:id="1"/>
      <w:bookmarkEnd w:id="2"/>
    </w:p>
    <w:p w14:paraId="53809C4F" w14:textId="77777777" w:rsidR="00BE14DF" w:rsidRPr="00C00915" w:rsidRDefault="00BE14DF" w:rsidP="00C00915"/>
    <w:p w14:paraId="06B69CE0" w14:textId="77777777" w:rsidR="000A3527" w:rsidRPr="000A3527" w:rsidRDefault="000A3527" w:rsidP="000A3527">
      <w:r w:rsidRPr="000A3527">
        <w:t>Critical thinking has become an essential capability in modern organisational practice, particularly within complex, values</w:t>
      </w:r>
      <w:r w:rsidRPr="000A3527">
        <w:rPr>
          <w:rFonts w:ascii="Cambria Math" w:hAnsi="Cambria Math" w:cs="Cambria Math"/>
        </w:rPr>
        <w:t>‑</w:t>
      </w:r>
      <w:r w:rsidRPr="000A3527">
        <w:t>driven environments such as social care cooperatives. As workplaces evolve in response to increasing governance demands, diverse teams, and rapidly shifting expectations, employees are required not only to perform tasks but to interpret information, evaluate assumptions, and make reasoned judgements that support effective decision</w:t>
      </w:r>
      <w:r w:rsidRPr="000A3527">
        <w:rPr>
          <w:rFonts w:ascii="Cambria Math" w:hAnsi="Cambria Math" w:cs="Cambria Math"/>
        </w:rPr>
        <w:t>‑</w:t>
      </w:r>
      <w:r w:rsidRPr="000A3527">
        <w:t>making. Critical thinking provides the rational framework through which individuals question evidence, analyse perspectives, and reflect on their own reasoning processes (</w:t>
      </w:r>
      <w:proofErr w:type="spellStart"/>
      <w:r w:rsidRPr="000A3527">
        <w:t>Facione</w:t>
      </w:r>
      <w:proofErr w:type="spellEnd"/>
      <w:r w:rsidRPr="000A3527">
        <w:t>, 2020; Halpern, 2014). In doing so, it strengthens professional judgement, enhances interpersonal effectiveness, and supports ethical, person</w:t>
      </w:r>
      <w:r w:rsidRPr="000A3527">
        <w:rPr>
          <w:rFonts w:ascii="Cambria Math" w:hAnsi="Cambria Math" w:cs="Cambria Math"/>
        </w:rPr>
        <w:t>‑</w:t>
      </w:r>
      <w:r w:rsidRPr="000A3527">
        <w:t>centred practice.</w:t>
      </w:r>
    </w:p>
    <w:p w14:paraId="26ACED7B" w14:textId="461FE187" w:rsidR="000A3527" w:rsidRPr="000A3527" w:rsidRDefault="000A3527" w:rsidP="000A3527">
      <w:r w:rsidRPr="000A3527">
        <w:t>For individuals working in internal functions such as finance</w:t>
      </w:r>
      <w:r w:rsidR="0060549B">
        <w:t xml:space="preserve"> </w:t>
      </w:r>
      <w:r w:rsidRPr="000A3527">
        <w:t>where accuracy, accountability, and collaboration overlap</w:t>
      </w:r>
      <w:r w:rsidR="0060549B">
        <w:t xml:space="preserve"> </w:t>
      </w:r>
      <w:r w:rsidRPr="000A3527">
        <w:t>the ability to think critically is particularly significant. It enables employees to navigate ambiguity, challenge unhelpful norms, and contribute constructively to organisational learning (Brookfield, 2017; Chatfield, 2021). Within organisational behaviour literature, critical thinking is understood not as a single skill but as a multidimensional process involving analysis, evaluation, reflection, and informed decision</w:t>
      </w:r>
      <w:r w:rsidRPr="000A3527">
        <w:rPr>
          <w:rFonts w:ascii="Cambria Math" w:hAnsi="Cambria Math" w:cs="Cambria Math"/>
        </w:rPr>
        <w:t>‑</w:t>
      </w:r>
      <w:r w:rsidRPr="000A3527">
        <w:t>making (Ennis, 2018; Paul &amp; Elder, 2019). This is especially relevant in environments where beliefs, attitudes, and values strongly influence workplace behaviour.</w:t>
      </w:r>
    </w:p>
    <w:p w14:paraId="531F52B0" w14:textId="57D68B2F" w:rsidR="000A3527" w:rsidRPr="000A3527" w:rsidRDefault="000A3527" w:rsidP="000A3527">
      <w:r w:rsidRPr="000A3527">
        <w:t>In the context of Cartrefi Cymru Cooperative, where empowerment, shared responsibility, and person</w:t>
      </w:r>
      <w:r w:rsidRPr="000A3527">
        <w:rPr>
          <w:rFonts w:ascii="Cambria Math" w:hAnsi="Cambria Math" w:cs="Cambria Math"/>
        </w:rPr>
        <w:t>‑</w:t>
      </w:r>
      <w:r w:rsidRPr="000A3527">
        <w:t>centred practice form the foundation of the organisational ethos, critical thinking plays a vital role in sustaining a psychologically safe and collaborative culture. Employees are encouraged to question assumptions, engage in reflective dialogue, and contribute to collective problem</w:t>
      </w:r>
      <w:r w:rsidRPr="000A3527">
        <w:rPr>
          <w:rFonts w:ascii="Cambria Math" w:hAnsi="Cambria Math" w:cs="Cambria Math"/>
        </w:rPr>
        <w:t>‑</w:t>
      </w:r>
      <w:r w:rsidRPr="000A3527">
        <w:t>solving</w:t>
      </w:r>
      <w:r w:rsidR="0060549B">
        <w:t xml:space="preserve"> </w:t>
      </w:r>
      <w:r w:rsidRPr="000A3527">
        <w:t>behaviours consistent with Edmondson’s (2019) work on psychological safety. For the individual completing this assignment, critical thinking is central to understanding how their own beliefs, attitudes, and values shape their workplace behaviour and how these interact with the cooperative’s values</w:t>
      </w:r>
      <w:r w:rsidRPr="000A3527">
        <w:rPr>
          <w:rFonts w:ascii="Cambria Math" w:hAnsi="Cambria Math" w:cs="Cambria Math"/>
        </w:rPr>
        <w:t>‑</w:t>
      </w:r>
      <w:r w:rsidRPr="000A3527">
        <w:t>driven culture (Askeland et al., 2022; CIPD, 2023).</w:t>
      </w:r>
    </w:p>
    <w:p w14:paraId="73B3FCF5" w14:textId="77777777" w:rsidR="000A3527" w:rsidRPr="000A3527" w:rsidRDefault="000A3527" w:rsidP="000A3527">
      <w:r w:rsidRPr="000A3527">
        <w:t>Furthermore, critical thinking is essential when applying management theories such as McGregor’s Theory X and Theory Y. These frameworks offer valuable insights into human motivation and managerial assumptions, but their relevance depends on the ability to interpret them critically and consider how they interact with personal values, conflict tendencies, and organisational context (McGregor, 1960; Miner, 2015). By engaging in critical analysis, the individual can better understand why they identify strongly with Theory Y principles and how colleagues with different beliefs or conflict modes may interpret the same theory differently.</w:t>
      </w:r>
    </w:p>
    <w:p w14:paraId="5AFC26BB" w14:textId="77777777" w:rsidR="000A3527" w:rsidRPr="000A3527" w:rsidRDefault="000A3527" w:rsidP="007C25F9">
      <w:r w:rsidRPr="000A3527">
        <w:t>Overall, critical thinking underpins the reflective and analytical approach required for this assignment. It enables a deeper examination of how internal psychological concepts influence behaviour, how management theory shapes expectations, and how individuals can adapt their practice to support effective teamwork and organisational cohesion. In doing so, it supports the development of more effective, ethical, and contextually aware leadership within a cooperative environment.</w:t>
      </w:r>
    </w:p>
    <w:p w14:paraId="4C4C057F" w14:textId="6359CA66" w:rsidR="008A13AE" w:rsidRDefault="008A13AE" w:rsidP="007C25F9"/>
    <w:p w14:paraId="409BAB3F" w14:textId="77777777" w:rsidR="00A65300" w:rsidRPr="00C00915" w:rsidRDefault="00A65300" w:rsidP="00A75B3E">
      <w:pPr>
        <w:pStyle w:val="Heading1"/>
      </w:pPr>
      <w:bookmarkStart w:id="3" w:name="_3whwml4" w:colFirst="0" w:colLast="0"/>
      <w:bookmarkStart w:id="4" w:name="_Toc225708134"/>
      <w:bookmarkStart w:id="5" w:name="_Toc225712063"/>
      <w:bookmarkEnd w:id="3"/>
      <w:r w:rsidRPr="00C00915">
        <w:t>A Critical Analysis of the Impact of Beliefs, Attitudes and Values on Workplace Behaviour</w:t>
      </w:r>
      <w:bookmarkEnd w:id="4"/>
      <w:bookmarkEnd w:id="5"/>
    </w:p>
    <w:p w14:paraId="719CCA5B" w14:textId="77777777" w:rsidR="00524371" w:rsidRPr="00C00915" w:rsidRDefault="00524371" w:rsidP="007C25F9"/>
    <w:p w14:paraId="0FA54833" w14:textId="77777777" w:rsidR="000A5AD9" w:rsidRPr="000A5AD9" w:rsidRDefault="000A5AD9" w:rsidP="007C25F9">
      <w:r w:rsidRPr="000A5AD9">
        <w:t>Beliefs, attitudes, and values are central psychological structures that shape how individuals interpret workplace situations, interact with colleagues, and make decisions. Organisational behaviour literature recognises these constructs as foundational influences on employee motivation, interpersonal dynamics, and ethical conduct (Furnham, 2021; Robbins &amp; Judge, 2022; Schwartz, 2012). Within social</w:t>
      </w:r>
      <w:r w:rsidRPr="000A5AD9">
        <w:rPr>
          <w:rFonts w:ascii="Cambria Math" w:hAnsi="Cambria Math" w:cs="Cambria Math"/>
        </w:rPr>
        <w:t>‑</w:t>
      </w:r>
      <w:r w:rsidRPr="000A5AD9">
        <w:t>care</w:t>
      </w:r>
      <w:r w:rsidRPr="000A5AD9">
        <w:rPr>
          <w:rFonts w:ascii="Cambria Math" w:hAnsi="Cambria Math" w:cs="Cambria Math"/>
        </w:rPr>
        <w:t>‑</w:t>
      </w:r>
      <w:r w:rsidRPr="000A5AD9">
        <w:t>based cooperatives such as Cartrefi Cymru, understanding how these internal frameworks influence behaviour is essential for effective leadership and team unity. The cooperative model emphasises empowerment, shared responsibility, and person</w:t>
      </w:r>
      <w:r w:rsidRPr="000A5AD9">
        <w:rPr>
          <w:rFonts w:ascii="Cambria Math" w:hAnsi="Cambria Math" w:cs="Cambria Math"/>
        </w:rPr>
        <w:t>‑</w:t>
      </w:r>
      <w:r w:rsidRPr="000A5AD9">
        <w:t>centred practice, meaning that employees’ internal belief systems directly influence how effectively they contribute to organisational goals (Askeland et al., 2022).</w:t>
      </w:r>
    </w:p>
    <w:p w14:paraId="52CF9189" w14:textId="77777777" w:rsidR="000A5AD9" w:rsidRPr="000A5AD9" w:rsidRDefault="000A5AD9" w:rsidP="007C25F9">
      <w:r w:rsidRPr="000A5AD9">
        <w:t>Finance teams operate at the intersection of accuracy, compliance, and service delivery, requiring both technical precision and interpersonal responsiveness. Personal beliefs about responsibility, attitudes towards teamwork, and values relating to helpfulness, honesty, and learning directly shape workplace behaviour (Robbins &amp; Judge, 2022). However, workplace environments are rarely uniform. Differences in beliefs and attitudes among colleagues can create friction, particularly when expectations around shared tasks differ. In the individual’s team, for example, some colleagues demonstrate reluctance to answer general phone calls or manage shared inboxes, while others willingly take on these tasks. These differences highlight the importance of understanding how internal psychological constructs influence behaviour and how they interact with organisational culture and perceived role boundaries (CIPD, 2023).</w:t>
      </w:r>
    </w:p>
    <w:p w14:paraId="6DCA3461" w14:textId="000F19C7" w:rsidR="00C77F6E" w:rsidRPr="00C00915" w:rsidRDefault="000A5AD9" w:rsidP="007C25F9">
      <w:r w:rsidRPr="000A5AD9">
        <w:t xml:space="preserve">Beyond individual differences, organisational context also plays a significant role. Cooperatives rely heavily on shared responsibility and mutual accountability, meaning that employees’ values must align with the organisation’s ethos for the culture to function effectively. When values are misaligned, behavioural inconsistencies emerge, which can undermine team cohesion and create tension. This interplay between personal and organisational values is a recurring theme in organisational behaviour research (Chatman, 1989; </w:t>
      </w:r>
      <w:proofErr w:type="spellStart"/>
      <w:r w:rsidRPr="000A5AD9">
        <w:t>Meglino</w:t>
      </w:r>
      <w:proofErr w:type="spellEnd"/>
      <w:r w:rsidRPr="000A5AD9">
        <w:t xml:space="preserve"> &amp; Ravlin, 1998).</w:t>
      </w:r>
    </w:p>
    <w:p w14:paraId="373FD56B" w14:textId="7D12F2BE" w:rsidR="00772427" w:rsidRDefault="00293A21" w:rsidP="00A75B3E">
      <w:pPr>
        <w:pStyle w:val="Heading2"/>
      </w:pPr>
      <w:bookmarkStart w:id="6" w:name="_3as4poj" w:colFirst="0" w:colLast="0"/>
      <w:bookmarkStart w:id="7" w:name="_2p2csry" w:colFirst="0" w:colLast="0"/>
      <w:bookmarkStart w:id="8" w:name="_Toc225708135"/>
      <w:bookmarkStart w:id="9" w:name="_Toc225712064"/>
      <w:bookmarkEnd w:id="6"/>
      <w:bookmarkEnd w:id="7"/>
      <w:r w:rsidRPr="00C00915">
        <w:t>Distinguishing Beliefs, Attitudes and Values in a Workplace Context</w:t>
      </w:r>
      <w:bookmarkEnd w:id="8"/>
      <w:bookmarkEnd w:id="9"/>
    </w:p>
    <w:p w14:paraId="2C9A150A" w14:textId="77777777" w:rsidR="003E58B1" w:rsidRPr="003E58B1" w:rsidRDefault="003E58B1" w:rsidP="003E58B1"/>
    <w:p w14:paraId="775A64DD" w14:textId="77777777" w:rsidR="00842CDB" w:rsidRPr="00842CDB" w:rsidRDefault="00842CDB" w:rsidP="007C25F9">
      <w:bookmarkStart w:id="10" w:name="_Toc225708136"/>
      <w:r w:rsidRPr="00842CDB">
        <w:t>Beliefs are cognitive propositions individuals hold to be true (Schwartz, 2012). They influence how individuals interpret events, assess risk, and understand their responsibilities. For example, the individual holds a belief that teamwork is essential for organisational success and that shared responsibility strengthens collective performance. This belief shapes their willingness to support colleagues, answer general enquiries, and contribute beyond their immediate remit.</w:t>
      </w:r>
    </w:p>
    <w:p w14:paraId="5D2D24AE" w14:textId="6A21A1DC" w:rsidR="00842CDB" w:rsidRPr="00842CDB" w:rsidRDefault="00842CDB" w:rsidP="007C25F9">
      <w:r w:rsidRPr="00842CDB">
        <w:t>Attitudes, by contrast, are gauging judgements</w:t>
      </w:r>
      <w:r>
        <w:t xml:space="preserve"> </w:t>
      </w:r>
      <w:r w:rsidRPr="00842CDB">
        <w:t>positive or negative</w:t>
      </w:r>
      <w:r>
        <w:t xml:space="preserve"> </w:t>
      </w:r>
      <w:r w:rsidRPr="00842CDB">
        <w:t xml:space="preserve">towards people, tasks, or situations (Ajzen, 1991). They influence emotional responses and behavioural intentions. In the individual’s finance office, attitudes vary significantly among colleagues. Some demonstrate positive attitudes towards </w:t>
      </w:r>
      <w:r w:rsidRPr="00842CDB">
        <w:lastRenderedPageBreak/>
        <w:t>collaboration, while others display more rigid or self</w:t>
      </w:r>
      <w:r w:rsidRPr="00842CDB">
        <w:rPr>
          <w:rFonts w:ascii="Cambria Math" w:hAnsi="Cambria Math" w:cs="Cambria Math"/>
        </w:rPr>
        <w:t>‑</w:t>
      </w:r>
      <w:r w:rsidRPr="00842CDB">
        <w:t>protective attitudes, preferring to remain within the boundaries of their own job descriptions. These differing attitudes influence how individuals respond to shared tasks such as managing the team inbox or answering general phone calls. Ajzen’s (1991) theory of planned behaviour suggests that such attitudes, combined with perceived norms and perceived behavioural control, directly shape behavioural intentions, which helps explain why some colleagues willingly engage in shared responsibilities while others avoid them.</w:t>
      </w:r>
    </w:p>
    <w:p w14:paraId="174C4290" w14:textId="606ADB15" w:rsidR="00842CDB" w:rsidRPr="00842CDB" w:rsidRDefault="00842CDB" w:rsidP="007C25F9">
      <w:r w:rsidRPr="00842CDB">
        <w:t>Values are deeper, enduring principles that guide behaviour and ethical decision</w:t>
      </w:r>
      <w:r w:rsidRPr="00842CDB">
        <w:rPr>
          <w:rFonts w:ascii="Cambria Math" w:hAnsi="Cambria Math" w:cs="Cambria Math"/>
        </w:rPr>
        <w:t>‑</w:t>
      </w:r>
      <w:r w:rsidRPr="00842CDB">
        <w:t>making (</w:t>
      </w:r>
      <w:proofErr w:type="spellStart"/>
      <w:r w:rsidRPr="00842CDB">
        <w:t>Hitlin</w:t>
      </w:r>
      <w:proofErr w:type="spellEnd"/>
      <w:r w:rsidRPr="00842CDB">
        <w:t xml:space="preserve"> &amp; </w:t>
      </w:r>
      <w:proofErr w:type="spellStart"/>
      <w:r w:rsidRPr="00842CDB">
        <w:t>Piliavin</w:t>
      </w:r>
      <w:proofErr w:type="spellEnd"/>
      <w:r w:rsidRPr="00842CDB">
        <w:t>, 2004; Rokeach, 1973). They are more stable than attitudes and often serve as moral anchors. The individual’s values</w:t>
      </w:r>
      <w:r>
        <w:t xml:space="preserve"> </w:t>
      </w:r>
      <w:r w:rsidRPr="00842CDB">
        <w:t>work ethic, punctuality, helpfulness, kindness, loyalty, honesty, trustworthiness, approachability, and commitment to learning</w:t>
      </w:r>
      <w:r>
        <w:t xml:space="preserve"> </w:t>
      </w:r>
      <w:r w:rsidRPr="00842CDB">
        <w:t>represent core drivers of their behaviour. These values align with Cartrefi Cymru’s cooperative ethos, which emphasises empowerment, rights</w:t>
      </w:r>
      <w:r w:rsidRPr="00842CDB">
        <w:rPr>
          <w:rFonts w:ascii="Cambria Math" w:hAnsi="Cambria Math" w:cs="Cambria Math"/>
        </w:rPr>
        <w:t>‑</w:t>
      </w:r>
      <w:r w:rsidRPr="00842CDB">
        <w:t>based practice, and shared responsibility (Askeland et al., 2022; CIPD, 2023).</w:t>
      </w:r>
    </w:p>
    <w:p w14:paraId="62809707" w14:textId="77777777" w:rsidR="00842CDB" w:rsidRPr="00842CDB" w:rsidRDefault="00842CDB" w:rsidP="007C25F9">
      <w:r w:rsidRPr="00842CDB">
        <w:t>Research suggests that values remain relatively stable across the lifespan, whereas attitudes are more susceptible to change based on organisational climate and leadership behaviour (</w:t>
      </w:r>
      <w:proofErr w:type="spellStart"/>
      <w:r w:rsidRPr="00842CDB">
        <w:t>Meglino</w:t>
      </w:r>
      <w:proofErr w:type="spellEnd"/>
      <w:r w:rsidRPr="00842CDB">
        <w:t xml:space="preserve"> &amp; Ravlin, 1998; </w:t>
      </w:r>
      <w:proofErr w:type="spellStart"/>
      <w:r w:rsidRPr="00842CDB">
        <w:t>Stiglbauer</w:t>
      </w:r>
      <w:proofErr w:type="spellEnd"/>
      <w:r w:rsidRPr="00842CDB">
        <w:t xml:space="preserve"> et al., 2022). This distinction helps explain why the individual’s values consistently guide their behaviour, even when team dynamics vary. Their commitment to learning and approachability, for example, influences their willingness to support colleagues and engage in problem</w:t>
      </w:r>
      <w:r w:rsidRPr="00842CDB">
        <w:rPr>
          <w:rFonts w:ascii="Cambria Math" w:hAnsi="Cambria Math" w:cs="Cambria Math"/>
        </w:rPr>
        <w:t>‑</w:t>
      </w:r>
      <w:r w:rsidRPr="00842CDB">
        <w:t>solving, regardless of situational pressures.</w:t>
      </w:r>
    </w:p>
    <w:p w14:paraId="71611FE1" w14:textId="77777777" w:rsidR="00842CDB" w:rsidRPr="00842CDB" w:rsidRDefault="00842CDB" w:rsidP="007C25F9">
      <w:r w:rsidRPr="00842CDB">
        <w:t>The interaction between beliefs, attitudes, and values is complex. Beliefs influence how individuals interpret workplace events; attitudes influence how they feel about those events; and values influence how they choose to act (Furnham, 2021). For the individual, a belief in the importance of teamwork, combined with positive attitudes towards collaboration and strong values of helpfulness and loyalty, results in behaviours that support team unity and organisational learning.</w:t>
      </w:r>
    </w:p>
    <w:p w14:paraId="4302121C" w14:textId="77777777" w:rsidR="00842CDB" w:rsidRPr="00842CDB" w:rsidRDefault="00842CDB" w:rsidP="007C25F9">
      <w:r w:rsidRPr="00842CDB">
        <w:t>However, when colleagues hold different beliefs or attitudes, tensions can arise. For example, colleagues who believe that their responsibilities are limited strictly to their job descriptions may adopt attitudes that oppose participation in shared tasks. Their values may prioritise independence, predictability, or efficiency over collaboration. These differences highlight the importance of understanding how internal constructs shape workplace behaviour and how they contribute to team dynamics and perceptions of fairness (Robbins &amp; Judge, 2022).</w:t>
      </w:r>
    </w:p>
    <w:p w14:paraId="1EECEC2E" w14:textId="4700D839" w:rsidR="00772427" w:rsidRDefault="00E8786C" w:rsidP="00F11DF7">
      <w:pPr>
        <w:pStyle w:val="Heading1"/>
      </w:pPr>
      <w:bookmarkStart w:id="11" w:name="_Toc225712065"/>
      <w:r w:rsidRPr="00C00915">
        <w:t>Critical Assessment of the Individual’s Beliefs, Attitudes and Values and Their Impact on Workplace Behaviour</w:t>
      </w:r>
      <w:bookmarkEnd w:id="10"/>
      <w:bookmarkEnd w:id="11"/>
    </w:p>
    <w:p w14:paraId="73795D66" w14:textId="77777777" w:rsidR="00F11DF7" w:rsidRPr="00F11DF7" w:rsidRDefault="00F11DF7" w:rsidP="00F11DF7"/>
    <w:p w14:paraId="1BC637DE" w14:textId="74F9DECB" w:rsidR="00E8786C" w:rsidRDefault="0054585F" w:rsidP="00F11DF7">
      <w:pPr>
        <w:pStyle w:val="Heading2"/>
      </w:pPr>
      <w:bookmarkStart w:id="12" w:name="_Toc225708137"/>
      <w:bookmarkStart w:id="13" w:name="_Toc225712066"/>
      <w:r w:rsidRPr="00C00915">
        <w:t>Positive behavioural impacts</w:t>
      </w:r>
      <w:bookmarkEnd w:id="12"/>
      <w:bookmarkEnd w:id="13"/>
    </w:p>
    <w:p w14:paraId="4E99C5D8" w14:textId="77777777" w:rsidR="003E58B1" w:rsidRPr="003E58B1" w:rsidRDefault="003E58B1" w:rsidP="003E58B1"/>
    <w:p w14:paraId="17C0E639" w14:textId="77777777" w:rsidR="00E24B33" w:rsidRPr="00E24B33" w:rsidRDefault="00E24B33" w:rsidP="007C25F9">
      <w:bookmarkStart w:id="14" w:name="_Toc225708138"/>
      <w:r w:rsidRPr="00E24B33">
        <w:t xml:space="preserve">The individual’s beliefs, attitudes, and values have a significant positive impact on their workplace behaviour. Their belief in teamwork and psychological safety leads to behaviours that promote collaboration, openness, and support. This aligns with Edmondson’s (2019) findings that psychological safety enhances team learning, innovation, and performance. The individual’s commitment to being </w:t>
      </w:r>
      <w:r w:rsidRPr="00E24B33">
        <w:lastRenderedPageBreak/>
        <w:t>helpful, approachable, and trustworthy contributes to a learning</w:t>
      </w:r>
      <w:r w:rsidRPr="00E24B33">
        <w:rPr>
          <w:rFonts w:ascii="Cambria Math" w:hAnsi="Cambria Math" w:cs="Cambria Math"/>
        </w:rPr>
        <w:t>‑</w:t>
      </w:r>
      <w:r w:rsidRPr="00E24B33">
        <w:t>oriented environment, consistent with the values</w:t>
      </w:r>
      <w:r w:rsidRPr="00E24B33">
        <w:rPr>
          <w:rFonts w:ascii="Cambria Math" w:hAnsi="Cambria Math" w:cs="Cambria Math"/>
        </w:rPr>
        <w:t>‑</w:t>
      </w:r>
      <w:r w:rsidRPr="00E24B33">
        <w:t>driven practice emphasised by Askeland et al. (2022).</w:t>
      </w:r>
    </w:p>
    <w:p w14:paraId="5E4CDE8A" w14:textId="77777777" w:rsidR="00E24B33" w:rsidRPr="00E24B33" w:rsidRDefault="00E24B33" w:rsidP="007C25F9">
      <w:r w:rsidRPr="00E24B33">
        <w:t>Their strong work ethic and punctuality reflect a belief in professionalism and reliability, which positively influences team functioning and organisational trust. These behaviours align with Cartrefi Cymru’s cooperative ethos, which emphasises shared responsibility, empowerment, and person</w:t>
      </w:r>
      <w:r w:rsidRPr="00E24B33">
        <w:rPr>
          <w:rFonts w:ascii="Cambria Math" w:hAnsi="Cambria Math" w:cs="Cambria Math"/>
        </w:rPr>
        <w:t>‑</w:t>
      </w:r>
      <w:r w:rsidRPr="00E24B33">
        <w:t>centred practice. The individual’s values also support the development of positive relationships with colleagues, fostering a sense of unity and mutual respect (CIPD, 2023).</w:t>
      </w:r>
    </w:p>
    <w:p w14:paraId="46023910" w14:textId="77777777" w:rsidR="00E24B33" w:rsidRPr="00E24B33" w:rsidRDefault="00E24B33" w:rsidP="007C25F9">
      <w:r w:rsidRPr="00E24B33">
        <w:t>Furthermore, their value of learning encourages continuous improvement and reflective practice. This is particularly important in finance roles, where accuracy and compliance are essential, and where errors can have significant organisational consequences. Their willingness to seek clarification, ask questions, and support colleagues contributes to a culture of shared learning and reduces the risk of mistakes (Halpern, 2014; Paul &amp; Elder, 2019).</w:t>
      </w:r>
    </w:p>
    <w:p w14:paraId="5E53E7FD" w14:textId="77777777" w:rsidR="00E24B33" w:rsidRPr="00E24B33" w:rsidRDefault="00E24B33" w:rsidP="007C25F9">
      <w:r w:rsidRPr="00E24B33">
        <w:t>The individual’s values also support ethical decision</w:t>
      </w:r>
      <w:r w:rsidRPr="00E24B33">
        <w:rPr>
          <w:rFonts w:ascii="Cambria Math" w:hAnsi="Cambria Math" w:cs="Cambria Math"/>
        </w:rPr>
        <w:t>‑</w:t>
      </w:r>
      <w:r w:rsidRPr="00E24B33">
        <w:t>making. Honesty and trustworthiness are essential in finance roles, where transparency and accountability underpin organisational integrity. Their behaviour reflects a commitment to ethical practice, which strengthens organisational credibility and supports compliance with regulatory expectations (Robbins &amp; Judge, 2022).</w:t>
      </w:r>
    </w:p>
    <w:p w14:paraId="32D216F0" w14:textId="46526EC8" w:rsidR="001E0653" w:rsidRDefault="00325F25" w:rsidP="00F11DF7">
      <w:pPr>
        <w:pStyle w:val="Heading2"/>
      </w:pPr>
      <w:bookmarkStart w:id="15" w:name="_Toc225712067"/>
      <w:r w:rsidRPr="00C00915">
        <w:t>Challenges and tensions</w:t>
      </w:r>
      <w:bookmarkEnd w:id="14"/>
      <w:bookmarkEnd w:id="15"/>
    </w:p>
    <w:p w14:paraId="67EBD9EA" w14:textId="77777777" w:rsidR="003E58B1" w:rsidRPr="003E58B1" w:rsidRDefault="003E58B1" w:rsidP="003E58B1"/>
    <w:p w14:paraId="4D68A67E" w14:textId="77777777" w:rsidR="00D025DD" w:rsidRPr="00D025DD" w:rsidRDefault="00D025DD" w:rsidP="007C25F9">
      <w:bookmarkStart w:id="16" w:name="_Toc225708139"/>
      <w:r w:rsidRPr="00D025DD">
        <w:t>Despite these positive impacts, the individual’s values can also create challenges. Their desire to “go the extra mile” may contrast with colleagues who prefer to remain within strict role boundaries. This dynamic can create feelings of division or imbalance, particularly when some team members appear reluctant to answer general phone calls, manage shared inboxes, or proactively seek information to support the wider team. Such behaviour reflects what Li et al. (2023) describe as uncertainty</w:t>
      </w:r>
      <w:r w:rsidRPr="00D025DD">
        <w:rPr>
          <w:rFonts w:ascii="Cambria Math" w:hAnsi="Cambria Math" w:cs="Cambria Math"/>
        </w:rPr>
        <w:t>‑</w:t>
      </w:r>
      <w:r w:rsidRPr="00D025DD">
        <w:t>avoidant tendencies, where individuals prefer predictability and may resist tasks perceived as outside their remit. Hofstede’s (2001) work on uncertainty avoidance similarly suggests that individuals with higher uncertainty avoidance may favour clear structures and defined roles over flexible, shared responsibilities.</w:t>
      </w:r>
    </w:p>
    <w:p w14:paraId="42C803D8" w14:textId="77777777" w:rsidR="00D025DD" w:rsidRPr="00D025DD" w:rsidRDefault="00D025DD" w:rsidP="007C25F9">
      <w:r w:rsidRPr="00D025DD">
        <w:t>Equally, colleagues who are highly proactive may appear intrusive or over</w:t>
      </w:r>
      <w:r w:rsidRPr="00D025DD">
        <w:rPr>
          <w:rFonts w:ascii="Cambria Math" w:hAnsi="Cambria Math" w:cs="Cambria Math"/>
        </w:rPr>
        <w:t>‑</w:t>
      </w:r>
      <w:r w:rsidRPr="00D025DD">
        <w:t>involved, creating a different form of tension. Grant and Schwartz’s (2011) “too much of a good thing” principle suggests that even positive attitudes and strengths can become counterproductive when taken to extremes. For the individual, balancing their own values with the diverse attitudes of colleagues requires emotional intelligence, perspective</w:t>
      </w:r>
      <w:r w:rsidRPr="00D025DD">
        <w:rPr>
          <w:rFonts w:ascii="Cambria Math" w:hAnsi="Cambria Math" w:cs="Cambria Math"/>
        </w:rPr>
        <w:t>‑</w:t>
      </w:r>
      <w:r w:rsidRPr="00D025DD">
        <w:t>taking, and adaptability.</w:t>
      </w:r>
    </w:p>
    <w:p w14:paraId="0E4847AB" w14:textId="77777777" w:rsidR="00D025DD" w:rsidRPr="00D025DD" w:rsidRDefault="00D025DD" w:rsidP="007C25F9">
      <w:r w:rsidRPr="00D025DD">
        <w:t>Another challenge arises from the individual’s strong value of loyalty. While loyalty can strengthen team structure, it can also lead to reluctance to challenge poor practice or address conflict directly. This is particularly relevant in environments where some colleagues may not demonstrate the same level of commitment to shared tasks. The individual may feel frustrated but avoid addressing the issue due to their desire to maintain harmony. Rahim (2011) notes that such tensions between harmony and accountability are common in organisations and can lead to unresolved issues if not managed constructively.</w:t>
      </w:r>
    </w:p>
    <w:p w14:paraId="1E2633B3" w14:textId="77777777" w:rsidR="00D025DD" w:rsidRDefault="00D025DD" w:rsidP="007C25F9">
      <w:r w:rsidRPr="00D025DD">
        <w:lastRenderedPageBreak/>
        <w:t>This dynamic is further complicated by the cooperative context. Cooperatives rely on shared responsibility and mutual accountability, meaning that avoidance of conflict can undermine the collective ethos. When individuals avoid addressing issues, problems may persist, leading to reduced efficiency, increased frustration, and potential burnout for those who take on additional responsibilities (Edmondson, 2019; Robbins &amp; Judge, 2022).</w:t>
      </w:r>
    </w:p>
    <w:p w14:paraId="60A11415" w14:textId="3A9A275B" w:rsidR="0070625B" w:rsidRDefault="0070625B" w:rsidP="003B01AD">
      <w:pPr>
        <w:pStyle w:val="Heading2"/>
      </w:pPr>
      <w:bookmarkStart w:id="17" w:name="_Toc225712068"/>
      <w:r w:rsidRPr="00C00915">
        <w:t>Influence of critical thinking capacity</w:t>
      </w:r>
      <w:bookmarkEnd w:id="16"/>
      <w:bookmarkEnd w:id="17"/>
    </w:p>
    <w:p w14:paraId="1AE64D6C" w14:textId="77777777" w:rsidR="003E58B1" w:rsidRPr="003E58B1" w:rsidRDefault="003E58B1" w:rsidP="003E58B1"/>
    <w:p w14:paraId="6E0B7DBB" w14:textId="77777777" w:rsidR="00CA6DEB" w:rsidRPr="00CA6DEB" w:rsidRDefault="00CA6DEB" w:rsidP="007C25F9">
      <w:bookmarkStart w:id="18" w:name="_Toc225708140"/>
      <w:r w:rsidRPr="00CA6DEB">
        <w:t>The individual’s self</w:t>
      </w:r>
      <w:r w:rsidRPr="00CA6DEB">
        <w:rPr>
          <w:rFonts w:ascii="Cambria Math" w:hAnsi="Cambria Math" w:cs="Cambria Math"/>
        </w:rPr>
        <w:t>‑</w:t>
      </w:r>
      <w:r w:rsidRPr="00CA6DEB">
        <w:t>assessment of critical thinking indicates moderate capability with room for improvement. This aligns with Chatfield’s (2021) argument that critical thinking requires ongoing reflection on assumptions, biases, and reasoning processes. Research suggests that individuals with stronger critical thinking skills navigate interpersonal tensions more effectively and challenge unhelpful norms constructively (Ennis, 2018; Halpern, 2014).</w:t>
      </w:r>
    </w:p>
    <w:p w14:paraId="30ECD459" w14:textId="2CFD473B" w:rsidR="00CA6DEB" w:rsidRPr="00CA6DEB" w:rsidRDefault="00CA6DEB" w:rsidP="007C25F9">
      <w:r w:rsidRPr="00CA6DEB">
        <w:t xml:space="preserve">Critical thinking is particularly important in finance roles, where decisions must be based on evidence, accuracy, and logical reasoning. It also supports the ability to question </w:t>
      </w:r>
      <w:proofErr w:type="spellStart"/>
      <w:r w:rsidRPr="00CA6DEB">
        <w:t>assumptionsboth</w:t>
      </w:r>
      <w:proofErr w:type="spellEnd"/>
      <w:r w:rsidRPr="00CA6DEB">
        <w:t xml:space="preserve"> one’s own and those of colleagues. For example, the individual may assume that colleagues who avoid shared tasks are unwilling to help, when in fact they may lack confidence, feel overwhelmed, or be unclear about expectations. Critical thinking enables the individual to explore these possibilities, consider alternative explanations, and respond more effectively (</w:t>
      </w:r>
      <w:proofErr w:type="spellStart"/>
      <w:r w:rsidRPr="00CA6DEB">
        <w:t>Facione</w:t>
      </w:r>
      <w:proofErr w:type="spellEnd"/>
      <w:r w:rsidRPr="00CA6DEB">
        <w:t>, 2020; Paul &amp; Elder, 2019).</w:t>
      </w:r>
    </w:p>
    <w:p w14:paraId="2FAAC3F1" w14:textId="77777777" w:rsidR="00CA6DEB" w:rsidRDefault="00CA6DEB" w:rsidP="007C25F9">
      <w:r w:rsidRPr="00CA6DEB">
        <w:t>Developing stronger critical thinking skills would also support the individual in addressing conflict more constructively. By analysing the underlying causes of behaviour, considering alternative perspectives, and evaluating potential solutions, the individual can engage in more effective problem</w:t>
      </w:r>
      <w:r w:rsidRPr="00CA6DEB">
        <w:rPr>
          <w:rFonts w:ascii="Cambria Math" w:hAnsi="Cambria Math" w:cs="Cambria Math"/>
        </w:rPr>
        <w:t>‑</w:t>
      </w:r>
      <w:r w:rsidRPr="00CA6DEB">
        <w:t>solving and contribute to improved team functioning. This aligns with Brookfield’s (2017) view that critically reflective practitioners are better able to identify and challenge assumptions that limit effectiveness.</w:t>
      </w:r>
    </w:p>
    <w:p w14:paraId="2B666B75" w14:textId="452BD07D" w:rsidR="006131FB" w:rsidRDefault="0015484C" w:rsidP="00CA3B2C">
      <w:pPr>
        <w:pStyle w:val="Heading2"/>
      </w:pPr>
      <w:bookmarkStart w:id="19" w:name="_Toc225712069"/>
      <w:r w:rsidRPr="00C00915">
        <w:t>Conflict tendencies</w:t>
      </w:r>
      <w:bookmarkEnd w:id="18"/>
      <w:bookmarkEnd w:id="19"/>
    </w:p>
    <w:p w14:paraId="58E8CF40" w14:textId="77777777" w:rsidR="003E58B1" w:rsidRPr="003E58B1" w:rsidRDefault="003E58B1" w:rsidP="003E58B1"/>
    <w:p w14:paraId="351B8AAE" w14:textId="77777777" w:rsidR="00C1614E" w:rsidRPr="00C1614E" w:rsidRDefault="00C1614E" w:rsidP="007C25F9">
      <w:r w:rsidRPr="00C1614E">
        <w:t>The Thomas–Kilmann Conflict Mode Instrument (Thomas &amp; Kilmann, 2008) shows high scores in Avoiding and Accommodating. These tendencies suggest a preference for maintaining harmony and reducing tension, even at personal cost. While this aligns with values of kindness, loyalty, and approachability, it may also limit the individual’s ability to challenge poor practice or assert boundaries. This reflects the tension described by Rahim (2011), where values such as loyalty may conflict with the need to address issues directly.</w:t>
      </w:r>
    </w:p>
    <w:p w14:paraId="7CA40934" w14:textId="77777777" w:rsidR="00C1614E" w:rsidRPr="00C1614E" w:rsidRDefault="00C1614E" w:rsidP="007C25F9">
      <w:r w:rsidRPr="00C1614E">
        <w:t>Avoiding conflict can lead to unresolved issues, increased frustration, and reduced team effectiveness. Accommodating others’ preferences can create imbalance, where the individual takes on more than their fair share of work. Over time, this may contribute to emotional exhaustion or quiet resentment, particularly in teams where contributions are unevenly distributed (Robbins &amp; Judge, 2022).</w:t>
      </w:r>
    </w:p>
    <w:p w14:paraId="3C02187C" w14:textId="77777777" w:rsidR="00C1614E" w:rsidRDefault="00C1614E" w:rsidP="007C25F9">
      <w:r w:rsidRPr="00C1614E">
        <w:t xml:space="preserve">Developing assertiveness skills would help the individual address issues constructively while maintaining positive relationships. Approaches such as respectful inquiry and open questioning can support this shift, enabling the individual to surface concerns without escalating tension (Van </w:t>
      </w:r>
      <w:proofErr w:type="spellStart"/>
      <w:r w:rsidRPr="00C1614E">
        <w:t>Quaquebeke</w:t>
      </w:r>
      <w:proofErr w:type="spellEnd"/>
      <w:r w:rsidRPr="00C1614E">
        <w:t xml:space="preserve"> &amp; Felps, 2018). In cooperative environments, conflict avoidance can also undermine shared responsibility. When individuals avoid addressing issues, the burden often falls on those who are more willing to take </w:t>
      </w:r>
      <w:r w:rsidRPr="00C1614E">
        <w:lastRenderedPageBreak/>
        <w:t>initiative. This can create resentment and reduce team cohesion. Developing a more balanced conflict style such as collaborating or compromising would support more effective teamwork and align more closely with the cooperative ethos (Rahim, 2011; Thomas &amp; Kilmann, 2008).</w:t>
      </w:r>
    </w:p>
    <w:p w14:paraId="332EBB6C" w14:textId="1FEDCD58" w:rsidR="001E0653" w:rsidRPr="00C00915" w:rsidRDefault="0014482B" w:rsidP="00BF41BD">
      <w:pPr>
        <w:pStyle w:val="Heading1"/>
      </w:pPr>
      <w:bookmarkStart w:id="20" w:name="_Toc225708141"/>
      <w:bookmarkStart w:id="21" w:name="_Toc225712070"/>
      <w:r w:rsidRPr="00C00915">
        <w:t>Critical Assessment of McGregor’s Theory X and Theory Y and Its Impact on the Individual’s Beliefs, Attitudes and Values</w:t>
      </w:r>
      <w:bookmarkEnd w:id="20"/>
      <w:bookmarkEnd w:id="21"/>
    </w:p>
    <w:p w14:paraId="321E4760" w14:textId="77777777" w:rsidR="00524371" w:rsidRPr="00C00915" w:rsidRDefault="00524371" w:rsidP="007C25F9"/>
    <w:p w14:paraId="06575F46" w14:textId="5F1B371D" w:rsidR="00AA590A" w:rsidRDefault="00AA590A" w:rsidP="00BF41BD">
      <w:pPr>
        <w:pStyle w:val="Heading2"/>
      </w:pPr>
      <w:bookmarkStart w:id="22" w:name="_Toc225708142"/>
      <w:bookmarkStart w:id="23" w:name="_Toc225712071"/>
      <w:r w:rsidRPr="00C00915">
        <w:t>Overview of Theory X and Theory Y</w:t>
      </w:r>
      <w:bookmarkEnd w:id="22"/>
      <w:bookmarkEnd w:id="23"/>
    </w:p>
    <w:p w14:paraId="7D7A9A01" w14:textId="77777777" w:rsidR="003E58B1" w:rsidRPr="003E58B1" w:rsidRDefault="003E58B1" w:rsidP="003E58B1"/>
    <w:p w14:paraId="0F87E26D" w14:textId="77777777" w:rsidR="00D732D7" w:rsidRPr="00D732D7" w:rsidRDefault="00D732D7" w:rsidP="00D732D7">
      <w:bookmarkStart w:id="24" w:name="_Toc225708146"/>
      <w:r w:rsidRPr="00D732D7">
        <w:t>McGregor’s Theory X and Theory Y present two contrasting sets of assumptions about human motivation and behaviour at work. These theories have become foundational within organisational behaviour literature because they highlight how managerial beliefs shape leadership style, communication, job design, and organisational culture (McGregor, 1960; Miner, 2015). Theory X is grounded in the assumption that employees inherently dislike work, avoid responsibility, and require close supervision, direction, and control. Managers operating from a Theory X perspective tend to rely on formal rules, hierarchical structures, and external motivators such as rewards and sanctions. This approach assumes that without firm oversight, employees will not meet organisational expectations (Stuart &amp; Lindsay, 2010).</w:t>
      </w:r>
    </w:p>
    <w:p w14:paraId="6B0630A2" w14:textId="12597127" w:rsidR="00D732D7" w:rsidRPr="00D732D7" w:rsidRDefault="00D732D7" w:rsidP="00D732D7">
      <w:r w:rsidRPr="00D732D7">
        <w:t>In contrast, Theory Y proposes a more optimistic view of human motivation. It assumes that employees are naturally inclined to take responsibility, seek meaningful work, and contribute creatively when provided with the right conditions. Theory Y managers believe that individuals are capable of self</w:t>
      </w:r>
      <w:r w:rsidRPr="00D732D7">
        <w:noBreakHyphen/>
        <w:t>direction, problem</w:t>
      </w:r>
      <w:r w:rsidRPr="00D732D7">
        <w:noBreakHyphen/>
        <w:t>solving, and intrinsic motivation, particularly when they feel trusted and empowered (McGregor, 1960). This perspective aligns closely with contemporary leadership approaches such as participative leadership, empowerment, and psychological safety, all of which emphasise independence, collaboration, and shared responsibility (Edmondson, 2019; Wong &amp; Cummings, 2009).</w:t>
      </w:r>
    </w:p>
    <w:p w14:paraId="7CB7AAC2" w14:textId="77777777" w:rsidR="009C42BB" w:rsidRPr="009C42BB" w:rsidRDefault="009C42BB" w:rsidP="009C42BB">
      <w:r w:rsidRPr="009C42BB">
        <w:t>These theories also highlight the importance of aligning leadership style with organisational context and employee needs. In values</w:t>
      </w:r>
      <w:r w:rsidRPr="009C42BB">
        <w:noBreakHyphen/>
        <w:t>driven environments such as cooperatives, Theory Y assumptions are often more compatible with the desired culture of empowerment, participation, and shared ownership (</w:t>
      </w:r>
      <w:proofErr w:type="spellStart"/>
      <w:r w:rsidRPr="009C42BB">
        <w:t>Olum</w:t>
      </w:r>
      <w:proofErr w:type="spellEnd"/>
      <w:r w:rsidRPr="009C42BB">
        <w:t>, 2004). Cooperative models rely on trust, mutual accountability, and distributed decision</w:t>
      </w:r>
      <w:r w:rsidRPr="009C42BB">
        <w:noBreakHyphen/>
        <w:t>making, making Theory Y a natural fit for environments where employees are encouraged to contribute beyond rigid job boundaries.</w:t>
      </w:r>
    </w:p>
    <w:p w14:paraId="2D1ECBB0" w14:textId="326512E3" w:rsidR="009C42BB" w:rsidRPr="009C42BB" w:rsidRDefault="009C42BB" w:rsidP="009C42BB">
      <w:r w:rsidRPr="009C42BB">
        <w:t>However, McGregor did not intend Theory X and Theory Y to be rigid categories. Instead, he argued that effective leadership requires understanding the assumptions that underpin managerial behaviour and recognising how these assumptions influence employee motivation. Modern interpretations emphasise that leaders may need to draw from both theories depending on situational demands, team maturity, and organisational pressures (Miner, 2015). This flexibility is particularly important in diverse teams where individuals may respond differently to independence, structure, and expectations.</w:t>
      </w:r>
    </w:p>
    <w:p w14:paraId="1F4DBC09" w14:textId="5479A677" w:rsidR="006A6040" w:rsidRDefault="00E901A6" w:rsidP="00BF41BD">
      <w:pPr>
        <w:pStyle w:val="Heading2"/>
      </w:pPr>
      <w:bookmarkStart w:id="25" w:name="_Toc225712072"/>
      <w:r w:rsidRPr="006F137B">
        <w:t>The individual identifies as a Theory Y manager.</w:t>
      </w:r>
      <w:bookmarkEnd w:id="25"/>
      <w:r w:rsidRPr="006F137B">
        <w:t xml:space="preserve"> </w:t>
      </w:r>
    </w:p>
    <w:p w14:paraId="34125536" w14:textId="77777777" w:rsidR="003E58B1" w:rsidRPr="003E58B1" w:rsidRDefault="003E58B1" w:rsidP="003E58B1"/>
    <w:p w14:paraId="3AD6FDE0" w14:textId="76831F1E" w:rsidR="00E901A6" w:rsidRPr="00E901A6" w:rsidRDefault="00E901A6" w:rsidP="007C25F9">
      <w:r w:rsidRPr="00E901A6">
        <w:lastRenderedPageBreak/>
        <w:t>This aligns with their values of trustworthiness, learning, empowerment, and psychological safety. Their belief that colleagues should take initiative, share responsibility, and contribute to team cohesion reflects Theory Y assumptions about natural motivation and self</w:t>
      </w:r>
      <w:r w:rsidRPr="00E901A6">
        <w:rPr>
          <w:rFonts w:ascii="Cambria Math" w:hAnsi="Cambria Math" w:cs="Cambria Math"/>
        </w:rPr>
        <w:t>‑</w:t>
      </w:r>
      <w:r w:rsidRPr="00E901A6">
        <w:t>direction (McGregor, 1960). They tend to assume that, given the right conditions, colleagues will want to contribute positively and collaboratively.</w:t>
      </w:r>
    </w:p>
    <w:p w14:paraId="55F47080" w14:textId="08A2FA2C" w:rsidR="00E901A6" w:rsidRDefault="00E901A6" w:rsidP="007C25F9">
      <w:r w:rsidRPr="00E901A6">
        <w:t>Theory Y also aligns with the cooperative ethos of Cartrefi Cymru, which emphasises empowerment, shared responsibility, and person</w:t>
      </w:r>
      <w:r w:rsidRPr="00E901A6">
        <w:rPr>
          <w:rFonts w:ascii="Cambria Math" w:hAnsi="Cambria Math" w:cs="Cambria Math"/>
        </w:rPr>
        <w:t>‑</w:t>
      </w:r>
      <w:r w:rsidRPr="00E901A6">
        <w:t>centred practice (Askeland et al., 2022). The individual’s values support this ethos, and their behaviour reflects a commitment to fostering a collaborative and supportive environment. This is consistent with research suggesting that leadership behaviours grounded in trust and empowerment can enhance engagement, satisfaction, and performance (Wong &amp; Cummings, 2009).</w:t>
      </w:r>
    </w:p>
    <w:p w14:paraId="3A8363C2" w14:textId="77777777" w:rsidR="00DD0C6A" w:rsidRDefault="00600529" w:rsidP="00BF41BD">
      <w:pPr>
        <w:pStyle w:val="Heading2"/>
      </w:pPr>
      <w:bookmarkStart w:id="26" w:name="_Toc225712073"/>
      <w:r w:rsidRPr="00C00915">
        <w:t>Interaction</w:t>
      </w:r>
      <w:r w:rsidR="00E06D14" w:rsidRPr="00C00915">
        <w:t xml:space="preserve"> of</w:t>
      </w:r>
      <w:r w:rsidR="00686D05" w:rsidRPr="00C00915">
        <w:t xml:space="preserve"> Theory X and Theory Y personal beliefs and values</w:t>
      </w:r>
      <w:bookmarkStart w:id="27" w:name="_Toc225708148"/>
      <w:bookmarkEnd w:id="24"/>
      <w:bookmarkEnd w:id="26"/>
    </w:p>
    <w:p w14:paraId="62D0EDBE" w14:textId="77777777" w:rsidR="003E58B1" w:rsidRPr="003E58B1" w:rsidRDefault="003E58B1" w:rsidP="003E58B1"/>
    <w:p w14:paraId="7292D516" w14:textId="21D3196E" w:rsidR="009E21F5" w:rsidRDefault="009E21F5" w:rsidP="007C25F9">
      <w:r w:rsidRPr="009E21F5">
        <w:t>The individual’s Theory Y orientation strengthens their commitment to empowerment. However, it also creates frustration when colleagues behave in ways more aligned with Theory X assumptions avoiding responsibility, resisting shared tasks, or relying heavily on direction. Bloom’s Taxonomy provides a useful lens for understanding these differences: individuals operating at higher cognitive levels (e.g., analysis, evaluation, creation) may interpret Theory Y as natural, while others may prefer the structure associated with more directive approaches (Anderson &amp; Krathwohl, 2001; Bloom, 1956).</w:t>
      </w:r>
    </w:p>
    <w:p w14:paraId="0B03A722" w14:textId="77777777" w:rsidR="00A56968" w:rsidRDefault="00A56968" w:rsidP="00BF41BD">
      <w:pPr>
        <w:pStyle w:val="Heading2"/>
      </w:pPr>
      <w:bookmarkStart w:id="28" w:name="_Toc225712074"/>
      <w:r w:rsidRPr="00A56968">
        <w:t>How individuals with different beliefs, attitudes and values interpret the theory differently</w:t>
      </w:r>
      <w:bookmarkEnd w:id="28"/>
    </w:p>
    <w:p w14:paraId="48C390E1" w14:textId="77777777" w:rsidR="003E58B1" w:rsidRPr="003E58B1" w:rsidRDefault="003E58B1" w:rsidP="003E58B1"/>
    <w:p w14:paraId="298E74E8" w14:textId="46DEB294" w:rsidR="00D11FD9" w:rsidRPr="00D11FD9" w:rsidRDefault="00D11FD9" w:rsidP="00D11FD9">
      <w:r w:rsidRPr="00D11FD9">
        <w:t>Individuals with different beliefs, attitudes, and values are unlikely to experience McGregor’s Theory X and Theory Y in the same way. For some, particularly those with strong safety</w:t>
      </w:r>
      <w:r w:rsidRPr="00D11FD9">
        <w:noBreakHyphen/>
        <w:t>oriented beliefs or high uncertainty avoidance, Theory Y may feel risky, idealistic, or even unfair. If an individual believes that work should be tightly structured, that responsibilities must be clearly defined, and that deviation from agreed processes increases the likelihood of error, then a Theory Y environment</w:t>
      </w:r>
      <w:r w:rsidR="00B2514C">
        <w:t xml:space="preserve"> </w:t>
      </w:r>
      <w:r w:rsidRPr="00D11FD9">
        <w:t xml:space="preserve">where </w:t>
      </w:r>
      <w:r w:rsidR="00B2514C" w:rsidRPr="00D11FD9">
        <w:t>independence</w:t>
      </w:r>
      <w:r w:rsidRPr="00D11FD9">
        <w:t xml:space="preserve"> and self</w:t>
      </w:r>
      <w:r w:rsidRPr="00D11FD9">
        <w:noBreakHyphen/>
        <w:t>direction are emphasised</w:t>
      </w:r>
      <w:r w:rsidR="00B2514C">
        <w:t xml:space="preserve"> </w:t>
      </w:r>
      <w:r w:rsidRPr="00D11FD9">
        <w:t>may be experienced as anxiety</w:t>
      </w:r>
      <w:r w:rsidRPr="00D11FD9">
        <w:noBreakHyphen/>
        <w:t>provoking rather than empowering (Hofstede, 2001; Li et al., 2023). These individuals may therefore gravitate towards Theory X assumptions, not because they inherently distrust others, but because they associate structure and control with psychological safety, predictability, and reduced personal risk.</w:t>
      </w:r>
    </w:p>
    <w:p w14:paraId="5927BDD9" w14:textId="77777777" w:rsidR="00D11FD9" w:rsidRPr="00D11FD9" w:rsidRDefault="00D11FD9" w:rsidP="00D11FD9">
      <w:r w:rsidRPr="00D11FD9">
        <w:t>Conversely, empowerment</w:t>
      </w:r>
      <w:r w:rsidRPr="00D11FD9">
        <w:noBreakHyphen/>
        <w:t xml:space="preserve">focused individuals, or those whose values emphasise growth, learning, and collaboration, may interpret Theory X as restrictive, demotivating, or even disrespectful. If a person believes that most people want to contribute meaningfully, take responsibility, and develop their skills, then close supervision, rigid rules, and limited autonomy may be perceived as a lack of trust or recognition. This aligns with Chatman’s (1989) argument that values shape how organisational expectations are interpreted, and with </w:t>
      </w:r>
      <w:proofErr w:type="spellStart"/>
      <w:r w:rsidRPr="00D11FD9">
        <w:t>Olum’s</w:t>
      </w:r>
      <w:proofErr w:type="spellEnd"/>
      <w:r w:rsidRPr="00D11FD9">
        <w:t xml:space="preserve"> (2004) assertion that management theory must be blended with contextual realities rather than applied in a one</w:t>
      </w:r>
      <w:r w:rsidRPr="00D11FD9">
        <w:noBreakHyphen/>
        <w:t>size</w:t>
      </w:r>
      <w:r w:rsidRPr="00D11FD9">
        <w:noBreakHyphen/>
        <w:t>fits</w:t>
      </w:r>
      <w:r w:rsidRPr="00D11FD9">
        <w:noBreakHyphen/>
        <w:t>all manner.</w:t>
      </w:r>
    </w:p>
    <w:p w14:paraId="64AB184E" w14:textId="77777777" w:rsidR="00D11FD9" w:rsidRPr="00D11FD9" w:rsidRDefault="00D11FD9" w:rsidP="00D11FD9">
      <w:r w:rsidRPr="00D11FD9">
        <w:t xml:space="preserve">These differences highlight the importance of adaptive leadership. Leaders cannot assume that all colleagues will respond positively to the same balance of autonomy and control. Instead, they must </w:t>
      </w:r>
      <w:r w:rsidRPr="00D11FD9">
        <w:lastRenderedPageBreak/>
        <w:t>recognise that colleagues may require different forms of support, communication, and expectations</w:t>
      </w:r>
      <w:r w:rsidRPr="00D11FD9">
        <w:noBreakHyphen/>
        <w:t>setting to feel confident and engaged. For example, individuals who prefer structure may benefit from clearer guidance, explicit role clarity, and more frequent check</w:t>
      </w:r>
      <w:r w:rsidRPr="00D11FD9">
        <w:noBreakHyphen/>
        <w:t>ins, while those who value autonomy may respond better to outcome</w:t>
      </w:r>
      <w:r w:rsidRPr="00D11FD9">
        <w:noBreakHyphen/>
        <w:t>focused goals, flexibility in how tasks are completed, and opportunities for self</w:t>
      </w:r>
      <w:r w:rsidRPr="00D11FD9">
        <w:noBreakHyphen/>
        <w:t>directed problem</w:t>
      </w:r>
      <w:r w:rsidRPr="00D11FD9">
        <w:noBreakHyphen/>
        <w:t>solving (Robbins &amp; Judge, 2022). Adaptive leaders therefore move along the Theory X–Theory Y continuum, rather than rigidly occupying one end of it.</w:t>
      </w:r>
    </w:p>
    <w:p w14:paraId="12D04673" w14:textId="2285AF4F" w:rsidR="00D11FD9" w:rsidRPr="00D11FD9" w:rsidRDefault="00D11FD9" w:rsidP="00D11FD9">
      <w:r w:rsidRPr="00D11FD9">
        <w:t>For the individual, this means that a purely Theory Y approach may not always be effective in practice. In some situations, elements associated with Theory X</w:t>
      </w:r>
      <w:r w:rsidR="001D19A1">
        <w:t xml:space="preserve"> </w:t>
      </w:r>
      <w:r w:rsidRPr="00D11FD9">
        <w:t>such as clearer boundaries, explicit expectations, and closer monitoring of shared tasks</w:t>
      </w:r>
      <w:r w:rsidR="001D19A1">
        <w:t xml:space="preserve"> </w:t>
      </w:r>
      <w:r w:rsidRPr="00D11FD9">
        <w:t>may be necessary to ensure fairness and accountability, particularly where colleagues consistently avoid shared responsibilities or fail to meet agreed standards. The challenge is to apply these elements without undermining the broader ethos of trust and empowerment. This requires careful communication, transparency about expectations, and an explicit link between structure and support rather than punishment or mistrust. In doing so, the individual can remain aligned with their core values of empowerment and collaboration, while still responding realistically to the diverse beliefs, attitudes, and values present within the team.</w:t>
      </w:r>
    </w:p>
    <w:p w14:paraId="15788602" w14:textId="4B2B67BE" w:rsidR="00721B11" w:rsidRDefault="00BD6870" w:rsidP="004134CC">
      <w:pPr>
        <w:pStyle w:val="Heading1"/>
      </w:pPr>
      <w:bookmarkStart w:id="29" w:name="_Toc225712075"/>
      <w:r w:rsidRPr="00C00915">
        <w:t>Conclusion</w:t>
      </w:r>
      <w:bookmarkEnd w:id="27"/>
      <w:bookmarkEnd w:id="29"/>
    </w:p>
    <w:p w14:paraId="59E2603E" w14:textId="77777777" w:rsidR="003E58B1" w:rsidRPr="003E58B1" w:rsidRDefault="003E58B1" w:rsidP="003E58B1"/>
    <w:p w14:paraId="7418E795" w14:textId="77777777" w:rsidR="003801BC" w:rsidRPr="003801BC" w:rsidRDefault="003801BC" w:rsidP="003801BC">
      <w:r w:rsidRPr="003801BC">
        <w:t>Beliefs, attitudes, and values play a central role in shaping workplace behaviour, influencing how individuals interpret situations, interact with colleagues, and respond to organisational expectations. These internal psychological constructs act as filters through which workplace events are understood, and they guide the behavioural choices individuals make in response to those events. For the individual in this assignment, values such as honesty, loyalty, helpfulness, and a strong commitment to learning underpin a consistently positive approach to teamwork and organisational contribution. These values align closely with Cartrefi Cymru’s cooperative ethos, which emphasises empowerment, shared responsibility, and person</w:t>
      </w:r>
      <w:r w:rsidRPr="003801BC">
        <w:rPr>
          <w:rFonts w:ascii="Cambria Math" w:hAnsi="Cambria Math" w:cs="Cambria Math"/>
        </w:rPr>
        <w:t>‑</w:t>
      </w:r>
      <w:r w:rsidRPr="003801BC">
        <w:t>centred practice (Askeland et al., 2022; CIPD, 2023). As a result, the individual’s behaviour tends to support collaboration, psychological safety, and a willingness to contribute beyond their immediate remit.</w:t>
      </w:r>
    </w:p>
    <w:p w14:paraId="1418A453" w14:textId="77777777" w:rsidR="003801BC" w:rsidRPr="003801BC" w:rsidRDefault="003801BC" w:rsidP="003801BC">
      <w:r w:rsidRPr="003801BC">
        <w:t>However, the analysis also highlights that these same values can create tensions when colleagues hold different beliefs or attitudes towards teamwork, responsibility, or initiative. Organisational behaviour literature suggests that such differences are common in diverse teams, where individuals bring varied experiences, motivations, and value systems (Furnham, 2021; Robbins &amp; Judge, 2022). For example, colleagues who prioritise predictability or role clarity may be less inclined to engage in shared tasks such as answering general phone calls or managing team inboxes. These differences can lead to frustration, perceived imbalance, or misunderstandings about fairness and contribution. The individual’s strong belief in collective responsibility may therefore clash with colleagues who hold more individualistic or task</w:t>
      </w:r>
      <w:r w:rsidRPr="003801BC">
        <w:rPr>
          <w:rFonts w:ascii="Cambria Math" w:hAnsi="Cambria Math" w:cs="Cambria Math"/>
        </w:rPr>
        <w:t>‑</w:t>
      </w:r>
      <w:r w:rsidRPr="003801BC">
        <w:t xml:space="preserve">bounded beliefs. This reinforces the importance of critical thinking as a tool for examining assumptions, recognising alternative perspectives, and responding constructively to interpersonal tensions (Brookfield, 2017; </w:t>
      </w:r>
      <w:proofErr w:type="spellStart"/>
      <w:r w:rsidRPr="003801BC">
        <w:t>Facione</w:t>
      </w:r>
      <w:proofErr w:type="spellEnd"/>
      <w:r w:rsidRPr="003801BC">
        <w:t>, 2020).</w:t>
      </w:r>
    </w:p>
    <w:p w14:paraId="04835A8B" w14:textId="159C9208" w:rsidR="003801BC" w:rsidRPr="003801BC" w:rsidRDefault="003801BC" w:rsidP="003801BC">
      <w:r w:rsidRPr="003801BC">
        <w:t>McGregor’s Theory Y aligns strongly with the individual’s values and leadership style, reinforcing their commitment to empowerment, trust, and collaboration. Theory Y assumes that employees are intrinsically motivated, capable of self</w:t>
      </w:r>
      <w:r w:rsidRPr="003801BC">
        <w:rPr>
          <w:rFonts w:ascii="Cambria Math" w:hAnsi="Cambria Math" w:cs="Cambria Math"/>
        </w:rPr>
        <w:t>‑</w:t>
      </w:r>
      <w:r w:rsidRPr="003801BC">
        <w:t xml:space="preserve">direction, and eager to contribute meaningfully to organisational </w:t>
      </w:r>
      <w:r w:rsidRPr="003801BC">
        <w:lastRenderedPageBreak/>
        <w:t>goals (McGregor, 1960). These assumptions resonate with the individual’s belief in shared responsibility and proactive teamwork. However, the analysis also demonstrates that individuals with different values, cultural orientations, or conflict tendencies may interpret the theory differently. Those with higher uncertainty avoidance, for example, may prefer the structure and clarity associated with Theory X assumptions, viewing autonomy as risky or overwhelming (Hofstede, 2001; Li et al., 2023). This highlights the importance of adaptive leadership</w:t>
      </w:r>
      <w:r>
        <w:t xml:space="preserve"> </w:t>
      </w:r>
      <w:r w:rsidRPr="003801BC">
        <w:t>recognising that different colleagues may require different forms of support, communication, and expectations</w:t>
      </w:r>
      <w:r w:rsidRPr="003801BC">
        <w:rPr>
          <w:rFonts w:ascii="Cambria Math" w:hAnsi="Cambria Math" w:cs="Cambria Math"/>
        </w:rPr>
        <w:t>‑</w:t>
      </w:r>
      <w:r w:rsidRPr="003801BC">
        <w:t>setting to feel confident and engaged (</w:t>
      </w:r>
      <w:proofErr w:type="spellStart"/>
      <w:r w:rsidRPr="003801BC">
        <w:t>Olum</w:t>
      </w:r>
      <w:proofErr w:type="spellEnd"/>
      <w:r w:rsidRPr="003801BC">
        <w:t>, 2004; Wong &amp; Cummings, 2009).</w:t>
      </w:r>
    </w:p>
    <w:p w14:paraId="183AB6F2" w14:textId="77777777" w:rsidR="003801BC" w:rsidRPr="003801BC" w:rsidRDefault="003801BC" w:rsidP="003801BC">
      <w:r w:rsidRPr="003801BC">
        <w:t>The individual’s self</w:t>
      </w:r>
      <w:r w:rsidRPr="003801BC">
        <w:rPr>
          <w:rFonts w:ascii="Cambria Math" w:hAnsi="Cambria Math" w:cs="Cambria Math"/>
        </w:rPr>
        <w:t>‑</w:t>
      </w:r>
      <w:r w:rsidRPr="003801BC">
        <w:t>assessment of critical thinking and their conflict profile provide further insight into their workplace behaviour. High scores in Avoiding and Accommodating suggest a strong preference for maintaining harmony and reducing tension, even when doing so may come at personal cost (Thomas &amp; Kilmann, 2008). While these tendencies align with values of kindness, loyalty, and approachability, they may also limit the individual’s ability to challenge poor practice, assert boundaries, or address recurring issues within the team. Strengthening assertiveness and developing confidence in constructive challenge would therefore support more balanced and effective team interactions. This is particularly relevant in a cooperative environment, where shared responsibility requires all team members to engage actively and equitably in collective tasks (Rahim, 2011; Edmondson, 2019).</w:t>
      </w:r>
    </w:p>
    <w:p w14:paraId="41C954DD" w14:textId="6B67D395" w:rsidR="004134CC" w:rsidRPr="004134CC" w:rsidRDefault="003801BC" w:rsidP="003801BC">
      <w:r w:rsidRPr="003801BC">
        <w:t>Overall, the analysis demonstrates that beliefs, attitudes, and values significantly shape workplace behaviour and team dynamics. For the individual, these internal constructs support positive contributions but also present opportunities for growth, particularly in relation to assertiveness, adaptive leadership, and critical evaluation. By integrating insights from management theory, conflict assessment, and organisational strategy, the individual is well positioned to continue developing their professional practice. Strengthening critical thinking, enhancing confidence in constructive challenge, and adapting leadership approaches to diverse colleagues will contribute to improved team cohesion, more effective collaboration, and sustained alignment with Cartrefi Cymru’s cooperative ethos.</w:t>
      </w:r>
    </w:p>
    <w:p w14:paraId="5B712702" w14:textId="454CD17D" w:rsidR="00096DD2" w:rsidRDefault="00096DD2" w:rsidP="00721B11"/>
    <w:p w14:paraId="2412E9A4" w14:textId="77777777" w:rsidR="00DC5D32" w:rsidRDefault="00DC5D32" w:rsidP="00721B11"/>
    <w:p w14:paraId="241237F2" w14:textId="77777777" w:rsidR="00DC5D32" w:rsidRDefault="00DC5D32" w:rsidP="00721B11"/>
    <w:p w14:paraId="0F0D3147" w14:textId="77777777" w:rsidR="00DC5D32" w:rsidRDefault="00DC5D32" w:rsidP="00721B11"/>
    <w:p w14:paraId="0954621A" w14:textId="77777777" w:rsidR="00DC5D32" w:rsidRDefault="00DC5D32" w:rsidP="00721B11"/>
    <w:p w14:paraId="239362B8" w14:textId="77777777" w:rsidR="00DC5D32" w:rsidRDefault="00DC5D32" w:rsidP="00721B11"/>
    <w:p w14:paraId="53580B9C" w14:textId="77777777" w:rsidR="00DC5D32" w:rsidRDefault="00DC5D32" w:rsidP="00721B11"/>
    <w:p w14:paraId="7E899839" w14:textId="77777777" w:rsidR="00DC5D32" w:rsidRDefault="00DC5D32" w:rsidP="00721B11"/>
    <w:p w14:paraId="79DC4C1D" w14:textId="77777777" w:rsidR="00DC5D32" w:rsidRDefault="00DC5D32" w:rsidP="00721B11"/>
    <w:p w14:paraId="0ADBB9ED" w14:textId="77777777" w:rsidR="00DC5D32" w:rsidRDefault="00DC5D32" w:rsidP="00721B11"/>
    <w:p w14:paraId="69B62BE4" w14:textId="77777777" w:rsidR="00DC5D32" w:rsidRDefault="00DC5D32" w:rsidP="00721B11"/>
    <w:p w14:paraId="0AAD70DF" w14:textId="77777777" w:rsidR="00DC5D32" w:rsidRDefault="00DC5D32" w:rsidP="00721B11"/>
    <w:p w14:paraId="51DAFB73" w14:textId="77777777" w:rsidR="00DC5D32" w:rsidRDefault="00DC5D32" w:rsidP="00721B11"/>
    <w:p w14:paraId="609462E2" w14:textId="77777777" w:rsidR="00CE256D" w:rsidRPr="00CE256D" w:rsidRDefault="00CE256D" w:rsidP="00DC5D32">
      <w:pPr>
        <w:pStyle w:val="Heading1"/>
      </w:pPr>
      <w:bookmarkStart w:id="30" w:name="_Toc225712076"/>
      <w:r w:rsidRPr="00CE256D">
        <w:t>References</w:t>
      </w:r>
      <w:bookmarkEnd w:id="30"/>
    </w:p>
    <w:p w14:paraId="37A2577C" w14:textId="77777777" w:rsidR="00CE256D" w:rsidRPr="00CE256D" w:rsidRDefault="00CE256D" w:rsidP="00CE256D">
      <w:r w:rsidRPr="00CE256D">
        <w:t xml:space="preserve">Ajzen, I. (1991). </w:t>
      </w:r>
      <w:r w:rsidRPr="00CE256D">
        <w:rPr>
          <w:i/>
          <w:iCs/>
        </w:rPr>
        <w:t xml:space="preserve">The theory of planned </w:t>
      </w:r>
      <w:proofErr w:type="spellStart"/>
      <w:r w:rsidRPr="00CE256D">
        <w:rPr>
          <w:i/>
          <w:iCs/>
        </w:rPr>
        <w:t>behavior</w:t>
      </w:r>
      <w:proofErr w:type="spellEnd"/>
      <w:r w:rsidRPr="00CE256D">
        <w:t xml:space="preserve">. </w:t>
      </w:r>
      <w:r w:rsidRPr="00CE256D">
        <w:rPr>
          <w:i/>
          <w:iCs/>
        </w:rPr>
        <w:t xml:space="preserve">Organizational </w:t>
      </w:r>
      <w:proofErr w:type="spellStart"/>
      <w:r w:rsidRPr="00CE256D">
        <w:rPr>
          <w:i/>
          <w:iCs/>
        </w:rPr>
        <w:t>Behavior</w:t>
      </w:r>
      <w:proofErr w:type="spellEnd"/>
      <w:r w:rsidRPr="00CE256D">
        <w:rPr>
          <w:i/>
          <w:iCs/>
        </w:rPr>
        <w:t xml:space="preserve"> and Human Decision Processes, 50</w:t>
      </w:r>
      <w:r w:rsidRPr="00CE256D">
        <w:t>(2), 179–211.</w:t>
      </w:r>
    </w:p>
    <w:p w14:paraId="6A0312A6" w14:textId="77777777" w:rsidR="00CE256D" w:rsidRPr="00CE256D" w:rsidRDefault="00CE256D" w:rsidP="00CE256D">
      <w:r w:rsidRPr="00CE256D">
        <w:t xml:space="preserve">Anderson, L. W., &amp; Krathwohl, D. R. (Eds.). (2001). </w:t>
      </w:r>
      <w:r w:rsidRPr="00CE256D">
        <w:rPr>
          <w:i/>
          <w:iCs/>
        </w:rPr>
        <w:t>A taxonomy for learning, teaching, and assessing: A revision of Bloom’s taxonomy of educational objectives</w:t>
      </w:r>
      <w:r w:rsidRPr="00CE256D">
        <w:t>. Longman.</w:t>
      </w:r>
    </w:p>
    <w:p w14:paraId="12EF6C02" w14:textId="77777777" w:rsidR="00CE256D" w:rsidRPr="00CE256D" w:rsidRDefault="00CE256D" w:rsidP="00CE256D">
      <w:r w:rsidRPr="00CE256D">
        <w:t xml:space="preserve">Askeland, G. A., et al. (2022). </w:t>
      </w:r>
      <w:r w:rsidRPr="00CE256D">
        <w:rPr>
          <w:i/>
          <w:iCs/>
        </w:rPr>
        <w:t>[Full reference details needed]</w:t>
      </w:r>
      <w:r w:rsidRPr="00CE256D">
        <w:t>.</w:t>
      </w:r>
    </w:p>
    <w:p w14:paraId="060F4C51" w14:textId="77777777" w:rsidR="00CE256D" w:rsidRPr="00CE256D" w:rsidRDefault="00CE256D" w:rsidP="00CE256D">
      <w:r w:rsidRPr="00CE256D">
        <w:t xml:space="preserve">Bloom, B. S. (1956). </w:t>
      </w:r>
      <w:r w:rsidRPr="00CE256D">
        <w:rPr>
          <w:i/>
          <w:iCs/>
        </w:rPr>
        <w:t>Taxonomy of educational objectives: The classification of educational goals</w:t>
      </w:r>
      <w:r w:rsidRPr="00CE256D">
        <w:t>. Longmans, Green.</w:t>
      </w:r>
    </w:p>
    <w:p w14:paraId="13EF6CC3" w14:textId="77777777" w:rsidR="00CE256D" w:rsidRPr="00CE256D" w:rsidRDefault="00CE256D" w:rsidP="00CE256D">
      <w:r w:rsidRPr="00CE256D">
        <w:t xml:space="preserve">Brookfield, S. D. (2017). </w:t>
      </w:r>
      <w:r w:rsidRPr="00CE256D">
        <w:rPr>
          <w:i/>
          <w:iCs/>
        </w:rPr>
        <w:t>Becoming a critically reflective teacher</w:t>
      </w:r>
      <w:r w:rsidRPr="00CE256D">
        <w:t xml:space="preserve"> (2nd ed.). Jossey</w:t>
      </w:r>
      <w:r w:rsidRPr="00CE256D">
        <w:noBreakHyphen/>
        <w:t>Bass.</w:t>
      </w:r>
    </w:p>
    <w:p w14:paraId="632C2431" w14:textId="77777777" w:rsidR="00CE256D" w:rsidRPr="00CE256D" w:rsidRDefault="00CE256D" w:rsidP="00CE256D">
      <w:r w:rsidRPr="00CE256D">
        <w:t xml:space="preserve">Chatfield, T. (2021). </w:t>
      </w:r>
      <w:r w:rsidRPr="00CE256D">
        <w:rPr>
          <w:i/>
          <w:iCs/>
        </w:rPr>
        <w:t>Critical thinking: Your guide to effective argument, successful analysis and independent study</w:t>
      </w:r>
      <w:r w:rsidRPr="00CE256D">
        <w:t xml:space="preserve"> (2nd ed.). SAGE.</w:t>
      </w:r>
    </w:p>
    <w:p w14:paraId="2F756436" w14:textId="77777777" w:rsidR="00CE256D" w:rsidRPr="00CE256D" w:rsidRDefault="00CE256D" w:rsidP="00CE256D">
      <w:r w:rsidRPr="00CE256D">
        <w:t xml:space="preserve">Chatman, J. A. (1989). Improving interactional organizational research: A model of person–organization fit. </w:t>
      </w:r>
      <w:r w:rsidRPr="00CE256D">
        <w:rPr>
          <w:i/>
          <w:iCs/>
        </w:rPr>
        <w:t>Academy of Management Review, 14</w:t>
      </w:r>
      <w:r w:rsidRPr="00CE256D">
        <w:t>(3), 333–349.</w:t>
      </w:r>
    </w:p>
    <w:p w14:paraId="4592417C" w14:textId="77777777" w:rsidR="00CE256D" w:rsidRPr="00CE256D" w:rsidRDefault="00CE256D" w:rsidP="00CE256D">
      <w:r w:rsidRPr="00CE256D">
        <w:t xml:space="preserve">CIPD. (2023). </w:t>
      </w:r>
      <w:r w:rsidRPr="00CE256D">
        <w:rPr>
          <w:i/>
          <w:iCs/>
        </w:rPr>
        <w:t>[Full reference details needed]</w:t>
      </w:r>
      <w:r w:rsidRPr="00CE256D">
        <w:t>.</w:t>
      </w:r>
    </w:p>
    <w:p w14:paraId="16E71208" w14:textId="77777777" w:rsidR="00CE256D" w:rsidRPr="00CE256D" w:rsidRDefault="00CE256D" w:rsidP="00CE256D">
      <w:r w:rsidRPr="00CE256D">
        <w:t xml:space="preserve">Edmondson, A. C. (2019). </w:t>
      </w:r>
      <w:r w:rsidRPr="00CE256D">
        <w:rPr>
          <w:i/>
          <w:iCs/>
        </w:rPr>
        <w:t>The fearless organization: Creating psychological safety in the workplace for learning, innovation, and growth</w:t>
      </w:r>
      <w:r w:rsidRPr="00CE256D">
        <w:t>. Wiley.</w:t>
      </w:r>
    </w:p>
    <w:p w14:paraId="39AB8A88" w14:textId="77777777" w:rsidR="00CE256D" w:rsidRPr="00CE256D" w:rsidRDefault="00CE256D" w:rsidP="00CE256D">
      <w:r w:rsidRPr="00CE256D">
        <w:t xml:space="preserve">Ennis, R. H. (2018). Critical thinking across the curriculum: A vision. </w:t>
      </w:r>
      <w:proofErr w:type="spellStart"/>
      <w:r w:rsidRPr="00CE256D">
        <w:rPr>
          <w:i/>
          <w:iCs/>
        </w:rPr>
        <w:t>Topoi</w:t>
      </w:r>
      <w:proofErr w:type="spellEnd"/>
      <w:r w:rsidRPr="00CE256D">
        <w:rPr>
          <w:i/>
          <w:iCs/>
        </w:rPr>
        <w:t>, 37</w:t>
      </w:r>
      <w:r w:rsidRPr="00CE256D">
        <w:t>, 165–184.</w:t>
      </w:r>
    </w:p>
    <w:p w14:paraId="04EE6425" w14:textId="77777777" w:rsidR="00CE256D" w:rsidRPr="00CE256D" w:rsidRDefault="00CE256D" w:rsidP="00CE256D">
      <w:proofErr w:type="spellStart"/>
      <w:r w:rsidRPr="00CE256D">
        <w:t>Facione</w:t>
      </w:r>
      <w:proofErr w:type="spellEnd"/>
      <w:r w:rsidRPr="00CE256D">
        <w:t xml:space="preserve">, P. A. (2020). </w:t>
      </w:r>
      <w:r w:rsidRPr="00CE256D">
        <w:rPr>
          <w:i/>
          <w:iCs/>
        </w:rPr>
        <w:t>Critical thinking: What it is and why it counts</w:t>
      </w:r>
      <w:r w:rsidRPr="00CE256D">
        <w:t>. Measured Reasons LLC.</w:t>
      </w:r>
    </w:p>
    <w:p w14:paraId="48847FA9" w14:textId="77777777" w:rsidR="00CE256D" w:rsidRPr="00CE256D" w:rsidRDefault="00CE256D" w:rsidP="00CE256D">
      <w:r w:rsidRPr="00CE256D">
        <w:t xml:space="preserve">Furnham, A. (2021). </w:t>
      </w:r>
      <w:r w:rsidRPr="00CE256D">
        <w:rPr>
          <w:i/>
          <w:iCs/>
        </w:rPr>
        <w:t>The psychology of behaviour at work</w:t>
      </w:r>
      <w:r w:rsidRPr="00CE256D">
        <w:t xml:space="preserve"> (3rd ed.). Routledge.</w:t>
      </w:r>
    </w:p>
    <w:p w14:paraId="1E225448" w14:textId="77777777" w:rsidR="00CE256D" w:rsidRPr="00CE256D" w:rsidRDefault="00CE256D" w:rsidP="00CE256D">
      <w:r w:rsidRPr="00CE256D">
        <w:t xml:space="preserve">Grant, A. M., &amp; Schwartz, B. (2011). Too much of a good thing: The challenge and opportunity of the inverted U. </w:t>
      </w:r>
      <w:r w:rsidRPr="00CE256D">
        <w:rPr>
          <w:i/>
          <w:iCs/>
        </w:rPr>
        <w:t>Perspectives on Psychological Science, 6</w:t>
      </w:r>
      <w:r w:rsidRPr="00CE256D">
        <w:t>(1), 61–76.</w:t>
      </w:r>
    </w:p>
    <w:p w14:paraId="2608187D" w14:textId="77777777" w:rsidR="00CE256D" w:rsidRPr="00CE256D" w:rsidRDefault="00CE256D" w:rsidP="00CE256D">
      <w:r w:rsidRPr="00CE256D">
        <w:t xml:space="preserve">Halpern, D. F. (2014). </w:t>
      </w:r>
      <w:r w:rsidRPr="00CE256D">
        <w:rPr>
          <w:i/>
          <w:iCs/>
        </w:rPr>
        <w:t>Thought and knowledge: An introduction to critical thinking</w:t>
      </w:r>
      <w:r w:rsidRPr="00CE256D">
        <w:t xml:space="preserve"> (5th ed.). Psychology Press.</w:t>
      </w:r>
    </w:p>
    <w:p w14:paraId="1FA02E15" w14:textId="77777777" w:rsidR="00CE256D" w:rsidRPr="00CE256D" w:rsidRDefault="00CE256D" w:rsidP="00CE256D">
      <w:proofErr w:type="spellStart"/>
      <w:r w:rsidRPr="00CE256D">
        <w:t>Hitlin</w:t>
      </w:r>
      <w:proofErr w:type="spellEnd"/>
      <w:r w:rsidRPr="00CE256D">
        <w:t xml:space="preserve">, S., &amp; </w:t>
      </w:r>
      <w:proofErr w:type="spellStart"/>
      <w:r w:rsidRPr="00CE256D">
        <w:t>Piliavin</w:t>
      </w:r>
      <w:proofErr w:type="spellEnd"/>
      <w:r w:rsidRPr="00CE256D">
        <w:t xml:space="preserve">, J. A. (2004). Values: Reviving a dormant concept. </w:t>
      </w:r>
      <w:r w:rsidRPr="00CE256D">
        <w:rPr>
          <w:i/>
          <w:iCs/>
        </w:rPr>
        <w:t>Annual Review of Sociology, 30</w:t>
      </w:r>
      <w:r w:rsidRPr="00CE256D">
        <w:t>, 359–393.</w:t>
      </w:r>
    </w:p>
    <w:p w14:paraId="5F1497B8" w14:textId="77777777" w:rsidR="00CE256D" w:rsidRPr="00CE256D" w:rsidRDefault="00CE256D" w:rsidP="00CE256D">
      <w:r w:rsidRPr="00CE256D">
        <w:t xml:space="preserve">Hofstede, G. (2001). </w:t>
      </w:r>
      <w:r w:rsidRPr="00CE256D">
        <w:rPr>
          <w:i/>
          <w:iCs/>
        </w:rPr>
        <w:t xml:space="preserve">Culture’s consequences: Comparing values, </w:t>
      </w:r>
      <w:proofErr w:type="spellStart"/>
      <w:r w:rsidRPr="00CE256D">
        <w:rPr>
          <w:i/>
          <w:iCs/>
        </w:rPr>
        <w:t>behaviors</w:t>
      </w:r>
      <w:proofErr w:type="spellEnd"/>
      <w:r w:rsidRPr="00CE256D">
        <w:rPr>
          <w:i/>
          <w:iCs/>
        </w:rPr>
        <w:t>, institutions, and organizations across nations</w:t>
      </w:r>
      <w:r w:rsidRPr="00CE256D">
        <w:t xml:space="preserve"> (2nd ed.). SAGE.</w:t>
      </w:r>
    </w:p>
    <w:p w14:paraId="340D619C" w14:textId="77777777" w:rsidR="00CE256D" w:rsidRPr="00CE256D" w:rsidRDefault="00CE256D" w:rsidP="00CE256D">
      <w:r w:rsidRPr="00CE256D">
        <w:t xml:space="preserve">Li, N., et al. (2023). </w:t>
      </w:r>
      <w:r w:rsidRPr="00CE256D">
        <w:rPr>
          <w:i/>
          <w:iCs/>
        </w:rPr>
        <w:t>[Full reference details needed]</w:t>
      </w:r>
      <w:r w:rsidRPr="00CE256D">
        <w:t>.</w:t>
      </w:r>
    </w:p>
    <w:p w14:paraId="00666981" w14:textId="77777777" w:rsidR="00CE256D" w:rsidRPr="00CE256D" w:rsidRDefault="00CE256D" w:rsidP="00CE256D">
      <w:r w:rsidRPr="00CE256D">
        <w:t xml:space="preserve">McGregor, D. (1960). </w:t>
      </w:r>
      <w:r w:rsidRPr="00CE256D">
        <w:rPr>
          <w:i/>
          <w:iCs/>
        </w:rPr>
        <w:t>The human side of enterprise</w:t>
      </w:r>
      <w:r w:rsidRPr="00CE256D">
        <w:t>. McGraw</w:t>
      </w:r>
      <w:r w:rsidRPr="00CE256D">
        <w:noBreakHyphen/>
        <w:t>Hill.</w:t>
      </w:r>
    </w:p>
    <w:p w14:paraId="73EA2671" w14:textId="77777777" w:rsidR="00CE256D" w:rsidRPr="00CE256D" w:rsidRDefault="00CE256D" w:rsidP="00CE256D">
      <w:proofErr w:type="spellStart"/>
      <w:r w:rsidRPr="00CE256D">
        <w:t>Meglino</w:t>
      </w:r>
      <w:proofErr w:type="spellEnd"/>
      <w:r w:rsidRPr="00CE256D">
        <w:t xml:space="preserve">, B. M., &amp; Ravlin, E. C. (1998). Individual values in organizations: Concepts, controversies, and research. </w:t>
      </w:r>
      <w:r w:rsidRPr="00CE256D">
        <w:rPr>
          <w:i/>
          <w:iCs/>
        </w:rPr>
        <w:t>Journal of Management, 24</w:t>
      </w:r>
      <w:r w:rsidRPr="00CE256D">
        <w:t>(3), 351–389.</w:t>
      </w:r>
    </w:p>
    <w:p w14:paraId="78D1C02C" w14:textId="77777777" w:rsidR="00CE256D" w:rsidRPr="00CE256D" w:rsidRDefault="00CE256D" w:rsidP="00CE256D">
      <w:r w:rsidRPr="00CE256D">
        <w:lastRenderedPageBreak/>
        <w:t xml:space="preserve">Miner, J. B. (2015). </w:t>
      </w:r>
      <w:r w:rsidRPr="00CE256D">
        <w:rPr>
          <w:i/>
          <w:iCs/>
        </w:rPr>
        <w:t xml:space="preserve">Organizational </w:t>
      </w:r>
      <w:proofErr w:type="spellStart"/>
      <w:r w:rsidRPr="00CE256D">
        <w:rPr>
          <w:i/>
          <w:iCs/>
        </w:rPr>
        <w:t>behavior</w:t>
      </w:r>
      <w:proofErr w:type="spellEnd"/>
      <w:r w:rsidRPr="00CE256D">
        <w:rPr>
          <w:i/>
          <w:iCs/>
        </w:rPr>
        <w:t xml:space="preserve"> 1: Essential theories of motivation and leadership</w:t>
      </w:r>
      <w:r w:rsidRPr="00CE256D">
        <w:t>. Routledge.</w:t>
      </w:r>
    </w:p>
    <w:p w14:paraId="21C661A1" w14:textId="77777777" w:rsidR="00CE256D" w:rsidRPr="00CE256D" w:rsidRDefault="00CE256D" w:rsidP="00CE256D">
      <w:proofErr w:type="spellStart"/>
      <w:r w:rsidRPr="00CE256D">
        <w:t>Olum</w:t>
      </w:r>
      <w:proofErr w:type="spellEnd"/>
      <w:r w:rsidRPr="00CE256D">
        <w:t xml:space="preserve">, Y. (2004). </w:t>
      </w:r>
      <w:r w:rsidRPr="00CE256D">
        <w:rPr>
          <w:i/>
          <w:iCs/>
        </w:rPr>
        <w:t>Modern management theories and practices</w:t>
      </w:r>
      <w:r w:rsidRPr="00CE256D">
        <w:t>. Makerere University.</w:t>
      </w:r>
    </w:p>
    <w:p w14:paraId="529C2AE3" w14:textId="77777777" w:rsidR="00CE256D" w:rsidRPr="00CE256D" w:rsidRDefault="00CE256D" w:rsidP="00CE256D">
      <w:r w:rsidRPr="00CE256D">
        <w:t xml:space="preserve">Paul, R., &amp; Elder, L. (2019). </w:t>
      </w:r>
      <w:r w:rsidRPr="00CE256D">
        <w:rPr>
          <w:i/>
          <w:iCs/>
        </w:rPr>
        <w:t>The miniature guide to critical thinking concepts and tools</w:t>
      </w:r>
      <w:r w:rsidRPr="00CE256D">
        <w:t xml:space="preserve"> (8th ed.). Foundation for Critical Thinking.</w:t>
      </w:r>
    </w:p>
    <w:p w14:paraId="4C2638A8" w14:textId="77777777" w:rsidR="00CE256D" w:rsidRPr="00CE256D" w:rsidRDefault="00CE256D" w:rsidP="00CE256D">
      <w:r w:rsidRPr="00CE256D">
        <w:t xml:space="preserve">Rahim, M. A. (2011). </w:t>
      </w:r>
      <w:r w:rsidRPr="00CE256D">
        <w:rPr>
          <w:i/>
          <w:iCs/>
        </w:rPr>
        <w:t>Managing conflict in organizations</w:t>
      </w:r>
      <w:r w:rsidRPr="00CE256D">
        <w:t xml:space="preserve"> (4th ed.). Transaction Publishers.</w:t>
      </w:r>
    </w:p>
    <w:p w14:paraId="715857F9" w14:textId="77777777" w:rsidR="00CE256D" w:rsidRPr="00CE256D" w:rsidRDefault="00CE256D" w:rsidP="00CE256D">
      <w:r w:rsidRPr="00CE256D">
        <w:t xml:space="preserve">Robbins, S. P., &amp; Judge, T. A. (2022). </w:t>
      </w:r>
      <w:r w:rsidRPr="00CE256D">
        <w:rPr>
          <w:i/>
          <w:iCs/>
        </w:rPr>
        <w:t xml:space="preserve">Organizational </w:t>
      </w:r>
      <w:proofErr w:type="spellStart"/>
      <w:r w:rsidRPr="00CE256D">
        <w:rPr>
          <w:i/>
          <w:iCs/>
        </w:rPr>
        <w:t>behavior</w:t>
      </w:r>
      <w:proofErr w:type="spellEnd"/>
      <w:r w:rsidRPr="00CE256D">
        <w:t xml:space="preserve"> (19th ed.). Pearson.</w:t>
      </w:r>
    </w:p>
    <w:p w14:paraId="6533EE94" w14:textId="77777777" w:rsidR="00CE256D" w:rsidRPr="00CE256D" w:rsidRDefault="00CE256D" w:rsidP="00CE256D">
      <w:r w:rsidRPr="00CE256D">
        <w:t xml:space="preserve">Rokeach, M. (1973). </w:t>
      </w:r>
      <w:r w:rsidRPr="00CE256D">
        <w:rPr>
          <w:i/>
          <w:iCs/>
        </w:rPr>
        <w:t>The nature of human values</w:t>
      </w:r>
      <w:r w:rsidRPr="00CE256D">
        <w:t>. Free Press.</w:t>
      </w:r>
    </w:p>
    <w:p w14:paraId="14549F2D" w14:textId="77777777" w:rsidR="00CE256D" w:rsidRPr="00CE256D" w:rsidRDefault="00CE256D" w:rsidP="00CE256D">
      <w:r w:rsidRPr="00CE256D">
        <w:t xml:space="preserve">Schwartz, S. H. (2012). An overview of the Schwartz theory of basic values. </w:t>
      </w:r>
      <w:r w:rsidRPr="00CE256D">
        <w:rPr>
          <w:i/>
          <w:iCs/>
        </w:rPr>
        <w:t>Online Readings in Psychology and Culture, 2</w:t>
      </w:r>
      <w:r w:rsidRPr="00CE256D">
        <w:t>(1), 1–20.</w:t>
      </w:r>
    </w:p>
    <w:p w14:paraId="0D6B3B0C" w14:textId="77777777" w:rsidR="00CE256D" w:rsidRPr="00CE256D" w:rsidRDefault="00CE256D" w:rsidP="00CE256D">
      <w:r w:rsidRPr="00CE256D">
        <w:t xml:space="preserve">Stiglbauer, B., et al. (2022). </w:t>
      </w:r>
      <w:r w:rsidRPr="00CE256D">
        <w:rPr>
          <w:i/>
          <w:iCs/>
        </w:rPr>
        <w:t>[Full reference details needed]</w:t>
      </w:r>
      <w:r w:rsidRPr="00CE256D">
        <w:t>.</w:t>
      </w:r>
    </w:p>
    <w:p w14:paraId="65C4E997" w14:textId="77777777" w:rsidR="00CE256D" w:rsidRPr="00CE256D" w:rsidRDefault="00CE256D" w:rsidP="00CE256D">
      <w:r w:rsidRPr="00CE256D">
        <w:t xml:space="preserve">Stuart, R., &amp; Lindsay, P. (2010). </w:t>
      </w:r>
      <w:r w:rsidRPr="00CE256D">
        <w:rPr>
          <w:i/>
          <w:iCs/>
        </w:rPr>
        <w:t>The psychology of work: An introduction</w:t>
      </w:r>
      <w:r w:rsidRPr="00CE256D">
        <w:t>. Routledge.</w:t>
      </w:r>
    </w:p>
    <w:p w14:paraId="4E422277" w14:textId="77777777" w:rsidR="00CE256D" w:rsidRPr="00CE256D" w:rsidRDefault="00CE256D" w:rsidP="00CE256D">
      <w:r w:rsidRPr="00CE256D">
        <w:t xml:space="preserve">Thomas, K. W., &amp; Kilmann, R. H. (2008). </w:t>
      </w:r>
      <w:r w:rsidRPr="00CE256D">
        <w:rPr>
          <w:i/>
          <w:iCs/>
        </w:rPr>
        <w:t>Thomas–Kilmann conflict mode instrument</w:t>
      </w:r>
      <w:r w:rsidRPr="00CE256D">
        <w:t>. CPP.</w:t>
      </w:r>
    </w:p>
    <w:p w14:paraId="5A311C8D" w14:textId="77777777" w:rsidR="00CE256D" w:rsidRPr="00CE256D" w:rsidRDefault="00CE256D" w:rsidP="00CE256D">
      <w:r w:rsidRPr="00CE256D">
        <w:t xml:space="preserve">Van Quaquebeke, N., &amp; Felps, W. (2018). Respectful inquiry: A motivational account of leading through asking questions and listening. </w:t>
      </w:r>
      <w:r w:rsidRPr="00CE256D">
        <w:rPr>
          <w:i/>
          <w:iCs/>
        </w:rPr>
        <w:t>Academy of Management Review, 43</w:t>
      </w:r>
      <w:r w:rsidRPr="00CE256D">
        <w:t>(1), 5–27.</w:t>
      </w:r>
    </w:p>
    <w:p w14:paraId="08AE19E5" w14:textId="21E6F8C6" w:rsidR="00CE256D" w:rsidRPr="00CE256D" w:rsidRDefault="00CE256D" w:rsidP="00CE256D">
      <w:r w:rsidRPr="00CE256D">
        <w:t xml:space="preserve">Wong, C. A., &amp; Cummings, G. G. (2009). The influence of authentic leadership </w:t>
      </w:r>
      <w:proofErr w:type="spellStart"/>
      <w:r w:rsidRPr="00CE256D">
        <w:t>behaviors</w:t>
      </w:r>
      <w:proofErr w:type="spellEnd"/>
      <w:r w:rsidRPr="00CE256D">
        <w:t xml:space="preserve"> on trust and work outcomes of health care staff. </w:t>
      </w:r>
      <w:r w:rsidRPr="00CE256D">
        <w:rPr>
          <w:i/>
          <w:iCs/>
        </w:rPr>
        <w:t>Journal of Leadership Studies, 3</w:t>
      </w:r>
      <w:r w:rsidRPr="00CE256D">
        <w:t>(2), 6–23.</w:t>
      </w:r>
    </w:p>
    <w:p w14:paraId="4E02F903" w14:textId="77777777" w:rsidR="00CE256D" w:rsidRPr="00721B11" w:rsidRDefault="00CE256D" w:rsidP="00721B11"/>
    <w:sectPr w:rsidR="00CE256D" w:rsidRPr="00721B1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1356A" w14:textId="77777777" w:rsidR="002159E7" w:rsidRDefault="002159E7" w:rsidP="005831A9">
      <w:pPr>
        <w:spacing w:after="0" w:line="240" w:lineRule="auto"/>
      </w:pPr>
      <w:r>
        <w:separator/>
      </w:r>
    </w:p>
  </w:endnote>
  <w:endnote w:type="continuationSeparator" w:id="0">
    <w:p w14:paraId="1AFA95DA" w14:textId="77777777" w:rsidR="002159E7" w:rsidRDefault="002159E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2BA7E" w14:textId="77777777" w:rsidR="002159E7" w:rsidRDefault="002159E7" w:rsidP="005831A9">
      <w:pPr>
        <w:spacing w:after="0" w:line="240" w:lineRule="auto"/>
      </w:pPr>
      <w:r>
        <w:separator/>
      </w:r>
    </w:p>
  </w:footnote>
  <w:footnote w:type="continuationSeparator" w:id="0">
    <w:p w14:paraId="21309D59" w14:textId="77777777" w:rsidR="002159E7" w:rsidRDefault="002159E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93260"/>
    <w:multiLevelType w:val="hybridMultilevel"/>
    <w:tmpl w:val="D8942B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6374D"/>
    <w:multiLevelType w:val="hybridMultilevel"/>
    <w:tmpl w:val="7CDCA21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ED634D"/>
    <w:multiLevelType w:val="hybridMultilevel"/>
    <w:tmpl w:val="09901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4B0910"/>
    <w:multiLevelType w:val="hybridMultilevel"/>
    <w:tmpl w:val="9BE66C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A77CF6"/>
    <w:multiLevelType w:val="hybridMultilevel"/>
    <w:tmpl w:val="F07093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4561F8"/>
    <w:multiLevelType w:val="hybridMultilevel"/>
    <w:tmpl w:val="77BE53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6A7315"/>
    <w:multiLevelType w:val="multilevel"/>
    <w:tmpl w:val="5FB04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348E5"/>
    <w:multiLevelType w:val="multilevel"/>
    <w:tmpl w:val="8CFA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E04F58"/>
    <w:multiLevelType w:val="multilevel"/>
    <w:tmpl w:val="57E8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CF7F58"/>
    <w:multiLevelType w:val="hybridMultilevel"/>
    <w:tmpl w:val="8D72C0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61897713">
    <w:abstractNumId w:val="0"/>
  </w:num>
  <w:num w:numId="2" w16cid:durableId="1308318026">
    <w:abstractNumId w:val="11"/>
  </w:num>
  <w:num w:numId="3" w16cid:durableId="582376712">
    <w:abstractNumId w:val="4"/>
  </w:num>
  <w:num w:numId="4" w16cid:durableId="246961186">
    <w:abstractNumId w:val="10"/>
  </w:num>
  <w:num w:numId="5" w16cid:durableId="925528745">
    <w:abstractNumId w:val="1"/>
  </w:num>
  <w:num w:numId="6" w16cid:durableId="1209878394">
    <w:abstractNumId w:val="2"/>
  </w:num>
  <w:num w:numId="7" w16cid:durableId="221410171">
    <w:abstractNumId w:val="3"/>
  </w:num>
  <w:num w:numId="8" w16cid:durableId="577138273">
    <w:abstractNumId w:val="6"/>
  </w:num>
  <w:num w:numId="9" w16cid:durableId="1013149716">
    <w:abstractNumId w:val="8"/>
  </w:num>
  <w:num w:numId="10" w16cid:durableId="529730225">
    <w:abstractNumId w:val="5"/>
  </w:num>
  <w:num w:numId="11" w16cid:durableId="1245841696">
    <w:abstractNumId w:val="9"/>
  </w:num>
  <w:num w:numId="12" w16cid:durableId="8743475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2F29"/>
    <w:rsid w:val="0008001E"/>
    <w:rsid w:val="00083877"/>
    <w:rsid w:val="00096DD2"/>
    <w:rsid w:val="000A3527"/>
    <w:rsid w:val="000A5AD9"/>
    <w:rsid w:val="000A7D6D"/>
    <w:rsid w:val="000B11B8"/>
    <w:rsid w:val="000C5AFC"/>
    <w:rsid w:val="000F29EC"/>
    <w:rsid w:val="00112DD2"/>
    <w:rsid w:val="00113D5C"/>
    <w:rsid w:val="0014482B"/>
    <w:rsid w:val="0015484C"/>
    <w:rsid w:val="00175D61"/>
    <w:rsid w:val="00183B04"/>
    <w:rsid w:val="001C2356"/>
    <w:rsid w:val="001D19A1"/>
    <w:rsid w:val="001E0653"/>
    <w:rsid w:val="001E0C0E"/>
    <w:rsid w:val="001E55E4"/>
    <w:rsid w:val="002159E7"/>
    <w:rsid w:val="002518BF"/>
    <w:rsid w:val="0026244D"/>
    <w:rsid w:val="00265234"/>
    <w:rsid w:val="00271C7D"/>
    <w:rsid w:val="002752D4"/>
    <w:rsid w:val="00277D22"/>
    <w:rsid w:val="00293A21"/>
    <w:rsid w:val="002B1796"/>
    <w:rsid w:val="002B3153"/>
    <w:rsid w:val="00324ED3"/>
    <w:rsid w:val="00325F25"/>
    <w:rsid w:val="003378C5"/>
    <w:rsid w:val="0034116E"/>
    <w:rsid w:val="00357B49"/>
    <w:rsid w:val="003801BC"/>
    <w:rsid w:val="00380A35"/>
    <w:rsid w:val="003B01AD"/>
    <w:rsid w:val="003B76E1"/>
    <w:rsid w:val="003C5F38"/>
    <w:rsid w:val="003D668E"/>
    <w:rsid w:val="003D6BB8"/>
    <w:rsid w:val="003E4326"/>
    <w:rsid w:val="003E58B1"/>
    <w:rsid w:val="003E7BA6"/>
    <w:rsid w:val="003F174B"/>
    <w:rsid w:val="003F6A1D"/>
    <w:rsid w:val="00406E40"/>
    <w:rsid w:val="004134CC"/>
    <w:rsid w:val="00452A44"/>
    <w:rsid w:val="00454933"/>
    <w:rsid w:val="00460753"/>
    <w:rsid w:val="004A7453"/>
    <w:rsid w:val="004B5B09"/>
    <w:rsid w:val="004D32FF"/>
    <w:rsid w:val="004D58AD"/>
    <w:rsid w:val="004E00B9"/>
    <w:rsid w:val="004E4600"/>
    <w:rsid w:val="00524371"/>
    <w:rsid w:val="0054585F"/>
    <w:rsid w:val="005735D2"/>
    <w:rsid w:val="00581B4A"/>
    <w:rsid w:val="005831A9"/>
    <w:rsid w:val="00583709"/>
    <w:rsid w:val="00593D1B"/>
    <w:rsid w:val="00597CA6"/>
    <w:rsid w:val="005F7CD9"/>
    <w:rsid w:val="00600529"/>
    <w:rsid w:val="0060549B"/>
    <w:rsid w:val="006131FB"/>
    <w:rsid w:val="0061484C"/>
    <w:rsid w:val="0062603C"/>
    <w:rsid w:val="006539B3"/>
    <w:rsid w:val="00656FBD"/>
    <w:rsid w:val="006622BC"/>
    <w:rsid w:val="0067477D"/>
    <w:rsid w:val="00675D74"/>
    <w:rsid w:val="0068457A"/>
    <w:rsid w:val="00686D05"/>
    <w:rsid w:val="006A6040"/>
    <w:rsid w:val="006D0A6E"/>
    <w:rsid w:val="006D0FC1"/>
    <w:rsid w:val="006D2C30"/>
    <w:rsid w:val="006F137B"/>
    <w:rsid w:val="0070625B"/>
    <w:rsid w:val="0071138F"/>
    <w:rsid w:val="00721B11"/>
    <w:rsid w:val="007221A3"/>
    <w:rsid w:val="0073019A"/>
    <w:rsid w:val="00731F71"/>
    <w:rsid w:val="007356C1"/>
    <w:rsid w:val="007413BB"/>
    <w:rsid w:val="00744990"/>
    <w:rsid w:val="00750741"/>
    <w:rsid w:val="00766FD6"/>
    <w:rsid w:val="00772427"/>
    <w:rsid w:val="007B1A71"/>
    <w:rsid w:val="007B5F57"/>
    <w:rsid w:val="007C25F9"/>
    <w:rsid w:val="007C54FA"/>
    <w:rsid w:val="007D2795"/>
    <w:rsid w:val="007E55D4"/>
    <w:rsid w:val="00804E73"/>
    <w:rsid w:val="00806F9A"/>
    <w:rsid w:val="00810C9E"/>
    <w:rsid w:val="0081246E"/>
    <w:rsid w:val="008312FD"/>
    <w:rsid w:val="00834C17"/>
    <w:rsid w:val="00842CDB"/>
    <w:rsid w:val="00895FE2"/>
    <w:rsid w:val="008A13AE"/>
    <w:rsid w:val="00903EA7"/>
    <w:rsid w:val="009359F0"/>
    <w:rsid w:val="00950BD0"/>
    <w:rsid w:val="00955341"/>
    <w:rsid w:val="00957DE7"/>
    <w:rsid w:val="009720AE"/>
    <w:rsid w:val="00986894"/>
    <w:rsid w:val="00996756"/>
    <w:rsid w:val="009C030A"/>
    <w:rsid w:val="009C42BB"/>
    <w:rsid w:val="009E10F1"/>
    <w:rsid w:val="009E21F5"/>
    <w:rsid w:val="009F29C6"/>
    <w:rsid w:val="00A35269"/>
    <w:rsid w:val="00A4287E"/>
    <w:rsid w:val="00A56968"/>
    <w:rsid w:val="00A62136"/>
    <w:rsid w:val="00A65300"/>
    <w:rsid w:val="00A7586A"/>
    <w:rsid w:val="00A75B3E"/>
    <w:rsid w:val="00AA590A"/>
    <w:rsid w:val="00AC0682"/>
    <w:rsid w:val="00AF0201"/>
    <w:rsid w:val="00B12AFE"/>
    <w:rsid w:val="00B16C75"/>
    <w:rsid w:val="00B244AD"/>
    <w:rsid w:val="00B2514C"/>
    <w:rsid w:val="00B46068"/>
    <w:rsid w:val="00B64B6F"/>
    <w:rsid w:val="00B94288"/>
    <w:rsid w:val="00BC35F6"/>
    <w:rsid w:val="00BD0302"/>
    <w:rsid w:val="00BD6870"/>
    <w:rsid w:val="00BE14DF"/>
    <w:rsid w:val="00BE34BC"/>
    <w:rsid w:val="00BF41BD"/>
    <w:rsid w:val="00C00915"/>
    <w:rsid w:val="00C11097"/>
    <w:rsid w:val="00C14F79"/>
    <w:rsid w:val="00C1614E"/>
    <w:rsid w:val="00C61A58"/>
    <w:rsid w:val="00C6511E"/>
    <w:rsid w:val="00C7512B"/>
    <w:rsid w:val="00C77F6E"/>
    <w:rsid w:val="00CA3B2C"/>
    <w:rsid w:val="00CA6DEB"/>
    <w:rsid w:val="00CC5107"/>
    <w:rsid w:val="00CE256D"/>
    <w:rsid w:val="00D025DD"/>
    <w:rsid w:val="00D11FD9"/>
    <w:rsid w:val="00D1619B"/>
    <w:rsid w:val="00D244C7"/>
    <w:rsid w:val="00D55F52"/>
    <w:rsid w:val="00D732D7"/>
    <w:rsid w:val="00D9138E"/>
    <w:rsid w:val="00D938B9"/>
    <w:rsid w:val="00DC0D22"/>
    <w:rsid w:val="00DC5CE5"/>
    <w:rsid w:val="00DC5D32"/>
    <w:rsid w:val="00DD0C6A"/>
    <w:rsid w:val="00DD59FB"/>
    <w:rsid w:val="00DE5D35"/>
    <w:rsid w:val="00DE7836"/>
    <w:rsid w:val="00E06D14"/>
    <w:rsid w:val="00E24B33"/>
    <w:rsid w:val="00E44336"/>
    <w:rsid w:val="00E777C0"/>
    <w:rsid w:val="00E841CA"/>
    <w:rsid w:val="00E8786C"/>
    <w:rsid w:val="00E901A6"/>
    <w:rsid w:val="00EA60A2"/>
    <w:rsid w:val="00EB6E29"/>
    <w:rsid w:val="00EB736F"/>
    <w:rsid w:val="00EC3EC2"/>
    <w:rsid w:val="00EF13A2"/>
    <w:rsid w:val="00EF1558"/>
    <w:rsid w:val="00F10EDA"/>
    <w:rsid w:val="00F11DF7"/>
    <w:rsid w:val="00F30A87"/>
    <w:rsid w:val="00F867C0"/>
    <w:rsid w:val="00FA75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E777C0"/>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94F77-5DB4-46DF-9D63-15BF9D2D0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13</Pages>
  <Words>5304</Words>
  <Characters>30234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SMS User</dc:creator>
  <cp:lastModifiedBy>Lisa James</cp:lastModifiedBy>
  <cp:revision>151</cp:revision>
  <cp:lastPrinted>2026-02-10T15:05:00Z</cp:lastPrinted>
  <dcterms:created xsi:type="dcterms:W3CDTF">2026-03-29T18:03:00Z</dcterms:created>
  <dcterms:modified xsi:type="dcterms:W3CDTF">2026-03-29T20:27:00Z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323a90ad-5d88-4f0c-9776-a6c127b538f8</vt:lpwstr>
  </property>
</Properties>
</file>