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7A053EC8" wp14:paraId="0AFA1810" wp14:noSpellErr="1" wp14:textId="546742C7">
      <w:pPr>
        <w:pStyle w:val="Normal"/>
        <w:rPr>
          <w:b w:val="1"/>
          <w:bCs w:val="1"/>
        </w:rPr>
      </w:pPr>
      <w:r w:rsidRPr="7A053EC8" w:rsidR="22447B27">
        <w:rPr>
          <w:b w:val="1"/>
          <w:bCs w:val="1"/>
        </w:rPr>
        <w:t xml:space="preserve">How UK Police Forces Support the Prevent Strand of the CONTEST </w:t>
      </w:r>
      <w:r w:rsidRPr="7A053EC8" w:rsidR="22447B27">
        <w:rPr>
          <w:b w:val="1"/>
          <w:bCs w:val="1"/>
        </w:rPr>
        <w:t>Counter-Terrorism</w:t>
      </w:r>
      <w:r w:rsidRPr="7A053EC8" w:rsidR="22447B27">
        <w:rPr>
          <w:b w:val="1"/>
          <w:bCs w:val="1"/>
        </w:rPr>
        <w:t xml:space="preserve"> Strategy</w:t>
      </w:r>
      <w:r w:rsidRPr="7A053EC8" w:rsidR="26E26EFA">
        <w:rPr>
          <w:b w:val="1"/>
          <w:bCs w:val="1"/>
        </w:rPr>
        <w:t xml:space="preserve"> a</w:t>
      </w:r>
      <w:r w:rsidRPr="7A053EC8" w:rsidR="22447B27">
        <w:rPr>
          <w:b w:val="1"/>
          <w:bCs w:val="1"/>
        </w:rPr>
        <w:t>nd the Challenges They Face in Implementing It Effectively</w:t>
      </w:r>
      <w:r w:rsidRPr="7A053EC8" w:rsidR="22447B27">
        <w:rPr>
          <w:b w:val="1"/>
          <w:bCs w:val="1"/>
        </w:rPr>
        <w:t xml:space="preserve"> </w:t>
      </w:r>
      <w:r w:rsidRPr="7A053EC8" w:rsidR="22447B27">
        <w:rPr>
          <w:b w:val="1"/>
          <w:bCs w:val="1"/>
        </w:rPr>
        <w:t>in Today’s Societ</w:t>
      </w:r>
      <w:r w:rsidRPr="7A053EC8" w:rsidR="22447B27">
        <w:rPr>
          <w:b w:val="1"/>
          <w:bCs w:val="1"/>
        </w:rPr>
        <w:t>y</w:t>
      </w:r>
      <w:r w:rsidRPr="7A053EC8" w:rsidR="7FD7C64E">
        <w:rPr>
          <w:b w:val="1"/>
          <w:bCs w:val="1"/>
        </w:rPr>
        <w:t>.</w:t>
      </w:r>
    </w:p>
    <w:p xmlns:wp14="http://schemas.microsoft.com/office/word/2010/wordml" w:rsidP="7A053EC8" wp14:paraId="26CA197A" wp14:textId="6B70BC95" wp14:noSpellErr="1">
      <w:pPr>
        <w:pStyle w:val="Normal"/>
        <w:rPr>
          <w:b w:val="1"/>
          <w:bCs w:val="1"/>
        </w:rPr>
      </w:pPr>
    </w:p>
    <w:p xmlns:wp14="http://schemas.microsoft.com/office/word/2010/wordml" w:rsidP="2290B9D6" wp14:paraId="6A529DDF" wp14:noSpellErr="1" wp14:textId="5363448D">
      <w:pPr>
        <w:pStyle w:val="Normal"/>
      </w:pPr>
      <w:r w:rsidR="22447B27">
        <w:rPr/>
        <w:t xml:space="preserve">Prevent is the early-intervention strand of the United Kingdom’s CONTEST counter-terrorism strategy, designed to reduce the risk of individuals becoming involved in terrorism or supporting extremist activity. Its focus is on addressing radical ideologies, </w:t>
      </w:r>
      <w:r w:rsidR="22447B27">
        <w:rPr/>
        <w:t>identifying</w:t>
      </w:r>
      <w:r w:rsidR="22447B27">
        <w:rPr/>
        <w:t xml:space="preserve"> those at </w:t>
      </w:r>
      <w:r w:rsidR="22447B27">
        <w:rPr/>
        <w:t>risk</w:t>
      </w:r>
      <w:r w:rsidR="22447B27">
        <w:rPr/>
        <w:t xml:space="preserve"> and providing support through multi-agency safeguarding processes (Home Office, 2023a). Within this framework, UK police forces play </w:t>
      </w:r>
      <w:bookmarkStart w:name="_Int_sGQhSwy9" w:id="1276961458"/>
      <w:r w:rsidR="22447B27">
        <w:rPr/>
        <w:t>a central role</w:t>
      </w:r>
      <w:bookmarkEnd w:id="1276961458"/>
      <w:r w:rsidR="22447B27">
        <w:rPr/>
        <w:t xml:space="preserve"> by coordinating local partnerships, assessing </w:t>
      </w:r>
      <w:r w:rsidR="22447B27">
        <w:rPr/>
        <w:t>referrals</w:t>
      </w:r>
      <w:r w:rsidR="22447B27">
        <w:rPr/>
        <w:t xml:space="preserve"> and contributing to safeguarding interventions such as the Channel programme.</w:t>
      </w:r>
    </w:p>
    <w:p xmlns:wp14="http://schemas.microsoft.com/office/word/2010/wordml" w:rsidP="2290B9D6" wp14:paraId="3BDE687A" wp14:textId="4A1A14D8">
      <w:pPr>
        <w:pStyle w:val="Normal"/>
      </w:pPr>
      <w:r w:rsidR="22447B27">
        <w:rPr/>
        <w:t xml:space="preserve">Since its </w:t>
      </w:r>
      <w:r w:rsidR="22447B27">
        <w:rPr/>
        <w:t>inception</w:t>
      </w:r>
      <w:r w:rsidR="22447B27">
        <w:rPr/>
        <w:t xml:space="preserve"> in 2006, Prevent has attracted sustained academic and political debate. Supporters describe it as a vital safeguarding mechanism; critics, however, argue that it risks stigmatising Muslim communities and blurring the boundary between policing and social work </w:t>
      </w:r>
      <w:r w:rsidR="371531A3">
        <w:rPr/>
        <w:t>(Chambers, Cantrell and Booth, 2021)</w:t>
      </w:r>
      <w:r w:rsidR="22447B27">
        <w:rPr/>
        <w:t>. The purpo</w:t>
      </w:r>
      <w:r w:rsidR="22447B27">
        <w:rPr/>
        <w:t>se of th</w:t>
      </w:r>
      <w:r w:rsidR="22447B27">
        <w:rPr/>
        <w:t>is review is to synthesise scholarly, policy and inspectorate literature to examine how UK police forces implement Prevent and to evaluate the challenges they face in delivering it effectively within a diverse and digitally connected society.</w:t>
      </w:r>
    </w:p>
    <w:p xmlns:wp14="http://schemas.microsoft.com/office/word/2010/wordml" w:rsidP="7A053EC8" wp14:paraId="74B21C50" wp14:textId="78A49CCE" wp14:noSpellErr="1">
      <w:pPr>
        <w:pStyle w:val="Normal"/>
        <w:rPr>
          <w:b w:val="1"/>
          <w:bCs w:val="1"/>
        </w:rPr>
      </w:pPr>
      <w:r w:rsidRPr="7A053EC8" w:rsidR="22447B27">
        <w:rPr>
          <w:b w:val="1"/>
          <w:bCs w:val="1"/>
        </w:rPr>
        <w:t>Methods and Scope</w:t>
      </w:r>
    </w:p>
    <w:p xmlns:wp14="http://schemas.microsoft.com/office/word/2010/wordml" w:rsidP="2290B9D6" wp14:paraId="5C50D047" wp14:textId="5EB9A5B1">
      <w:pPr>
        <w:pStyle w:val="Normal"/>
      </w:pPr>
      <w:r w:rsidR="22447B27">
        <w:rPr/>
        <w:t>This review draws upon UK Government policy documents</w:t>
      </w:r>
      <w:r w:rsidR="7AD5E292">
        <w:rPr/>
        <w:t xml:space="preserve"> (Home Office, 2024)</w:t>
      </w:r>
      <w:r w:rsidR="22447B27">
        <w:rPr/>
        <w:t xml:space="preserve">, inspection reports (HMICFRS, 2022), the Independent Review of Prevent (Shawcross, 2023), and academic analyses published in Policing &amp; Society, British Journal of Criminology and Critical Studies on Terrorism. Grey literature from organisations such as </w:t>
      </w:r>
      <w:r w:rsidR="41DC5CA9">
        <w:rPr/>
        <w:t>(Amnesty International, 2023)</w:t>
      </w:r>
      <w:r w:rsidR="22447B27">
        <w:rPr/>
        <w:t xml:space="preserve"> is also included to reflect civil-society perspectives.</w:t>
      </w:r>
    </w:p>
    <w:p xmlns:wp14="http://schemas.microsoft.com/office/word/2010/wordml" w:rsidP="2290B9D6" wp14:paraId="6CAC64CE" wp14:noSpellErr="1" wp14:textId="18C0F4B9">
      <w:pPr>
        <w:pStyle w:val="Normal"/>
      </w:pPr>
      <w:r w:rsidR="22447B27">
        <w:rPr/>
        <w:t xml:space="preserve">The review adopts a thematic approach focusing on police roles and organisational arrangements, capability and training, governance and data issues, community trust and legitimacy and the available evidence on effectiveness. Sources span 2015–2024, a period that includes the statutory Prevent Duty introduced by the </w:t>
      </w:r>
      <w:r w:rsidR="22447B27">
        <w:rPr/>
        <w:t>Counter-Terrorism</w:t>
      </w:r>
      <w:r w:rsidR="22447B27">
        <w:rPr/>
        <w:t xml:space="preserve"> and Security Act 2015 and the 2023 update of CONTEST.</w:t>
      </w:r>
    </w:p>
    <w:p xmlns:wp14="http://schemas.microsoft.com/office/word/2010/wordml" w:rsidP="7A053EC8" wp14:paraId="45AFF420" wp14:textId="639D307D" wp14:noSpellErr="1">
      <w:pPr>
        <w:pStyle w:val="Normal"/>
        <w:rPr>
          <w:b w:val="1"/>
          <w:bCs w:val="1"/>
        </w:rPr>
      </w:pPr>
      <w:r w:rsidRPr="7A053EC8" w:rsidR="22447B27">
        <w:rPr>
          <w:b w:val="1"/>
          <w:bCs w:val="1"/>
        </w:rPr>
        <w:t>Police Roles and Organisational Arrangements</w:t>
      </w:r>
    </w:p>
    <w:p xmlns:wp14="http://schemas.microsoft.com/office/word/2010/wordml" w:rsidP="2290B9D6" wp14:paraId="0E5D8BFD" wp14:noSpellErr="1" wp14:textId="1E5DD956">
      <w:pPr>
        <w:pStyle w:val="Normal"/>
      </w:pPr>
      <w:r w:rsidR="22447B27">
        <w:rPr/>
        <w:t xml:space="preserve">Under the Prevent Duty, the police act as both operational and strategic partners in multi-agency safeguarding networks. Their functions include </w:t>
      </w:r>
      <w:r w:rsidR="22447B27">
        <w:rPr/>
        <w:t>identifying</w:t>
      </w:r>
      <w:r w:rsidR="22447B27">
        <w:rPr/>
        <w:t xml:space="preserve"> individuals of concern, </w:t>
      </w:r>
      <w:r w:rsidR="22447B27">
        <w:rPr/>
        <w:t>facilitating</w:t>
      </w:r>
      <w:r w:rsidR="22447B27">
        <w:rPr/>
        <w:t xml:space="preserve"> referrals, </w:t>
      </w:r>
      <w:r w:rsidR="22447B27">
        <w:rPr/>
        <w:t>chairing</w:t>
      </w:r>
      <w:r w:rsidR="22447B27">
        <w:rPr/>
        <w:t xml:space="preserve"> or </w:t>
      </w:r>
      <w:r w:rsidR="22447B27">
        <w:rPr/>
        <w:t>advising</w:t>
      </w:r>
      <w:r w:rsidR="22447B27">
        <w:rPr/>
        <w:t xml:space="preserve"> Channel panels and supporting local authorities in developing counter-extremism action plans (Home Office, 2023b). Counter-Terrorism Policing (CTP) oversees this activity through ten regional Counter-Terrorism Units (CTUs) and associated Regional Organised Crime Units (ROCUs), while local neighbourhood policing teams deliver engagement and awareness at community level (College of Policing, 20</w:t>
      </w:r>
      <w:r w:rsidR="5037F369">
        <w:rPr/>
        <w:t>13</w:t>
      </w:r>
      <w:r w:rsidR="22447B27">
        <w:rPr/>
        <w:t>).</w:t>
      </w:r>
    </w:p>
    <w:p xmlns:wp14="http://schemas.microsoft.com/office/word/2010/wordml" w:rsidP="2290B9D6" wp14:paraId="5B52F72F" wp14:noSpellErr="1" wp14:textId="19B912EE">
      <w:pPr>
        <w:pStyle w:val="Normal"/>
      </w:pPr>
      <w:r w:rsidRPr="032B6B62" w:rsidR="22447B27">
        <w:rPr>
          <w:i w:val="0"/>
          <w:iCs w:val="0"/>
          <w:u w:val="none"/>
        </w:rPr>
        <w:t xml:space="preserve">According to </w:t>
      </w:r>
      <w:r w:rsidRPr="032B6B62" w:rsidR="75682D09">
        <w:rPr>
          <w:i w:val="0"/>
          <w:iCs w:val="0"/>
          <w:u w:val="none"/>
        </w:rPr>
        <w:t>(</w:t>
      </w:r>
      <w:r w:rsidRPr="032B6B62" w:rsidR="22447B27">
        <w:rPr>
          <w:i w:val="0"/>
          <w:iCs w:val="0"/>
          <w:u w:val="none"/>
        </w:rPr>
        <w:t>HMICFRS</w:t>
      </w:r>
      <w:r w:rsidRPr="032B6B62" w:rsidR="2FD78598">
        <w:rPr>
          <w:i w:val="0"/>
          <w:iCs w:val="0"/>
          <w:u w:val="none"/>
        </w:rPr>
        <w:t xml:space="preserve">, </w:t>
      </w:r>
      <w:r w:rsidRPr="032B6B62" w:rsidR="22447B27">
        <w:rPr>
          <w:i w:val="0"/>
          <w:iCs w:val="0"/>
          <w:u w:val="none"/>
        </w:rPr>
        <w:t xml:space="preserve">2022), forces </w:t>
      </w:r>
      <w:r w:rsidRPr="032B6B62" w:rsidR="22447B27">
        <w:rPr>
          <w:i w:val="0"/>
          <w:iCs w:val="0"/>
          <w:u w:val="none"/>
        </w:rPr>
        <w:t>demonstrate</w:t>
      </w:r>
      <w:r w:rsidRPr="032B6B62" w:rsidR="60B3A1C6">
        <w:rPr>
          <w:i w:val="0"/>
          <w:iCs w:val="0"/>
          <w:u w:val="none"/>
        </w:rPr>
        <w:t xml:space="preserve"> a</w:t>
      </w:r>
      <w:r w:rsidRPr="032B6B62" w:rsidR="22447B27">
        <w:rPr>
          <w:i w:val="0"/>
          <w:iCs w:val="0"/>
          <w:u w:val="single"/>
        </w:rPr>
        <w:t xml:space="preserve"> </w:t>
      </w:r>
      <w:r w:rsidR="22447B27">
        <w:rPr/>
        <w:t xml:space="preserve">strong commitment to </w:t>
      </w:r>
      <w:r w:rsidR="22447B27">
        <w:rPr/>
        <w:t>Prevent’s</w:t>
      </w:r>
      <w:r w:rsidR="22447B27">
        <w:rPr/>
        <w:t xml:space="preserve"> objectives, but implementation varies widely. Larger metropolitan forces such as the Metropolitan Police Service and Greater Manchester Police have dedicated Prevent teams, </w:t>
      </w:r>
      <w:r w:rsidR="22447B27">
        <w:rPr/>
        <w:t>whereas</w:t>
      </w:r>
      <w:r w:rsidR="22447B27">
        <w:rPr/>
        <w:t xml:space="preserve"> smaller or rural forces often rely on a few trained officers, limiting consistency. Academic analysis supports this view: </w:t>
      </w:r>
      <w:r w:rsidR="09FAFADE">
        <w:rPr/>
        <w:t>(Cleary et al., 2021)</w:t>
      </w:r>
      <w:r w:rsidR="22447B27">
        <w:rPr/>
        <w:t xml:space="preserve"> argues that the “multi-layered” design of Prevent creates gaps between strategic leadership and local practice, leading to uneven quality of intervention.</w:t>
      </w:r>
    </w:p>
    <w:p xmlns:wp14="http://schemas.microsoft.com/office/word/2010/wordml" w:rsidP="2290B9D6" wp14:paraId="78E71061" wp14:textId="2CE0A58F" wp14:noSpellErr="1">
      <w:pPr>
        <w:pStyle w:val="Normal"/>
      </w:pPr>
      <w:r w:rsidR="22447B27">
        <w:rPr/>
        <w:t xml:space="preserve">The organisational structure therefore enables flexibility but also contributes to disparity. The literature calls for a more standardised national framework and clear performance metrics to ensure </w:t>
      </w:r>
      <w:bookmarkStart w:name="_Int_K2edURSC" w:id="1630602372"/>
      <w:r w:rsidR="22447B27">
        <w:rPr/>
        <w:t>equitable</w:t>
      </w:r>
      <w:bookmarkEnd w:id="1630602372"/>
      <w:r w:rsidR="22447B27">
        <w:rPr/>
        <w:t xml:space="preserve"> delivery across regions </w:t>
      </w:r>
      <w:r w:rsidR="5590AC9C">
        <w:rPr/>
        <w:t xml:space="preserve">(Smith, </w:t>
      </w:r>
      <w:r w:rsidR="5590AC9C">
        <w:rPr/>
        <w:t>Gilmer</w:t>
      </w:r>
      <w:r w:rsidR="5590AC9C">
        <w:rPr/>
        <w:t xml:space="preserve"> and Stockdale, 2019)</w:t>
      </w:r>
      <w:r w:rsidR="22447B27">
        <w:rPr/>
        <w:t>.</w:t>
      </w:r>
    </w:p>
    <w:p xmlns:wp14="http://schemas.microsoft.com/office/word/2010/wordml" w:rsidP="7A053EC8" wp14:paraId="1E2C690C" wp14:textId="4DC071A5" wp14:noSpellErr="1">
      <w:pPr>
        <w:pStyle w:val="Normal"/>
        <w:rPr>
          <w:b w:val="1"/>
          <w:bCs w:val="1"/>
        </w:rPr>
      </w:pPr>
      <w:r w:rsidRPr="7A053EC8" w:rsidR="22447B27">
        <w:rPr>
          <w:b w:val="1"/>
          <w:bCs w:val="1"/>
        </w:rPr>
        <w:t>Capability, Resources and Training</w:t>
      </w:r>
    </w:p>
    <w:p xmlns:wp14="http://schemas.microsoft.com/office/word/2010/wordml" w:rsidP="2290B9D6" wp14:paraId="2DFB2EE3" wp14:noSpellErr="1" wp14:textId="6BA63789">
      <w:pPr>
        <w:pStyle w:val="Normal"/>
      </w:pPr>
      <w:r w:rsidR="22447B27">
        <w:rPr/>
        <w:t xml:space="preserve">Variation in capability is one of the most persistent issues. Specialist counter-terrorism officers typically receive comprehensive training and have access to analytical resources, while local police may have limited understanding of radicalisation processes or the Prevent referral pathway (HMICFRS, 2022). </w:t>
      </w:r>
      <w:r w:rsidR="33F516BC">
        <w:rPr/>
        <w:t>(College of Policing, 2023)</w:t>
      </w:r>
      <w:r w:rsidR="22447B27">
        <w:rPr/>
        <w:t xml:space="preserve"> provides online learning modules, but uptake depends on local leadership and budgets.</w:t>
      </w:r>
    </w:p>
    <w:p xmlns:wp14="http://schemas.microsoft.com/office/word/2010/wordml" w:rsidP="2290B9D6" wp14:paraId="0957EE66" wp14:textId="1D538ACA" wp14:noSpellErr="1">
      <w:pPr>
        <w:pStyle w:val="Normal"/>
      </w:pPr>
      <w:r w:rsidR="22447B27">
        <w:rPr/>
        <w:t xml:space="preserve">Financial constraints have also affected delivery. After years of austerity, police forces have prioritised reactive crime control over preventative work. The COVID-19 pandemic compounded these pressures, diverting resources and limiting community engagement (Home Office, 2023). As a result, </w:t>
      </w:r>
      <w:bookmarkStart w:name="_Int_K1iAtieA" w:id="209248101"/>
      <w:r w:rsidR="22447B27">
        <w:rPr/>
        <w:t>Prevent</w:t>
      </w:r>
      <w:bookmarkEnd w:id="209248101"/>
      <w:r w:rsidR="22447B27">
        <w:rPr/>
        <w:t xml:space="preserve"> delivery often depends on the dedication of a small cadre of officers with overlapping safeguarding and counter-terrorism duties.</w:t>
      </w:r>
    </w:p>
    <w:p xmlns:wp14="http://schemas.microsoft.com/office/word/2010/wordml" w:rsidP="2290B9D6" wp14:paraId="6425E3E0" wp14:noSpellErr="1" wp14:textId="2841B977">
      <w:pPr>
        <w:pStyle w:val="Normal"/>
      </w:pPr>
      <w:r w:rsidR="22447B27">
        <w:rPr/>
        <w:t xml:space="preserve">Concerns about training quality appear repeatedly in the literature. </w:t>
      </w:r>
      <w:r w:rsidR="7362F318">
        <w:rPr/>
        <w:t>(Heath-Kelly and Strausz, 2018)</w:t>
      </w:r>
      <w:r w:rsidR="22447B27">
        <w:rPr/>
        <w:t xml:space="preserve">) argue that existing training can encourage box-ticking and over-reliance on behavioural indicators, increasing the risk of misidentification. </w:t>
      </w:r>
      <w:r w:rsidR="3687CC6A">
        <w:rPr/>
        <w:t>(Amnesty International, 2024)</w:t>
      </w:r>
      <w:r w:rsidR="22447B27">
        <w:rPr/>
        <w:t xml:space="preserve"> likewise reports instances of over-referral based on vague concerns, highlighting the need for greater cultural literacy and critical reflection in training. Enhanced investment in specialist education</w:t>
      </w:r>
      <w:r w:rsidR="31CD9192">
        <w:rPr/>
        <w:t xml:space="preserve">, </w:t>
      </w:r>
      <w:r w:rsidR="22447B27">
        <w:rPr/>
        <w:t>particularly in understanding online radicalisation, social media use and digital intelligence</w:t>
      </w:r>
      <w:r w:rsidR="375BF69D">
        <w:rPr/>
        <w:t xml:space="preserve"> </w:t>
      </w:r>
      <w:r w:rsidR="22447B27">
        <w:rPr/>
        <w:t>is recommended to enable police to address contemporary extremist narratives effectively.</w:t>
      </w:r>
    </w:p>
    <w:p xmlns:wp14="http://schemas.microsoft.com/office/word/2010/wordml" w:rsidP="7A053EC8" wp14:paraId="053878E5" wp14:textId="168F1A75" wp14:noSpellErr="1">
      <w:pPr>
        <w:pStyle w:val="Normal"/>
        <w:rPr>
          <w:b w:val="1"/>
          <w:bCs w:val="1"/>
        </w:rPr>
      </w:pPr>
      <w:r w:rsidRPr="7A053EC8" w:rsidR="22447B27">
        <w:rPr>
          <w:b w:val="1"/>
          <w:bCs w:val="1"/>
        </w:rPr>
        <w:t>Governance, Data and Human-Rights Challenges</w:t>
      </w:r>
    </w:p>
    <w:p xmlns:wp14="http://schemas.microsoft.com/office/word/2010/wordml" w:rsidP="2290B9D6" wp14:paraId="0F0C1E24" wp14:noSpellErr="1" wp14:textId="308A5FC7">
      <w:pPr>
        <w:pStyle w:val="Normal"/>
      </w:pPr>
      <w:r w:rsidR="22447B27">
        <w:rPr/>
        <w:t xml:space="preserve">Robust governance and oversight are essential for </w:t>
      </w:r>
      <w:r w:rsidR="22447B27">
        <w:rPr/>
        <w:t>maintaining</w:t>
      </w:r>
      <w:r w:rsidR="22447B27">
        <w:rPr/>
        <w:t xml:space="preserve"> legitimacy and ensuring Prevent </w:t>
      </w:r>
      <w:r w:rsidR="22447B27">
        <w:rPr/>
        <w:t>operates</w:t>
      </w:r>
      <w:r w:rsidR="22447B27">
        <w:rPr/>
        <w:t xml:space="preserve"> within human-rights standards. The </w:t>
      </w:r>
      <w:r w:rsidR="22447B27">
        <w:rPr/>
        <w:t>Counter-Terrorism</w:t>
      </w:r>
      <w:r w:rsidR="22447B27">
        <w:rPr/>
        <w:t xml:space="preserve"> and Security Act 2015 created a statutory duty but offered limited mechanisms for independent scrutiny. The Independent Review of Prevent </w:t>
      </w:r>
      <w:r w:rsidR="27291183">
        <w:rPr/>
        <w:t>(HM Government, 2015)</w:t>
      </w:r>
      <w:r w:rsidR="22447B27">
        <w:rPr/>
        <w:t xml:space="preserve"> therefore recommended clearer accountability lines between local authorities, police and central government, alongside improved data transparency.</w:t>
      </w:r>
    </w:p>
    <w:p xmlns:wp14="http://schemas.microsoft.com/office/word/2010/wordml" w:rsidP="2290B9D6" wp14:paraId="684F7563" wp14:textId="2F285BC3" wp14:noSpellErr="1">
      <w:pPr>
        <w:pStyle w:val="Normal"/>
      </w:pPr>
      <w:r w:rsidR="22447B27">
        <w:rPr/>
        <w:t xml:space="preserve">Data quality has long been problematic. </w:t>
      </w:r>
      <w:r w:rsidR="34938EEC">
        <w:rPr/>
        <w:t xml:space="preserve">(Syal, 2024) </w:t>
      </w:r>
      <w:r w:rsidR="22447B27">
        <w:rPr/>
        <w:t xml:space="preserve">reported that police </w:t>
      </w:r>
      <w:r w:rsidR="22447B27">
        <w:rPr/>
        <w:t>failed to</w:t>
      </w:r>
      <w:r w:rsidR="22447B27">
        <w:rPr/>
        <w:t xml:space="preserve"> recor</w:t>
      </w:r>
      <w:r w:rsidR="22447B27">
        <w:rPr/>
        <w:t>d ethnici</w:t>
      </w:r>
      <w:r w:rsidR="22447B27">
        <w:rPr/>
        <w:t xml:space="preserve">ty in </w:t>
      </w:r>
      <w:r w:rsidR="22447B27">
        <w:rPr/>
        <w:t>nearly half</w:t>
      </w:r>
      <w:r w:rsidR="22447B27">
        <w:rPr/>
        <w:t xml:space="preserve"> of </w:t>
      </w:r>
      <w:r w:rsidR="22447B27">
        <w:rPr/>
        <w:t>Prevent ref</w:t>
      </w:r>
      <w:r w:rsidR="22447B27">
        <w:rPr/>
        <w:t xml:space="preserve">errals during 2022, impeding analysis of potential disproportionality. </w:t>
      </w:r>
      <w:r w:rsidR="6368C772">
        <w:rPr/>
        <w:t>(</w:t>
      </w:r>
      <w:r w:rsidR="22447B27">
        <w:rPr/>
        <w:t>HMICFRS</w:t>
      </w:r>
      <w:r w:rsidR="66F9359A">
        <w:rPr/>
        <w:t xml:space="preserve">, </w:t>
      </w:r>
      <w:r w:rsidR="22447B27">
        <w:rPr/>
        <w:t xml:space="preserve">2022) also found that data systems varied by force, with some lacking capacity for detailed trend analysis. In response, the </w:t>
      </w:r>
      <w:r w:rsidR="385B536A">
        <w:rPr/>
        <w:t>(</w:t>
      </w:r>
      <w:r w:rsidR="22447B27">
        <w:rPr/>
        <w:t>Home Office</w:t>
      </w:r>
      <w:r w:rsidR="7D66275F">
        <w:rPr/>
        <w:t xml:space="preserve">, </w:t>
      </w:r>
      <w:r w:rsidR="22447B27">
        <w:rPr/>
        <w:t xml:space="preserve">2023b) pledged to enhance data recording, though implementation </w:t>
      </w:r>
      <w:bookmarkStart w:name="_Int_YPsCaH4n" w:id="1727459209"/>
      <w:r w:rsidR="22447B27">
        <w:rPr/>
        <w:t>remains</w:t>
      </w:r>
      <w:bookmarkEnd w:id="1727459209"/>
      <w:r w:rsidR="22447B27">
        <w:rPr/>
        <w:t xml:space="preserve"> uneven.</w:t>
      </w:r>
    </w:p>
    <w:p xmlns:wp14="http://schemas.microsoft.com/office/word/2010/wordml" w:rsidP="2290B9D6" wp14:paraId="2B0162FE" wp14:noSpellErr="1" wp14:textId="619ADC05">
      <w:pPr>
        <w:pStyle w:val="Normal"/>
      </w:pPr>
      <w:r w:rsidR="22447B27">
        <w:rPr/>
        <w:t xml:space="preserve">Human-rights organisations contend that </w:t>
      </w:r>
      <w:r w:rsidR="22447B27">
        <w:rPr/>
        <w:t>Prevent’s</w:t>
      </w:r>
      <w:r w:rsidR="22447B27">
        <w:rPr/>
        <w:t xml:space="preserve"> broad criteria can infringe civil liberties. </w:t>
      </w:r>
      <w:r w:rsidR="2DB99802">
        <w:rPr/>
        <w:t>(</w:t>
      </w:r>
      <w:r w:rsidR="22447B27">
        <w:rPr/>
        <w:t>Amnesty International</w:t>
      </w:r>
      <w:r w:rsidR="17838ACC">
        <w:rPr/>
        <w:t xml:space="preserve">, </w:t>
      </w:r>
      <w:r w:rsidR="22447B27">
        <w:rPr/>
        <w:t xml:space="preserve">2023) argues that the duty encourages “over-reporting” of non-violent behaviour, chilling free expression. Empirical research by </w:t>
      </w:r>
      <w:r w:rsidR="6BA0A4F1">
        <w:rPr/>
        <w:t>(O’Toole et al., 2016) supports</w:t>
      </w:r>
      <w:r w:rsidR="22447B27">
        <w:rPr/>
        <w:t xml:space="preserve"> this, </w:t>
      </w:r>
      <w:r w:rsidR="22447B27">
        <w:rPr/>
        <w:t>demonstrating</w:t>
      </w:r>
      <w:r w:rsidR="22447B27">
        <w:rPr/>
        <w:t xml:space="preserve"> that Muslim communities perceive Prevent as s</w:t>
      </w:r>
      <w:r w:rsidR="2C9C3763">
        <w:rPr/>
        <w:t>crutinising</w:t>
      </w:r>
      <w:r w:rsidR="22447B27">
        <w:rPr/>
        <w:t xml:space="preserve"> everyday religious and political practice. Balancing early identification of risk with proportionality and due process thus </w:t>
      </w:r>
      <w:r w:rsidR="22447B27">
        <w:rPr/>
        <w:t>remains</w:t>
      </w:r>
      <w:r w:rsidR="22447B27">
        <w:rPr/>
        <w:t xml:space="preserve"> </w:t>
      </w:r>
      <w:r w:rsidR="22447B27">
        <w:rPr/>
        <w:t>a funda</w:t>
      </w:r>
      <w:r w:rsidR="22447B27">
        <w:rPr/>
        <w:t xml:space="preserve">mental challenge. </w:t>
      </w:r>
    </w:p>
    <w:p xmlns:wp14="http://schemas.microsoft.com/office/word/2010/wordml" w:rsidP="7A053EC8" wp14:paraId="69FBD74A" wp14:textId="51CFB7BF" wp14:noSpellErr="1">
      <w:pPr>
        <w:pStyle w:val="Normal"/>
        <w:rPr>
          <w:b w:val="1"/>
          <w:bCs w:val="1"/>
          <w:u w:val="none"/>
        </w:rPr>
      </w:pPr>
      <w:r w:rsidRPr="7A053EC8" w:rsidR="22447B27">
        <w:rPr>
          <w:b w:val="1"/>
          <w:bCs w:val="1"/>
          <w:u w:val="none"/>
        </w:rPr>
        <w:t>Community Trust, Legitimacy and Discrimination</w:t>
      </w:r>
    </w:p>
    <w:p xmlns:wp14="http://schemas.microsoft.com/office/word/2010/wordml" w:rsidP="2290B9D6" wp14:paraId="647F5C96" wp14:noSpellErr="1" wp14:textId="7A9A5FC8">
      <w:pPr>
        <w:pStyle w:val="Normal"/>
      </w:pPr>
      <w:r w:rsidR="22447B27">
        <w:rPr/>
        <w:t xml:space="preserve">Community confidence profoundly shapes </w:t>
      </w:r>
      <w:r w:rsidR="22447B27">
        <w:rPr/>
        <w:t>Prevent’s</w:t>
      </w:r>
      <w:r w:rsidR="22447B27">
        <w:rPr/>
        <w:t xml:space="preserve"> success. Trust in policing legitimacy influences public cooperation, particularly in intelligence-led initiatives (Tyler, 2006). Yet </w:t>
      </w:r>
      <w:r w:rsidR="22447B27">
        <w:rPr/>
        <w:t>numerous</w:t>
      </w:r>
      <w:r w:rsidR="22447B27">
        <w:rPr/>
        <w:t xml:space="preserve"> studies show that Prevent has generated suspicion within Muslim and minority communities (</w:t>
      </w:r>
      <w:r w:rsidR="22447B27">
        <w:rPr/>
        <w:t>Kundnani</w:t>
      </w:r>
      <w:r w:rsidR="22447B27">
        <w:rPr/>
        <w:t xml:space="preserve">, 2014). Examples of children referred for expressing curiosity about religious issues or foreign conflicts have reinforced </w:t>
      </w:r>
      <w:r w:rsidR="22447B27">
        <w:rPr/>
        <w:t>perceptions</w:t>
      </w:r>
      <w:r w:rsidR="22447B27">
        <w:rPr/>
        <w:t xml:space="preserve"> of bias (Amnesty International, 2023).</w:t>
      </w:r>
    </w:p>
    <w:p xmlns:wp14="http://schemas.microsoft.com/office/word/2010/wordml" w:rsidP="2290B9D6" wp14:paraId="022B2FA6" wp14:noSpellErr="1" wp14:textId="5BB35AF7">
      <w:pPr>
        <w:pStyle w:val="Normal"/>
      </w:pPr>
      <w:r w:rsidR="22447B27">
        <w:rPr/>
        <w:t xml:space="preserve">From a procedural-justice perspective, legitimacy depends on fairness, </w:t>
      </w:r>
      <w:r w:rsidR="22447B27">
        <w:rPr/>
        <w:t>transparency</w:t>
      </w:r>
      <w:r w:rsidR="22447B27">
        <w:rPr/>
        <w:t xml:space="preserve"> and voice. Where communities perceive Prevent as discriminatory, engagement declines (Cherney and Murphy, 2017). </w:t>
      </w:r>
      <w:r w:rsidR="0DFA0088">
        <w:rPr/>
        <w:t>(</w:t>
      </w:r>
      <w:r w:rsidR="22447B27">
        <w:rPr/>
        <w:t>HMICFRS</w:t>
      </w:r>
      <w:r w:rsidR="2E3AB7A8">
        <w:rPr/>
        <w:t xml:space="preserve">, </w:t>
      </w:r>
      <w:r w:rsidR="22447B27">
        <w:rPr/>
        <w:t xml:space="preserve">2022) therefore </w:t>
      </w:r>
      <w:r w:rsidR="22447B27">
        <w:rPr/>
        <w:t>advises</w:t>
      </w:r>
      <w:r w:rsidR="22447B27">
        <w:rPr/>
        <w:t xml:space="preserve"> that forces separate safeguarding communication from intelligence gathering to protect trust.</w:t>
      </w:r>
    </w:p>
    <w:p xmlns:wp14="http://schemas.microsoft.com/office/word/2010/wordml" w:rsidP="2290B9D6" wp14:paraId="647670C9" wp14:noSpellErr="1" wp14:textId="37397DB4">
      <w:pPr>
        <w:pStyle w:val="Normal"/>
      </w:pPr>
      <w:r w:rsidR="22447B27">
        <w:rPr/>
        <w:t xml:space="preserve">Some positive models exist. In Birmingham and Leicester, for instance, co-production with community partners has enhanced cultural competence and reduced tensions </w:t>
      </w:r>
      <w:r w:rsidR="7BD7DFA1">
        <w:rPr/>
        <w:t>(Blakemore, 2016)</w:t>
      </w:r>
      <w:r w:rsidR="22447B27">
        <w:rPr/>
        <w:t>. These cases illustrate that participatory design</w:t>
      </w:r>
      <w:r w:rsidR="3DBA5DF2">
        <w:rPr/>
        <w:t xml:space="preserve">, </w:t>
      </w:r>
      <w:r w:rsidR="22447B27">
        <w:rPr/>
        <w:t>where local leaders help shape Prevent delivery</w:t>
      </w:r>
      <w:r w:rsidR="781CBE75">
        <w:rPr/>
        <w:t xml:space="preserve">, </w:t>
      </w:r>
      <w:r w:rsidR="22447B27">
        <w:rPr/>
        <w:t xml:space="preserve">can rebuild legitimacy. Nevertheless, such initiatives </w:t>
      </w:r>
      <w:r w:rsidR="22447B27">
        <w:rPr/>
        <w:t>remain</w:t>
      </w:r>
      <w:r w:rsidR="22447B27">
        <w:rPr/>
        <w:t xml:space="preserve"> uneven and</w:t>
      </w:r>
      <w:r w:rsidR="22447B27">
        <w:rPr/>
        <w:t xml:space="preserve"> depen</w:t>
      </w:r>
      <w:r w:rsidR="22447B27">
        <w:rPr/>
        <w:t xml:space="preserve">dent on local leadership rather than national strategy. Overall, the literature suggests that improving </w:t>
      </w:r>
      <w:r w:rsidR="22447B27">
        <w:rPr/>
        <w:t>Prevent’s</w:t>
      </w:r>
      <w:r w:rsidR="22447B27">
        <w:rPr/>
        <w:t xml:space="preserve"> social </w:t>
      </w:r>
      <w:r w:rsidR="22447B27">
        <w:rPr/>
        <w:t>legitimac</w:t>
      </w:r>
      <w:r w:rsidR="22447B27">
        <w:rPr/>
        <w:t xml:space="preserve">y requires transparency about aims, consistent community dialogue and recognition of structural inequalities that shape </w:t>
      </w:r>
      <w:r w:rsidR="22447B27">
        <w:rPr/>
        <w:t>perceptions</w:t>
      </w:r>
      <w:r w:rsidR="22447B27">
        <w:rPr/>
        <w:t xml:space="preserve"> of po</w:t>
      </w:r>
      <w:r w:rsidR="22447B27">
        <w:rPr/>
        <w:t>licing.</w:t>
      </w:r>
    </w:p>
    <w:p xmlns:wp14="http://schemas.microsoft.com/office/word/2010/wordml" w:rsidP="7A053EC8" wp14:paraId="0F8E9E6B" wp14:textId="4B91A3BA" wp14:noSpellErr="1">
      <w:pPr>
        <w:pStyle w:val="Normal"/>
        <w:rPr>
          <w:b w:val="1"/>
          <w:bCs w:val="1"/>
          <w:u w:val="none"/>
        </w:rPr>
      </w:pPr>
      <w:r w:rsidRPr="7A053EC8" w:rsidR="22447B27">
        <w:rPr>
          <w:b w:val="1"/>
          <w:bCs w:val="1"/>
          <w:u w:val="none"/>
        </w:rPr>
        <w:t>Effectiveness and Evaluation</w:t>
      </w:r>
    </w:p>
    <w:p xmlns:wp14="http://schemas.microsoft.com/office/word/2010/wordml" w:rsidP="2290B9D6" wp14:paraId="0E7E7AED" wp14:noSpellErr="1" wp14:textId="3AC9252A">
      <w:pPr>
        <w:pStyle w:val="Normal"/>
      </w:pPr>
      <w:r w:rsidR="38133015">
        <w:rPr/>
        <w:t xml:space="preserve">Assessing the effectiveness of Prevent </w:t>
      </w:r>
      <w:r w:rsidR="38133015">
        <w:rPr/>
        <w:t>remains</w:t>
      </w:r>
      <w:r w:rsidR="38133015">
        <w:rPr/>
        <w:t xml:space="preserve"> one of the most complex and contentious issues in the counter-terrorism field. The programme’s aims</w:t>
      </w:r>
      <w:r w:rsidR="4B796063">
        <w:rPr/>
        <w:t xml:space="preserve">, </w:t>
      </w:r>
      <w:r w:rsidR="38133015">
        <w:rPr/>
        <w:t>to deter individuals from supporting or engaging in terrorism</w:t>
      </w:r>
      <w:r w:rsidR="5588C8BD">
        <w:rPr/>
        <w:t xml:space="preserve">, </w:t>
      </w:r>
      <w:r w:rsidR="38133015">
        <w:rPr/>
        <w:t xml:space="preserve">are inherently difficult to measure, as they involve assessing non-events or the prevention of potential future harms </w:t>
      </w:r>
      <w:r w:rsidR="3ABB1755">
        <w:rPr/>
        <w:t>(</w:t>
      </w:r>
      <w:r w:rsidR="3ABB1755">
        <w:rPr/>
        <w:t>Mastroe</w:t>
      </w:r>
      <w:r w:rsidR="3ABB1755">
        <w:rPr/>
        <w:t>, 2016)</w:t>
      </w:r>
      <w:r w:rsidR="38133015">
        <w:rPr/>
        <w:t>.</w:t>
      </w:r>
      <w:r w:rsidR="38133015">
        <w:rPr/>
        <w:t xml:space="preserve"> This m</w:t>
      </w:r>
      <w:r w:rsidR="38133015">
        <w:rPr/>
        <w:t xml:space="preserve">akes empirical evaluation </w:t>
      </w:r>
      <w:bookmarkStart w:name="_Int_UtJVi7ZX" w:id="846267501"/>
      <w:r w:rsidR="38133015">
        <w:rPr/>
        <w:t>problematic</w:t>
      </w:r>
      <w:bookmarkEnd w:id="846267501"/>
      <w:r w:rsidR="38133015">
        <w:rPr/>
        <w:t xml:space="preserve"> and most available data focuses on operational outputs rather than clear outcomes. Official Home Office statistics record the number of referrals and Channel interventions, but these figures reveal little about whether Prevent reduces radicalisation or strengthens community resilience (Home Office, 2023a).</w:t>
      </w:r>
    </w:p>
    <w:p xmlns:wp14="http://schemas.microsoft.com/office/word/2010/wordml" w:rsidP="2290B9D6" wp14:paraId="2839D182" wp14:noSpellErr="1" wp14:textId="58E04D44">
      <w:pPr>
        <w:pStyle w:val="Normal"/>
      </w:pPr>
      <w:r w:rsidR="38133015">
        <w:rPr/>
        <w:t>Between April 2022 and March 2023, 6,817 individuals were referred to Prevent in England and Wales, but only a small fraction</w:t>
      </w:r>
      <w:r w:rsidR="048992A3">
        <w:rPr/>
        <w:t xml:space="preserve">, </w:t>
      </w:r>
      <w:r w:rsidR="38133015">
        <w:rPr/>
        <w:t>around 13%</w:t>
      </w:r>
      <w:r w:rsidR="23C047C0">
        <w:rPr/>
        <w:t xml:space="preserve">, </w:t>
      </w:r>
      <w:r w:rsidR="38133015">
        <w:rPr/>
        <w:t xml:space="preserve">were </w:t>
      </w:r>
      <w:r w:rsidR="38133015">
        <w:rPr/>
        <w:t>deemed</w:t>
      </w:r>
      <w:r w:rsidR="38133015">
        <w:rPr/>
        <w:t xml:space="preserve"> suitable for further Channel support (Home Office, 2023b). Critics argue that this high attrition rate suggests over-referral and weak risk-assessment mechanisms (Amnesty International, 2023). It also reflects the difficulty of distinguishing between genuine vulnerability and ordinary social or political dissent. Without transparent evaluation criteria, it is unclear whether </w:t>
      </w:r>
      <w:r w:rsidR="38133015">
        <w:rPr/>
        <w:t>Prevent’s</w:t>
      </w:r>
      <w:r w:rsidR="38133015">
        <w:rPr/>
        <w:t xml:space="preserve"> interventions produce sustainable behavioural change or simply deflect individuals temporarily from risk.</w:t>
      </w:r>
    </w:p>
    <w:p xmlns:wp14="http://schemas.microsoft.com/office/word/2010/wordml" w:rsidP="2290B9D6" wp14:paraId="1534C1B5" wp14:noSpellErr="1" wp14:textId="313E94B5">
      <w:pPr>
        <w:pStyle w:val="Normal"/>
      </w:pPr>
      <w:r w:rsidR="38133015">
        <w:rPr/>
        <w:t xml:space="preserve">Academic research has consistently questioned the programme’s ability to </w:t>
      </w:r>
      <w:r w:rsidR="38133015">
        <w:rPr/>
        <w:t>demonstrate</w:t>
      </w:r>
      <w:r w:rsidR="38133015">
        <w:rPr/>
        <w:t xml:space="preserve"> long-term impact. </w:t>
      </w:r>
      <w:r w:rsidR="6F139926">
        <w:rPr/>
        <w:t>(Thomas, 2016)</w:t>
      </w:r>
      <w:r w:rsidR="38133015">
        <w:rPr/>
        <w:t xml:space="preserve"> argues that </w:t>
      </w:r>
      <w:r w:rsidR="38133015">
        <w:rPr/>
        <w:t>Prevent’s</w:t>
      </w:r>
      <w:r w:rsidR="38133015">
        <w:rPr/>
        <w:t xml:space="preserve"> focu</w:t>
      </w:r>
      <w:r w:rsidR="38133015">
        <w:rPr/>
        <w:t>s on nume</w:t>
      </w:r>
      <w:r w:rsidR="38133015">
        <w:rPr/>
        <w:t>rical reporting</w:t>
      </w:r>
      <w:r w:rsidR="146CA407">
        <w:rPr/>
        <w:t xml:space="preserve">, </w:t>
      </w:r>
      <w:r w:rsidR="38133015">
        <w:rPr/>
        <w:t>such as counting referrals or training sessions</w:t>
      </w:r>
      <w:r w:rsidR="526FDA78">
        <w:rPr/>
        <w:t xml:space="preserve">, </w:t>
      </w:r>
      <w:r w:rsidR="38133015">
        <w:rPr/>
        <w:t xml:space="preserve">amounts to a “quantitative illusion” of success. In contrast, qualitative evidence, including case studies from local Channel panels, shows that outcomes vary widely depending on local coordination and community trust </w:t>
      </w:r>
      <w:r w:rsidR="68A078A3">
        <w:rPr/>
        <w:t>(Blakemore, 2016)</w:t>
      </w:r>
      <w:r w:rsidR="38133015">
        <w:rPr/>
        <w:t>. For example, in some areas where strong multi-agency partnerships exist, police and social services have successfully diverted vulnerable individuals from extremist influences. However, where mistrust of Prevent is high, community members may avoid reporting concerns altogether, limiting early interventio</w:t>
      </w:r>
      <w:r w:rsidR="7D4F0E75">
        <w:rPr/>
        <w:t>n.</w:t>
      </w:r>
    </w:p>
    <w:p xmlns:wp14="http://schemas.microsoft.com/office/word/2010/wordml" w:rsidP="2290B9D6" wp14:paraId="616A8629" wp14:noSpellErr="1" wp14:textId="79DB3581">
      <w:pPr>
        <w:pStyle w:val="Normal"/>
      </w:pPr>
      <w:r w:rsidR="064947F5">
        <w:rPr/>
        <w:t>(Thomas, 2016)</w:t>
      </w:r>
      <w:r w:rsidR="38133015">
        <w:rPr/>
        <w:t xml:space="preserve"> further argues that evaluating Prevent requires a “social harm” framework that examines both benefits and unintended negative consequences. While some individuals may receive valuable safeguarding support, others may experience alienation, stigma, or reduced trust in public services. Empirical studies by </w:t>
      </w:r>
      <w:r w:rsidR="26E6CAF5">
        <w:rPr/>
        <w:t>(</w:t>
      </w:r>
      <w:r w:rsidR="38133015">
        <w:rPr/>
        <w:t>O’Toole et al</w:t>
      </w:r>
      <w:r w:rsidR="123CAF27">
        <w:rPr/>
        <w:t xml:space="preserve">, </w:t>
      </w:r>
      <w:r w:rsidR="38133015">
        <w:rPr/>
        <w:t xml:space="preserve">2016) and </w:t>
      </w:r>
      <w:r w:rsidR="4AABCA0E">
        <w:rPr/>
        <w:t>(</w:t>
      </w:r>
      <w:r w:rsidR="38133015">
        <w:rPr/>
        <w:t>Kundnani</w:t>
      </w:r>
      <w:r w:rsidR="1E6B7947">
        <w:rPr/>
        <w:t xml:space="preserve">, </w:t>
      </w:r>
      <w:r w:rsidR="38133015">
        <w:rPr/>
        <w:t xml:space="preserve">2014) reveal that communities perceive Prevent as targeting Muslims disproportionately, which undermines its legitimacy and thereby reduces its effectiveness. From a policing standpoint, this erosion of trust hampers intelligence-gathering and cooperation, creating a paradox where the very communities whose engagement is essential to </w:t>
      </w:r>
      <w:r w:rsidR="38133015">
        <w:rPr/>
        <w:t>Prevent’s</w:t>
      </w:r>
      <w:r w:rsidR="38133015">
        <w:rPr/>
        <w:t xml:space="preserve"> success may feel marginalised by it.</w:t>
      </w:r>
    </w:p>
    <w:p xmlns:wp14="http://schemas.microsoft.com/office/word/2010/wordml" w:rsidP="2290B9D6" wp14:paraId="07EDAD63" wp14:noSpellErr="1" wp14:textId="12DD8A2C">
      <w:pPr>
        <w:pStyle w:val="Normal"/>
      </w:pPr>
      <w:r w:rsidR="38133015">
        <w:rPr/>
        <w:t xml:space="preserve">Government reviews have acknowledged these limitations. The Independent Review of Prevent (Shawcross, 2023) concluded that while the strategy has prevented some individuals from entering extremist pathways, it lacks a robust evaluation framework and clear national metrics for success. The report criticised the absence of systematic follow-up on Channel participants to </w:t>
      </w:r>
      <w:r w:rsidR="38133015">
        <w:rPr/>
        <w:t>determine</w:t>
      </w:r>
      <w:r w:rsidR="38133015">
        <w:rPr/>
        <w:t xml:space="preserve"> long-term </w:t>
      </w:r>
      <w:r w:rsidR="0D57F038">
        <w:rPr/>
        <w:t>outcomes and</w:t>
      </w:r>
      <w:r w:rsidR="38133015">
        <w:rPr/>
        <w:t xml:space="preserve"> recommended the creation of a centralised monitoring system to record interventions and assess whether behavioural change endures over time. HMICFRS (2022) similarly highlighted the need for better data consistency and evaluation across police forces to ensure that lessons from successful interventions can be replicated elsewhere.</w:t>
      </w:r>
    </w:p>
    <w:p xmlns:wp14="http://schemas.microsoft.com/office/word/2010/wordml" w:rsidP="2290B9D6" wp14:paraId="2ED6D8A6" wp14:noSpellErr="1" wp14:textId="571218AC">
      <w:pPr>
        <w:pStyle w:val="Normal"/>
      </w:pPr>
      <w:r w:rsidR="38133015">
        <w:rPr/>
        <w:t xml:space="preserve">Some scholars, such as </w:t>
      </w:r>
      <w:r w:rsidR="35341EE1">
        <w:rPr/>
        <w:t>(</w:t>
      </w:r>
      <w:r w:rsidR="38133015">
        <w:rPr/>
        <w:t>Heath-Kelly</w:t>
      </w:r>
      <w:r w:rsidR="4E228192">
        <w:rPr/>
        <w:t xml:space="preserve">, </w:t>
      </w:r>
      <w:r w:rsidR="38133015">
        <w:rPr/>
        <w:t xml:space="preserve">2017), suggest that measuring </w:t>
      </w:r>
      <w:r w:rsidR="38133015">
        <w:rPr/>
        <w:t>Prevent’s</w:t>
      </w:r>
      <w:r w:rsidR="38133015">
        <w:rPr/>
        <w:t xml:space="preserve"> effectiveness should extend beyond individual outcomes to encompass broader societal indicators</w:t>
      </w:r>
      <w:r w:rsidR="187BDA5D">
        <w:rPr/>
        <w:t xml:space="preserve">, </w:t>
      </w:r>
      <w:r w:rsidR="38133015">
        <w:rPr/>
        <w:t xml:space="preserve">such as levels of trust in public institutions, </w:t>
      </w:r>
      <w:bookmarkStart w:name="_Int_hPoAq1iL" w:id="200970921"/>
      <w:r w:rsidR="38133015">
        <w:rPr/>
        <w:t>perceptions</w:t>
      </w:r>
      <w:bookmarkEnd w:id="200970921"/>
      <w:r w:rsidR="38133015">
        <w:rPr/>
        <w:t xml:space="preserve"> of fairness, and reductions in community tensions. This holistic perspective aligns with contemporary understandings of </w:t>
      </w:r>
      <w:r w:rsidR="38133015">
        <w:rPr/>
        <w:t>counter-terrorism</w:t>
      </w:r>
      <w:r w:rsidR="38133015">
        <w:rPr/>
        <w:t xml:space="preserve"> as a public-safety and safeguarding enterprise rather than a purely security-driven operation. However, translating these broader social indicators into measurable performance metrics </w:t>
      </w:r>
      <w:r w:rsidR="38133015">
        <w:rPr/>
        <w:t>remains</w:t>
      </w:r>
      <w:r w:rsidR="38133015">
        <w:rPr/>
        <w:t xml:space="preserve"> a significant methodological challenge.</w:t>
      </w:r>
    </w:p>
    <w:p xmlns:wp14="http://schemas.microsoft.com/office/word/2010/wordml" w:rsidP="2290B9D6" wp14:paraId="41953F1A" wp14:noSpellErr="1" wp14:textId="01D71E06">
      <w:pPr>
        <w:pStyle w:val="Normal"/>
      </w:pPr>
      <w:r w:rsidR="38133015">
        <w:rPr/>
        <w:t xml:space="preserve">Recent policy literature has also begun to consider the role of digital radicalisation in assessing </w:t>
      </w:r>
      <w:r w:rsidR="38133015">
        <w:rPr/>
        <w:t>Prevent’s</w:t>
      </w:r>
      <w:r w:rsidR="38133015">
        <w:rPr/>
        <w:t xml:space="preserve"> impact. Online spaces have become key environments where extremist narratives circulate, yet the current Prevent evaluation framework pays limited attention to how police interventions disrupt digital recruitment or misinformation campaigns (Home Office, 2023a). </w:t>
      </w:r>
      <w:r w:rsidR="392F79F4">
        <w:rPr/>
        <w:t>D</w:t>
      </w:r>
      <w:r w:rsidR="38133015">
        <w:rPr/>
        <w:t xml:space="preserve">igital engagement and counter-messaging efforts should form a core </w:t>
      </w:r>
      <w:r w:rsidR="38133015">
        <w:rPr/>
        <w:t>component</w:t>
      </w:r>
      <w:r w:rsidR="38133015">
        <w:rPr/>
        <w:t xml:space="preserve"> of Prevent evaluation, since much radicalisation now occurs through online networks rather than physical community spaces.</w:t>
      </w:r>
    </w:p>
    <w:p xmlns:wp14="http://schemas.microsoft.com/office/word/2010/wordml" w:rsidP="7A053EC8" wp14:paraId="5BA0C191" wp14:textId="07E8E1A4" wp14:noSpellErr="1">
      <w:pPr>
        <w:pStyle w:val="Normal"/>
        <w:rPr>
          <w:b w:val="1"/>
          <w:bCs w:val="1"/>
        </w:rPr>
      </w:pPr>
      <w:r w:rsidRPr="7A053EC8" w:rsidR="22447B27">
        <w:rPr>
          <w:b w:val="1"/>
          <w:bCs w:val="1"/>
        </w:rPr>
        <w:t>Discussion</w:t>
      </w:r>
    </w:p>
    <w:p xmlns:wp14="http://schemas.microsoft.com/office/word/2010/wordml" w:rsidP="2290B9D6" wp14:paraId="7F8AE25B" wp14:noSpellErr="1" wp14:textId="1D6C61F3">
      <w:pPr>
        <w:pStyle w:val="Normal"/>
      </w:pPr>
      <w:r w:rsidR="22447B27">
        <w:rPr/>
        <w:t xml:space="preserve">Across the reviewed literature, several interrelated challenges </w:t>
      </w:r>
      <w:r w:rsidR="22447B27">
        <w:rPr/>
        <w:t>emerge</w:t>
      </w:r>
      <w:r w:rsidR="22447B27">
        <w:rPr/>
        <w:t xml:space="preserve">. Organisationally, police forces </w:t>
      </w:r>
      <w:r w:rsidR="22447B27">
        <w:rPr/>
        <w:t>operate</w:t>
      </w:r>
      <w:r w:rsidR="22447B27">
        <w:rPr/>
        <w:t xml:space="preserve"> within a complex multi-agency landscape that demands consistent capability, adequate </w:t>
      </w:r>
      <w:r w:rsidR="22447B27">
        <w:rPr/>
        <w:t>resources</w:t>
      </w:r>
      <w:r w:rsidR="63B9A5DC">
        <w:rPr/>
        <w:t xml:space="preserve"> </w:t>
      </w:r>
      <w:r w:rsidR="22447B27">
        <w:rPr/>
        <w:t>and effective coordination. Governance deficits</w:t>
      </w:r>
      <w:r w:rsidR="27D12646">
        <w:rPr/>
        <w:t xml:space="preserve">, </w:t>
      </w:r>
      <w:r w:rsidR="22447B27">
        <w:rPr/>
        <w:t>particularly around data quality and oversight</w:t>
      </w:r>
      <w:r w:rsidR="2B2BE662">
        <w:rPr/>
        <w:t xml:space="preserve">, </w:t>
      </w:r>
      <w:r w:rsidR="22447B27">
        <w:rPr/>
        <w:t>undermine transparency and public confidence. Socially, mistrust among Muslim communities continues to hinder engagement.</w:t>
      </w:r>
    </w:p>
    <w:p xmlns:wp14="http://schemas.microsoft.com/office/word/2010/wordml" w:rsidP="2290B9D6" wp14:paraId="5122156E" wp14:noSpellErr="1" wp14:textId="3D9CB2AC">
      <w:pPr>
        <w:pStyle w:val="Normal"/>
      </w:pPr>
      <w:r w:rsidR="22447B27">
        <w:rPr/>
        <w:t>To address these issues, scholars and inspectorates propose a range of reforms. Establishing a national training and capability standard for all officers involved in Prevent would promote consistency and professionalism (HMICFRS, 2022). Improving data governance and demographic monitoring would help detect bias and ensure accountability</w:t>
      </w:r>
      <w:r w:rsidR="62FF7E99">
        <w:rPr/>
        <w:t xml:space="preserve"> (Syal, 2024)</w:t>
      </w:r>
      <w:r w:rsidR="22447B27">
        <w:rPr/>
        <w:t>. Introducing independent oversight mechanisms, potentially through a statutory Prevent Commissioner, would further enhance transparency (Shawcross, 2023). Strengthening community co-design and feedback processes could embed legitimacy and rebuild trust (Awan, 2019). Finally, commissioning independent longitudinal evaluations of Channel outcomes would provide a robust evidence base to guide future policy.</w:t>
      </w:r>
    </w:p>
    <w:p xmlns:wp14="http://schemas.microsoft.com/office/word/2010/wordml" w:rsidP="2290B9D6" wp14:paraId="33275827" wp14:textId="64047A0B">
      <w:pPr>
        <w:pStyle w:val="Normal"/>
      </w:pPr>
      <w:r w:rsidR="22447B27">
        <w:rPr/>
        <w:t>Implementing these reforms would align policing practice with both safeguarding and rights-based principles, ensuring Prevent operates transparently and proportionately within modern democratic policing.</w:t>
      </w:r>
    </w:p>
    <w:p xmlns:wp14="http://schemas.microsoft.com/office/word/2010/wordml" w:rsidP="7A053EC8" wp14:paraId="7684AAC5" wp14:textId="788F024D" wp14:noSpellErr="1">
      <w:pPr>
        <w:pStyle w:val="Normal"/>
        <w:rPr>
          <w:b w:val="1"/>
          <w:bCs w:val="1"/>
        </w:rPr>
      </w:pPr>
      <w:r w:rsidRPr="7A053EC8" w:rsidR="22447B27">
        <w:rPr>
          <w:b w:val="1"/>
          <w:bCs w:val="1"/>
        </w:rPr>
        <w:t>Conclusion</w:t>
      </w:r>
    </w:p>
    <w:p xmlns:wp14="http://schemas.microsoft.com/office/word/2010/wordml" w:rsidP="2290B9D6" wp14:paraId="739531C3" wp14:textId="64068DB0">
      <w:pPr>
        <w:pStyle w:val="Normal"/>
      </w:pPr>
      <w:r w:rsidR="22447B27">
        <w:rPr/>
        <w:t>UK police forces are indispensable to the operation of Prevent, providing coordination, expertise and safeguarding capacity within local partnerships. Yet the literature reveals persistent challenges: inconsistent training, limited resources, weak data governance and legitimacy deficits within affected communities. Addressing these issues requires a strategic shift from reactive security management toward evidence-based, community-centred prevention.</w:t>
      </w:r>
    </w:p>
    <w:p w:rsidR="22447B27" w:rsidP="2E60FC47" w:rsidRDefault="22447B27" w14:noSpellErr="1" w14:paraId="5CA7B09A" w14:textId="7BB3CF5B">
      <w:pPr>
        <w:pStyle w:val="Normal"/>
        <w:spacing w:before="0" w:beforeAutospacing="off" w:after="360" w:afterAutospacing="off" w:line="360" w:lineRule="auto"/>
        <w:rPr>
          <w:noProof w:val="0"/>
          <w:lang w:val="en-GB"/>
        </w:rPr>
      </w:pPr>
      <w:r w:rsidR="22447B27">
        <w:rPr/>
        <w:t>A reformed Prevent strategy</w:t>
      </w:r>
      <w:r w:rsidR="16264E16">
        <w:rPr/>
        <w:t xml:space="preserve">, </w:t>
      </w:r>
      <w:r w:rsidR="22447B27">
        <w:rPr/>
        <w:t xml:space="preserve">grounded in transparent data, independent </w:t>
      </w:r>
      <w:r w:rsidR="22447B27">
        <w:rPr/>
        <w:t>oversight</w:t>
      </w:r>
      <w:r w:rsidR="22447B27">
        <w:rPr/>
        <w:t xml:space="preserve"> and participatory governance</w:t>
      </w:r>
      <w:r w:rsidR="5ECAB335">
        <w:rPr/>
        <w:t xml:space="preserve">, </w:t>
      </w:r>
      <w:r w:rsidR="22447B27">
        <w:rPr/>
        <w:t>would enable the police to contribute effectively to counter-terrorism goals while protecting human rights and social cohesion.</w:t>
      </w:r>
    </w:p>
    <w:p w:rsidR="2E60FC47" w:rsidP="2E60FC47" w:rsidRDefault="2E60FC47" w14:paraId="15D23237" w14:textId="1D71F99B">
      <w:pPr>
        <w:pStyle w:val="Normal"/>
        <w:spacing w:before="0" w:beforeAutospacing="off" w:after="360" w:afterAutospacing="off" w:line="360" w:lineRule="auto"/>
      </w:pPr>
    </w:p>
    <w:p w:rsidR="1976E67E" w:rsidP="2E60FC47" w:rsidRDefault="1976E67E" w14:paraId="65A8936D" w14:textId="0A97AE91">
      <w:pPr>
        <w:pStyle w:val="Normal"/>
        <w:spacing w:before="0" w:beforeAutospacing="off" w:after="360" w:afterAutospacing="off" w:line="360" w:lineRule="auto"/>
        <w:rPr>
          <w:noProof w:val="0"/>
          <w:lang w:val="en-GB"/>
        </w:rPr>
      </w:pPr>
      <w:r w:rsidR="1976E67E">
        <w:rPr/>
        <w:t>I acknowledge the use of ChatGPT (</w:t>
      </w:r>
      <w:r w:rsidR="1976E67E">
        <w:rPr/>
        <w:t>https://chatgpt.com/</w:t>
      </w:r>
      <w:r w:rsidR="1976E67E">
        <w:rPr/>
        <w:t xml:space="preserve">) on 27 October 2025 to write my notes into submission format using the prompts:  </w:t>
      </w:r>
    </w:p>
    <w:p w:rsidR="1976E67E" w:rsidP="2E60FC47" w:rsidRDefault="1976E67E" w14:paraId="4E2B915E" w14:textId="6A5E6BED">
      <w:pPr>
        <w:pStyle w:val="Normal"/>
        <w:spacing w:before="0" w:beforeAutospacing="off" w:after="360" w:afterAutospacing="off" w:line="360" w:lineRule="auto"/>
      </w:pPr>
      <w:r w:rsidR="1976E67E">
        <w:rPr/>
        <w:t xml:space="preserve">1. Please </w:t>
      </w:r>
      <w:r w:rsidR="11DCEF63">
        <w:rPr/>
        <w:t>generate a</w:t>
      </w:r>
      <w:r w:rsidR="065AE1CE">
        <w:rPr/>
        <w:t>n</w:t>
      </w:r>
      <w:r w:rsidRPr="2E60FC47" w:rsidR="11DCEF63">
        <w:rPr>
          <w:rFonts w:ascii="Aptos" w:hAnsi="Aptos" w:eastAsia="Aptos" w:cs="Aptos"/>
          <w:noProof w:val="0"/>
          <w:sz w:val="24"/>
          <w:szCs w:val="24"/>
          <w:lang w:val="en-GB"/>
        </w:rPr>
        <w:t xml:space="preserve"> essay plan</w:t>
      </w:r>
      <w:r w:rsidR="1976E67E">
        <w:rPr/>
        <w:t xml:space="preserve">. </w:t>
      </w:r>
    </w:p>
    <w:p w:rsidR="1976E67E" w:rsidP="2E60FC47" w:rsidRDefault="1976E67E" w14:paraId="2974A30D" w14:textId="058FE7FD">
      <w:pPr>
        <w:pStyle w:val="Normal"/>
        <w:spacing w:before="0" w:beforeAutospacing="off" w:after="360" w:afterAutospacing="off" w:line="360" w:lineRule="auto"/>
      </w:pPr>
      <w:r w:rsidR="1976E67E">
        <w:rPr/>
        <w:t xml:space="preserve"> </w:t>
      </w:r>
      <w:r w:rsidR="1976E67E">
        <w:rPr/>
        <w:t>I confirm that I have not presented any AI generated text as my own work. I confirm I have copies of my drafts, notes, and other resources I used before, and after the use of AI tools which I may be asked to provide in evidence.</w:t>
      </w:r>
    </w:p>
    <w:p w:rsidR="0782C606" w:rsidP="7A053EC8" w:rsidRDefault="0782C606" w14:paraId="2AF9C1F8" w14:textId="0568A927">
      <w:pPr>
        <w:spacing w:before="0" w:beforeAutospacing="off" w:after="240" w:afterAutospacing="off" w:line="360" w:lineRule="auto"/>
        <w:jc w:val="center"/>
        <w:rPr>
          <w:rFonts w:ascii="Aptos" w:hAnsi="Aptos" w:eastAsia="Aptos" w:cs="Aptos" w:asciiTheme="minorAscii" w:hAnsiTheme="minorAscii" w:eastAsiaTheme="minorAscii" w:cstheme="minorAscii"/>
          <w:b w:val="1"/>
          <w:bCs w:val="1"/>
          <w:noProof w:val="0"/>
          <w:sz w:val="24"/>
          <w:szCs w:val="24"/>
          <w:lang w:val="en-GB"/>
        </w:rPr>
      </w:pPr>
      <w:r w:rsidRPr="7A053EC8" w:rsidR="0782C606">
        <w:rPr>
          <w:rFonts w:ascii="Aptos" w:hAnsi="Aptos" w:eastAsia="Aptos" w:cs="Aptos" w:asciiTheme="minorAscii" w:hAnsiTheme="minorAscii" w:eastAsiaTheme="minorAscii" w:cstheme="minorAscii"/>
          <w:b w:val="1"/>
          <w:bCs w:val="1"/>
          <w:noProof w:val="0"/>
          <w:sz w:val="24"/>
          <w:szCs w:val="24"/>
          <w:lang w:val="en-GB"/>
        </w:rPr>
        <w:t>Reference List</w:t>
      </w:r>
    </w:p>
    <w:p xmlns:wp14="http://schemas.microsoft.com/office/word/2010/wordml" w:rsidP="032B6B62" wp14:paraId="632E58F4" wp14:noSpellErr="1" wp14:textId="05A2A718">
      <w:pPr>
        <w:spacing w:before="0" w:beforeAutospacing="off" w:after="240" w:afterAutospacing="off" w:line="360" w:lineRule="auto"/>
      </w:pPr>
      <w:r w:rsidRPr="7A053EC8" w:rsidR="18692D4C">
        <w:rPr>
          <w:rFonts w:ascii="Times New Roman" w:hAnsi="Times New Roman" w:eastAsia="Times New Roman" w:cs="Times New Roman"/>
          <w:noProof w:val="0"/>
          <w:sz w:val="24"/>
          <w:szCs w:val="24"/>
          <w:lang w:val="en-GB"/>
        </w:rPr>
        <w:t xml:space="preserve">Amnesty International (2023). </w:t>
      </w:r>
      <w:r w:rsidRPr="7A053EC8" w:rsidR="18692D4C">
        <w:rPr>
          <w:rFonts w:ascii="Times New Roman" w:hAnsi="Times New Roman" w:eastAsia="Times New Roman" w:cs="Times New Roman"/>
          <w:i w:val="1"/>
          <w:iCs w:val="1"/>
          <w:noProof w:val="0"/>
          <w:sz w:val="24"/>
          <w:szCs w:val="24"/>
          <w:lang w:val="en-GB"/>
        </w:rPr>
        <w:t>' THIS IS THE THOUGHT POLICE’ The Prevent duty and its chilling effect on human rights</w:t>
      </w:r>
      <w:r w:rsidRPr="7A053EC8" w:rsidR="18692D4C">
        <w:rPr>
          <w:rFonts w:ascii="Times New Roman" w:hAnsi="Times New Roman" w:eastAsia="Times New Roman" w:cs="Times New Roman"/>
          <w:noProof w:val="0"/>
          <w:sz w:val="24"/>
          <w:szCs w:val="24"/>
          <w:lang w:val="en-GB"/>
        </w:rPr>
        <w:t xml:space="preserve">. [online] Available at: </w:t>
      </w:r>
      <w:hyperlink r:id="Rc1bf7689bb5b432a">
        <w:r w:rsidRPr="7A053EC8" w:rsidR="18692D4C">
          <w:rPr>
            <w:rStyle w:val="Hyperlink"/>
            <w:rFonts w:ascii="Times New Roman" w:hAnsi="Times New Roman" w:eastAsia="Times New Roman" w:cs="Times New Roman"/>
            <w:noProof w:val="0"/>
            <w:sz w:val="24"/>
            <w:szCs w:val="24"/>
            <w:lang w:val="en-GB"/>
          </w:rPr>
          <w:t>https://www.amnesty.org.uk/files/2023-11/Amnesty%20UK%20Prevent%20report%20%281%29.pdf?VersionId=.hjIwRZuHiGd1_lECXroFwg25jyBtwur</w:t>
        </w:r>
      </w:hyperlink>
      <w:r w:rsidRPr="7A053EC8" w:rsidR="18692D4C">
        <w:rPr>
          <w:rFonts w:ascii="Times New Roman" w:hAnsi="Times New Roman" w:eastAsia="Times New Roman" w:cs="Times New Roman"/>
          <w:noProof w:val="0"/>
          <w:sz w:val="24"/>
          <w:szCs w:val="24"/>
          <w:lang w:val="en-GB"/>
        </w:rPr>
        <w:t>.</w:t>
      </w:r>
    </w:p>
    <w:p xmlns:wp14="http://schemas.microsoft.com/office/word/2010/wordml" w:rsidP="032B6B62" wp14:paraId="5B145744" wp14:textId="13915FD5">
      <w:pPr>
        <w:spacing w:before="0" w:beforeAutospacing="off" w:after="240" w:afterAutospacing="off" w:line="360" w:lineRule="auto"/>
      </w:pPr>
      <w:r w:rsidRPr="032B6B62" w:rsidR="18692D4C">
        <w:rPr>
          <w:rFonts w:ascii="Times New Roman" w:hAnsi="Times New Roman" w:eastAsia="Times New Roman" w:cs="Times New Roman"/>
          <w:noProof w:val="0"/>
          <w:sz w:val="24"/>
          <w:szCs w:val="24"/>
          <w:lang w:val="en-GB"/>
        </w:rPr>
        <w:t xml:space="preserve">Amnesty International (2024). </w:t>
      </w:r>
      <w:r w:rsidRPr="032B6B62" w:rsidR="18692D4C">
        <w:rPr>
          <w:rFonts w:ascii="Times New Roman" w:hAnsi="Times New Roman" w:eastAsia="Times New Roman" w:cs="Times New Roman"/>
          <w:i w:val="1"/>
          <w:iCs w:val="1"/>
          <w:noProof w:val="0"/>
          <w:sz w:val="24"/>
          <w:szCs w:val="24"/>
          <w:lang w:val="en-GB"/>
        </w:rPr>
        <w:t>The state of the world’s human rights: April 2024</w:t>
      </w:r>
      <w:r w:rsidRPr="032B6B62" w:rsidR="18692D4C">
        <w:rPr>
          <w:rFonts w:ascii="Times New Roman" w:hAnsi="Times New Roman" w:eastAsia="Times New Roman" w:cs="Times New Roman"/>
          <w:noProof w:val="0"/>
          <w:sz w:val="24"/>
          <w:szCs w:val="24"/>
          <w:lang w:val="en-GB"/>
        </w:rPr>
        <w:t xml:space="preserve">. [online] Amnesty International. Available at: </w:t>
      </w:r>
      <w:hyperlink r:id="R7b6a7fbb758f496b">
        <w:r w:rsidRPr="032B6B62" w:rsidR="18692D4C">
          <w:rPr>
            <w:rStyle w:val="Hyperlink"/>
            <w:rFonts w:ascii="Times New Roman" w:hAnsi="Times New Roman" w:eastAsia="Times New Roman" w:cs="Times New Roman"/>
            <w:noProof w:val="0"/>
            <w:sz w:val="24"/>
            <w:szCs w:val="24"/>
            <w:lang w:val="en-GB"/>
          </w:rPr>
          <w:t>https://www.amnesty.org/en/documents/pol10/7200/2024/en/</w:t>
        </w:r>
      </w:hyperlink>
      <w:r w:rsidRPr="032B6B62" w:rsidR="18692D4C">
        <w:rPr>
          <w:rFonts w:ascii="Times New Roman" w:hAnsi="Times New Roman" w:eastAsia="Times New Roman" w:cs="Times New Roman"/>
          <w:noProof w:val="0"/>
          <w:sz w:val="24"/>
          <w:szCs w:val="24"/>
          <w:lang w:val="en-GB"/>
        </w:rPr>
        <w:t>.</w:t>
      </w:r>
    </w:p>
    <w:p xmlns:wp14="http://schemas.microsoft.com/office/word/2010/wordml" w:rsidP="032B6B62" wp14:paraId="26BA06C3" wp14:textId="3053534F">
      <w:pPr>
        <w:spacing w:before="0" w:beforeAutospacing="off" w:after="240" w:afterAutospacing="off" w:line="360" w:lineRule="auto"/>
      </w:pPr>
      <w:r w:rsidRPr="032B6B62" w:rsidR="18692D4C">
        <w:rPr>
          <w:rFonts w:ascii="Times New Roman" w:hAnsi="Times New Roman" w:eastAsia="Times New Roman" w:cs="Times New Roman"/>
          <w:noProof w:val="0"/>
          <w:sz w:val="24"/>
          <w:szCs w:val="24"/>
          <w:lang w:val="en-GB"/>
        </w:rPr>
        <w:t xml:space="preserve">Blakemore, B. (2016). </w:t>
      </w:r>
      <w:r w:rsidRPr="032B6B62" w:rsidR="18692D4C">
        <w:rPr>
          <w:rFonts w:ascii="Times New Roman" w:hAnsi="Times New Roman" w:eastAsia="Times New Roman" w:cs="Times New Roman"/>
          <w:i w:val="1"/>
          <w:iCs w:val="1"/>
          <w:noProof w:val="0"/>
          <w:sz w:val="24"/>
          <w:szCs w:val="24"/>
          <w:lang w:val="en-GB"/>
        </w:rPr>
        <w:t>Extremism, Counter-terrorism and Policing</w:t>
      </w:r>
      <w:r w:rsidRPr="032B6B62" w:rsidR="18692D4C">
        <w:rPr>
          <w:rFonts w:ascii="Times New Roman" w:hAnsi="Times New Roman" w:eastAsia="Times New Roman" w:cs="Times New Roman"/>
          <w:noProof w:val="0"/>
          <w:sz w:val="24"/>
          <w:szCs w:val="24"/>
          <w:lang w:val="en-GB"/>
        </w:rPr>
        <w:t>. doi:https://doi.org/10.4324/9781315581774.</w:t>
      </w:r>
    </w:p>
    <w:p xmlns:wp14="http://schemas.microsoft.com/office/word/2010/wordml" w:rsidP="032B6B62" wp14:paraId="706196BF" wp14:textId="6B97D7FC">
      <w:pPr>
        <w:spacing w:before="0" w:beforeAutospacing="off" w:after="240" w:afterAutospacing="off" w:line="360" w:lineRule="auto"/>
      </w:pPr>
      <w:r w:rsidRPr="032B6B62" w:rsidR="18692D4C">
        <w:rPr>
          <w:rFonts w:ascii="Times New Roman" w:hAnsi="Times New Roman" w:eastAsia="Times New Roman" w:cs="Times New Roman"/>
          <w:noProof w:val="0"/>
          <w:sz w:val="24"/>
          <w:szCs w:val="24"/>
          <w:lang w:val="en-GB"/>
        </w:rPr>
        <w:t xml:space="preserve">Chambers, D., Cantrell, A. and Booth, A. (2021). Recognition of Risk and Prevention in Safeguarding of Children and Young people: a Mapping Review and Component Analysis of Service Development Interventions Aimed at Health and Social Care Professionals. </w:t>
      </w:r>
      <w:r w:rsidRPr="032B6B62" w:rsidR="18692D4C">
        <w:rPr>
          <w:rFonts w:ascii="Times New Roman" w:hAnsi="Times New Roman" w:eastAsia="Times New Roman" w:cs="Times New Roman"/>
          <w:i w:val="1"/>
          <w:iCs w:val="1"/>
          <w:noProof w:val="0"/>
          <w:sz w:val="24"/>
          <w:szCs w:val="24"/>
          <w:lang w:val="en-GB"/>
        </w:rPr>
        <w:t>BMC Health Services Research</w:t>
      </w:r>
      <w:r w:rsidRPr="032B6B62" w:rsidR="18692D4C">
        <w:rPr>
          <w:rFonts w:ascii="Times New Roman" w:hAnsi="Times New Roman" w:eastAsia="Times New Roman" w:cs="Times New Roman"/>
          <w:noProof w:val="0"/>
          <w:sz w:val="24"/>
          <w:szCs w:val="24"/>
          <w:lang w:val="en-GB"/>
        </w:rPr>
        <w:t>, [online] 21(1). doi:https://doi.org/10.1186/s12913-021-07257-8.</w:t>
      </w:r>
    </w:p>
    <w:p xmlns:wp14="http://schemas.microsoft.com/office/word/2010/wordml" w:rsidP="032B6B62" wp14:paraId="043F6162" wp14:textId="1F793EC1">
      <w:pPr>
        <w:spacing w:before="0" w:beforeAutospacing="off" w:after="240" w:afterAutospacing="off" w:line="360" w:lineRule="auto"/>
      </w:pPr>
      <w:r w:rsidRPr="032B6B62" w:rsidR="18692D4C">
        <w:rPr>
          <w:rFonts w:ascii="Times New Roman" w:hAnsi="Times New Roman" w:eastAsia="Times New Roman" w:cs="Times New Roman"/>
          <w:noProof w:val="0"/>
          <w:sz w:val="24"/>
          <w:szCs w:val="24"/>
          <w:lang w:val="en-GB"/>
        </w:rPr>
        <w:t xml:space="preserve">Cleary, P.D., Gross, C.P., Zaslavsky, A.M. and Taplin, S.H. (2012). Multilevel Interventions: Study Design and Analysis Issues. </w:t>
      </w:r>
      <w:r w:rsidRPr="032B6B62" w:rsidR="18692D4C">
        <w:rPr>
          <w:rFonts w:ascii="Times New Roman" w:hAnsi="Times New Roman" w:eastAsia="Times New Roman" w:cs="Times New Roman"/>
          <w:i w:val="1"/>
          <w:iCs w:val="1"/>
          <w:noProof w:val="0"/>
          <w:sz w:val="24"/>
          <w:szCs w:val="24"/>
          <w:lang w:val="en-GB"/>
        </w:rPr>
        <w:t>JNCI Monographs</w:t>
      </w:r>
      <w:r w:rsidRPr="032B6B62" w:rsidR="18692D4C">
        <w:rPr>
          <w:rFonts w:ascii="Times New Roman" w:hAnsi="Times New Roman" w:eastAsia="Times New Roman" w:cs="Times New Roman"/>
          <w:noProof w:val="0"/>
          <w:sz w:val="24"/>
          <w:szCs w:val="24"/>
          <w:lang w:val="en-GB"/>
        </w:rPr>
        <w:t>, [online] 2012(44), pp.49–55. doi:https://doi.org/10.1093/jncimonographs/lgs010.</w:t>
      </w:r>
    </w:p>
    <w:p xmlns:wp14="http://schemas.microsoft.com/office/word/2010/wordml" w:rsidP="032B6B62" wp14:paraId="4BBB18F8" wp14:textId="7DF549A7">
      <w:pPr>
        <w:spacing w:before="0" w:beforeAutospacing="off" w:after="240" w:afterAutospacing="off" w:line="360" w:lineRule="auto"/>
      </w:pPr>
      <w:r w:rsidRPr="032B6B62" w:rsidR="18692D4C">
        <w:rPr>
          <w:rFonts w:ascii="Times New Roman" w:hAnsi="Times New Roman" w:eastAsia="Times New Roman" w:cs="Times New Roman"/>
          <w:noProof w:val="0"/>
          <w:sz w:val="24"/>
          <w:szCs w:val="24"/>
          <w:lang w:val="en-GB"/>
        </w:rPr>
        <w:t xml:space="preserve">College of Policing (2013). </w:t>
      </w:r>
      <w:r w:rsidRPr="032B6B62" w:rsidR="18692D4C">
        <w:rPr>
          <w:rFonts w:ascii="Times New Roman" w:hAnsi="Times New Roman" w:eastAsia="Times New Roman" w:cs="Times New Roman"/>
          <w:i w:val="1"/>
          <w:iCs w:val="1"/>
          <w:noProof w:val="0"/>
          <w:sz w:val="24"/>
          <w:szCs w:val="24"/>
          <w:lang w:val="en-GB"/>
        </w:rPr>
        <w:t>Engagement</w:t>
      </w:r>
      <w:r w:rsidRPr="032B6B62" w:rsidR="18692D4C">
        <w:rPr>
          <w:rFonts w:ascii="Times New Roman" w:hAnsi="Times New Roman" w:eastAsia="Times New Roman" w:cs="Times New Roman"/>
          <w:noProof w:val="0"/>
          <w:sz w:val="24"/>
          <w:szCs w:val="24"/>
          <w:lang w:val="en-GB"/>
        </w:rPr>
        <w:t xml:space="preserve">. [online] College of Policing. Available at: </w:t>
      </w:r>
      <w:hyperlink r:id="Re4a05209d0d04b0a">
        <w:r w:rsidRPr="032B6B62" w:rsidR="18692D4C">
          <w:rPr>
            <w:rStyle w:val="Hyperlink"/>
            <w:rFonts w:ascii="Times New Roman" w:hAnsi="Times New Roman" w:eastAsia="Times New Roman" w:cs="Times New Roman"/>
            <w:noProof w:val="0"/>
            <w:sz w:val="24"/>
            <w:szCs w:val="24"/>
            <w:lang w:val="en-GB"/>
          </w:rPr>
          <w:t>https://www.college.police.uk/app/engagement-and-communication/engagement</w:t>
        </w:r>
      </w:hyperlink>
      <w:r w:rsidRPr="032B6B62" w:rsidR="18692D4C">
        <w:rPr>
          <w:rFonts w:ascii="Times New Roman" w:hAnsi="Times New Roman" w:eastAsia="Times New Roman" w:cs="Times New Roman"/>
          <w:noProof w:val="0"/>
          <w:sz w:val="24"/>
          <w:szCs w:val="24"/>
          <w:lang w:val="en-GB"/>
        </w:rPr>
        <w:t>.</w:t>
      </w:r>
    </w:p>
    <w:p xmlns:wp14="http://schemas.microsoft.com/office/word/2010/wordml" w:rsidP="032B6B62" wp14:paraId="2B367A40" wp14:textId="56FDEFF4">
      <w:pPr>
        <w:spacing w:before="0" w:beforeAutospacing="off" w:after="240" w:afterAutospacing="off" w:line="360" w:lineRule="auto"/>
      </w:pPr>
      <w:r w:rsidRPr="032B6B62" w:rsidR="18692D4C">
        <w:rPr>
          <w:rFonts w:ascii="Times New Roman" w:hAnsi="Times New Roman" w:eastAsia="Times New Roman" w:cs="Times New Roman"/>
          <w:noProof w:val="0"/>
          <w:sz w:val="24"/>
          <w:szCs w:val="24"/>
          <w:lang w:val="en-GB"/>
        </w:rPr>
        <w:t xml:space="preserve">College of Policing (2023). </w:t>
      </w:r>
      <w:r w:rsidRPr="032B6B62" w:rsidR="18692D4C">
        <w:rPr>
          <w:rFonts w:ascii="Times New Roman" w:hAnsi="Times New Roman" w:eastAsia="Times New Roman" w:cs="Times New Roman"/>
          <w:i w:val="1"/>
          <w:iCs w:val="1"/>
          <w:noProof w:val="0"/>
          <w:sz w:val="24"/>
          <w:szCs w:val="24"/>
          <w:lang w:val="en-GB"/>
        </w:rPr>
        <w:t>National Centre for Police Leadership</w:t>
      </w:r>
      <w:r w:rsidRPr="032B6B62" w:rsidR="18692D4C">
        <w:rPr>
          <w:rFonts w:ascii="Times New Roman" w:hAnsi="Times New Roman" w:eastAsia="Times New Roman" w:cs="Times New Roman"/>
          <w:noProof w:val="0"/>
          <w:sz w:val="24"/>
          <w:szCs w:val="24"/>
          <w:lang w:val="en-GB"/>
        </w:rPr>
        <w:t xml:space="preserve">. [online] College of Policing. Available at: </w:t>
      </w:r>
      <w:hyperlink r:id="R5242226587cc4ee8">
        <w:r w:rsidRPr="032B6B62" w:rsidR="18692D4C">
          <w:rPr>
            <w:rStyle w:val="Hyperlink"/>
            <w:rFonts w:ascii="Times New Roman" w:hAnsi="Times New Roman" w:eastAsia="Times New Roman" w:cs="Times New Roman"/>
            <w:noProof w:val="0"/>
            <w:sz w:val="24"/>
            <w:szCs w:val="24"/>
            <w:lang w:val="en-GB"/>
          </w:rPr>
          <w:t>https://www.college.police.uk/career-learning/leadership</w:t>
        </w:r>
      </w:hyperlink>
      <w:r w:rsidRPr="032B6B62" w:rsidR="18692D4C">
        <w:rPr>
          <w:rFonts w:ascii="Times New Roman" w:hAnsi="Times New Roman" w:eastAsia="Times New Roman" w:cs="Times New Roman"/>
          <w:noProof w:val="0"/>
          <w:sz w:val="24"/>
          <w:szCs w:val="24"/>
          <w:lang w:val="en-GB"/>
        </w:rPr>
        <w:t>.</w:t>
      </w:r>
    </w:p>
    <w:p xmlns:wp14="http://schemas.microsoft.com/office/word/2010/wordml" w:rsidP="032B6B62" wp14:paraId="269DF047" wp14:textId="753D6349">
      <w:pPr>
        <w:spacing w:before="0" w:beforeAutospacing="off" w:after="240" w:afterAutospacing="off" w:line="360" w:lineRule="auto"/>
      </w:pPr>
      <w:r w:rsidRPr="032B6B62" w:rsidR="18692D4C">
        <w:rPr>
          <w:rFonts w:ascii="Times New Roman" w:hAnsi="Times New Roman" w:eastAsia="Times New Roman" w:cs="Times New Roman"/>
          <w:noProof w:val="0"/>
          <w:sz w:val="24"/>
          <w:szCs w:val="24"/>
          <w:lang w:val="en-GB"/>
        </w:rPr>
        <w:t xml:space="preserve">Heath-Kelly, C. and Strausz, E. (2018). The banality of counterterrorism ‘after, after 9/11’? Perspectives on the Prevent duty from the UK health care sector. </w:t>
      </w:r>
      <w:r w:rsidRPr="032B6B62" w:rsidR="18692D4C">
        <w:rPr>
          <w:rFonts w:ascii="Times New Roman" w:hAnsi="Times New Roman" w:eastAsia="Times New Roman" w:cs="Times New Roman"/>
          <w:i w:val="1"/>
          <w:iCs w:val="1"/>
          <w:noProof w:val="0"/>
          <w:sz w:val="24"/>
          <w:szCs w:val="24"/>
          <w:lang w:val="en-GB"/>
        </w:rPr>
        <w:t>Critical Studies on Terrorism</w:t>
      </w:r>
      <w:r w:rsidRPr="032B6B62" w:rsidR="18692D4C">
        <w:rPr>
          <w:rFonts w:ascii="Times New Roman" w:hAnsi="Times New Roman" w:eastAsia="Times New Roman" w:cs="Times New Roman"/>
          <w:noProof w:val="0"/>
          <w:sz w:val="24"/>
          <w:szCs w:val="24"/>
          <w:lang w:val="en-GB"/>
        </w:rPr>
        <w:t>, 12(1), pp.89–109.</w:t>
      </w:r>
    </w:p>
    <w:p xmlns:wp14="http://schemas.microsoft.com/office/word/2010/wordml" w:rsidP="032B6B62" wp14:paraId="4715A71E" wp14:textId="1E59B7D5">
      <w:pPr>
        <w:spacing w:before="0" w:beforeAutospacing="off" w:after="240" w:afterAutospacing="off" w:line="360" w:lineRule="auto"/>
      </w:pPr>
      <w:r w:rsidRPr="032B6B62" w:rsidR="18692D4C">
        <w:rPr>
          <w:rFonts w:ascii="Times New Roman" w:hAnsi="Times New Roman" w:eastAsia="Times New Roman" w:cs="Times New Roman"/>
          <w:noProof w:val="0"/>
          <w:sz w:val="24"/>
          <w:szCs w:val="24"/>
          <w:lang w:val="en-GB"/>
        </w:rPr>
        <w:t xml:space="preserve">His Majesty’s Inspectorate of Constabulary and Fire &amp; Rescue Services. (2022). </w:t>
      </w:r>
      <w:r w:rsidRPr="032B6B62" w:rsidR="18692D4C">
        <w:rPr>
          <w:rFonts w:ascii="Times New Roman" w:hAnsi="Times New Roman" w:eastAsia="Times New Roman" w:cs="Times New Roman"/>
          <w:i w:val="1"/>
          <w:iCs w:val="1"/>
          <w:noProof w:val="0"/>
          <w:sz w:val="24"/>
          <w:szCs w:val="24"/>
          <w:lang w:val="en-GB"/>
        </w:rPr>
        <w:t>Annual review of the 2022–25 policing inspection programme and framework</w:t>
      </w:r>
      <w:r w:rsidRPr="032B6B62" w:rsidR="18692D4C">
        <w:rPr>
          <w:rFonts w:ascii="Times New Roman" w:hAnsi="Times New Roman" w:eastAsia="Times New Roman" w:cs="Times New Roman"/>
          <w:noProof w:val="0"/>
          <w:sz w:val="24"/>
          <w:szCs w:val="24"/>
          <w:lang w:val="en-GB"/>
        </w:rPr>
        <w:t xml:space="preserve">. [online] Available at: </w:t>
      </w:r>
      <w:hyperlink r:id="Rde3c81533dec454b">
        <w:r w:rsidRPr="032B6B62" w:rsidR="18692D4C">
          <w:rPr>
            <w:rStyle w:val="Hyperlink"/>
            <w:rFonts w:ascii="Times New Roman" w:hAnsi="Times New Roman" w:eastAsia="Times New Roman" w:cs="Times New Roman"/>
            <w:noProof w:val="0"/>
            <w:sz w:val="24"/>
            <w:szCs w:val="24"/>
            <w:lang w:val="en-GB"/>
          </w:rPr>
          <w:t>https://hmicfrs.justiceinspectorates.gov.uk/publication-html/annual-review-of-2022-25-policing-inspection-programme-and-framework/</w:t>
        </w:r>
      </w:hyperlink>
      <w:r w:rsidRPr="032B6B62" w:rsidR="18692D4C">
        <w:rPr>
          <w:rFonts w:ascii="Times New Roman" w:hAnsi="Times New Roman" w:eastAsia="Times New Roman" w:cs="Times New Roman"/>
          <w:noProof w:val="0"/>
          <w:sz w:val="24"/>
          <w:szCs w:val="24"/>
          <w:lang w:val="en-GB"/>
        </w:rPr>
        <w:t>.</w:t>
      </w:r>
    </w:p>
    <w:p xmlns:wp14="http://schemas.microsoft.com/office/word/2010/wordml" w:rsidP="032B6B62" wp14:paraId="7D0F983E" wp14:textId="6B91E5D0">
      <w:pPr>
        <w:spacing w:before="0" w:beforeAutospacing="off" w:after="240" w:afterAutospacing="off" w:line="360" w:lineRule="auto"/>
      </w:pPr>
      <w:r w:rsidRPr="032B6B62" w:rsidR="18692D4C">
        <w:rPr>
          <w:rFonts w:ascii="Times New Roman" w:hAnsi="Times New Roman" w:eastAsia="Times New Roman" w:cs="Times New Roman"/>
          <w:noProof w:val="0"/>
          <w:sz w:val="24"/>
          <w:szCs w:val="24"/>
          <w:lang w:val="en-GB"/>
        </w:rPr>
        <w:t xml:space="preserve">His Majesty’s Inspectorate of Constabulary and Fire &amp; Rescue Services. (2024). </w:t>
      </w:r>
      <w:r w:rsidRPr="032B6B62" w:rsidR="18692D4C">
        <w:rPr>
          <w:rFonts w:ascii="Times New Roman" w:hAnsi="Times New Roman" w:eastAsia="Times New Roman" w:cs="Times New Roman"/>
          <w:i w:val="1"/>
          <w:iCs w:val="1"/>
          <w:noProof w:val="0"/>
          <w:sz w:val="24"/>
          <w:szCs w:val="24"/>
          <w:lang w:val="en-GB"/>
        </w:rPr>
        <w:t>Publications</w:t>
      </w:r>
      <w:r w:rsidRPr="032B6B62" w:rsidR="18692D4C">
        <w:rPr>
          <w:rFonts w:ascii="Times New Roman" w:hAnsi="Times New Roman" w:eastAsia="Times New Roman" w:cs="Times New Roman"/>
          <w:noProof w:val="0"/>
          <w:sz w:val="24"/>
          <w:szCs w:val="24"/>
          <w:lang w:val="en-GB"/>
        </w:rPr>
        <w:t xml:space="preserve">. [online] Available at: </w:t>
      </w:r>
      <w:hyperlink r:id="R5ff631b47a964601">
        <w:r w:rsidRPr="032B6B62" w:rsidR="18692D4C">
          <w:rPr>
            <w:rStyle w:val="Hyperlink"/>
            <w:rFonts w:ascii="Times New Roman" w:hAnsi="Times New Roman" w:eastAsia="Times New Roman" w:cs="Times New Roman"/>
            <w:noProof w:val="0"/>
            <w:sz w:val="24"/>
            <w:szCs w:val="24"/>
            <w:lang w:val="en-GB"/>
          </w:rPr>
          <w:t>https://hmicfrs.justiceinspectorates.gov.uk/publications/</w:t>
        </w:r>
      </w:hyperlink>
      <w:r w:rsidRPr="032B6B62" w:rsidR="18692D4C">
        <w:rPr>
          <w:rFonts w:ascii="Times New Roman" w:hAnsi="Times New Roman" w:eastAsia="Times New Roman" w:cs="Times New Roman"/>
          <w:noProof w:val="0"/>
          <w:sz w:val="24"/>
          <w:szCs w:val="24"/>
          <w:lang w:val="en-GB"/>
        </w:rPr>
        <w:t>.</w:t>
      </w:r>
    </w:p>
    <w:p xmlns:wp14="http://schemas.microsoft.com/office/word/2010/wordml" w:rsidP="032B6B62" wp14:paraId="3D3B9B3F" wp14:textId="5825F6DD">
      <w:pPr>
        <w:spacing w:before="0" w:beforeAutospacing="off" w:after="240" w:afterAutospacing="off" w:line="360" w:lineRule="auto"/>
      </w:pPr>
      <w:r w:rsidRPr="032B6B62" w:rsidR="18692D4C">
        <w:rPr>
          <w:rFonts w:ascii="Times New Roman" w:hAnsi="Times New Roman" w:eastAsia="Times New Roman" w:cs="Times New Roman"/>
          <w:noProof w:val="0"/>
          <w:sz w:val="24"/>
          <w:szCs w:val="24"/>
          <w:lang w:val="en-GB"/>
        </w:rPr>
        <w:t xml:space="preserve">HM Government (2015). </w:t>
      </w:r>
      <w:r w:rsidRPr="032B6B62" w:rsidR="18692D4C">
        <w:rPr>
          <w:rFonts w:ascii="Times New Roman" w:hAnsi="Times New Roman" w:eastAsia="Times New Roman" w:cs="Times New Roman"/>
          <w:i w:val="1"/>
          <w:iCs w:val="1"/>
          <w:noProof w:val="0"/>
          <w:sz w:val="24"/>
          <w:szCs w:val="24"/>
          <w:lang w:val="en-GB"/>
        </w:rPr>
        <w:t>Counter-Terrorism and Security Act 2015</w:t>
      </w:r>
      <w:r w:rsidRPr="032B6B62" w:rsidR="18692D4C">
        <w:rPr>
          <w:rFonts w:ascii="Times New Roman" w:hAnsi="Times New Roman" w:eastAsia="Times New Roman" w:cs="Times New Roman"/>
          <w:noProof w:val="0"/>
          <w:sz w:val="24"/>
          <w:szCs w:val="24"/>
          <w:lang w:val="en-GB"/>
        </w:rPr>
        <w:t xml:space="preserve">. [online] Legislation.gov.uk. Available at: </w:t>
      </w:r>
      <w:hyperlink r:id="R6999fcd3242e4422">
        <w:r w:rsidRPr="032B6B62" w:rsidR="18692D4C">
          <w:rPr>
            <w:rStyle w:val="Hyperlink"/>
            <w:rFonts w:ascii="Times New Roman" w:hAnsi="Times New Roman" w:eastAsia="Times New Roman" w:cs="Times New Roman"/>
            <w:noProof w:val="0"/>
            <w:sz w:val="24"/>
            <w:szCs w:val="24"/>
            <w:lang w:val="en-GB"/>
          </w:rPr>
          <w:t>https://www.legislation.gov.uk/ukpga/2015/6/contents</w:t>
        </w:r>
      </w:hyperlink>
      <w:r w:rsidRPr="032B6B62" w:rsidR="18692D4C">
        <w:rPr>
          <w:rFonts w:ascii="Times New Roman" w:hAnsi="Times New Roman" w:eastAsia="Times New Roman" w:cs="Times New Roman"/>
          <w:noProof w:val="0"/>
          <w:sz w:val="24"/>
          <w:szCs w:val="24"/>
          <w:lang w:val="en-GB"/>
        </w:rPr>
        <w:t>.</w:t>
      </w:r>
    </w:p>
    <w:p xmlns:wp14="http://schemas.microsoft.com/office/word/2010/wordml" w:rsidP="032B6B62" wp14:paraId="456B28D2" wp14:textId="206229AA">
      <w:pPr>
        <w:spacing w:before="0" w:beforeAutospacing="off" w:after="240" w:afterAutospacing="off" w:line="360" w:lineRule="auto"/>
      </w:pPr>
      <w:r w:rsidRPr="032B6B62" w:rsidR="18692D4C">
        <w:rPr>
          <w:rFonts w:ascii="Times New Roman" w:hAnsi="Times New Roman" w:eastAsia="Times New Roman" w:cs="Times New Roman"/>
          <w:noProof w:val="0"/>
          <w:sz w:val="24"/>
          <w:szCs w:val="24"/>
          <w:lang w:val="en-GB"/>
        </w:rPr>
        <w:t xml:space="preserve">Home Office (2023). </w:t>
      </w:r>
      <w:r w:rsidRPr="032B6B62" w:rsidR="18692D4C">
        <w:rPr>
          <w:rFonts w:ascii="Times New Roman" w:hAnsi="Times New Roman" w:eastAsia="Times New Roman" w:cs="Times New Roman"/>
          <w:i w:val="1"/>
          <w:iCs w:val="1"/>
          <w:noProof w:val="0"/>
          <w:sz w:val="24"/>
          <w:szCs w:val="24"/>
          <w:lang w:val="en-GB"/>
        </w:rPr>
        <w:t>Counter-terrorism strategy (CONTEST) 2023</w:t>
      </w:r>
      <w:r w:rsidRPr="032B6B62" w:rsidR="18692D4C">
        <w:rPr>
          <w:rFonts w:ascii="Times New Roman" w:hAnsi="Times New Roman" w:eastAsia="Times New Roman" w:cs="Times New Roman"/>
          <w:noProof w:val="0"/>
          <w:sz w:val="24"/>
          <w:szCs w:val="24"/>
          <w:lang w:val="en-GB"/>
        </w:rPr>
        <w:t xml:space="preserve">. [online] GOV.UK. Available at: </w:t>
      </w:r>
      <w:hyperlink r:id="R5a06f7da575440a5">
        <w:r w:rsidRPr="032B6B62" w:rsidR="18692D4C">
          <w:rPr>
            <w:rStyle w:val="Hyperlink"/>
            <w:rFonts w:ascii="Times New Roman" w:hAnsi="Times New Roman" w:eastAsia="Times New Roman" w:cs="Times New Roman"/>
            <w:noProof w:val="0"/>
            <w:sz w:val="24"/>
            <w:szCs w:val="24"/>
            <w:lang w:val="en-GB"/>
          </w:rPr>
          <w:t>https://www.gov.uk/government/publications/counter-terrorism-strategy-contest-2023</w:t>
        </w:r>
      </w:hyperlink>
      <w:r w:rsidRPr="032B6B62" w:rsidR="18692D4C">
        <w:rPr>
          <w:rFonts w:ascii="Times New Roman" w:hAnsi="Times New Roman" w:eastAsia="Times New Roman" w:cs="Times New Roman"/>
          <w:noProof w:val="0"/>
          <w:sz w:val="24"/>
          <w:szCs w:val="24"/>
          <w:lang w:val="en-GB"/>
        </w:rPr>
        <w:t>.</w:t>
      </w:r>
    </w:p>
    <w:p xmlns:wp14="http://schemas.microsoft.com/office/word/2010/wordml" w:rsidP="032B6B62" wp14:paraId="5692B2D5" wp14:textId="6B5ACFCA">
      <w:pPr>
        <w:spacing w:before="0" w:beforeAutospacing="off" w:after="240" w:afterAutospacing="off" w:line="360" w:lineRule="auto"/>
      </w:pPr>
      <w:r w:rsidRPr="032B6B62" w:rsidR="18692D4C">
        <w:rPr>
          <w:rFonts w:ascii="Times New Roman" w:hAnsi="Times New Roman" w:eastAsia="Times New Roman" w:cs="Times New Roman"/>
          <w:noProof w:val="0"/>
          <w:sz w:val="24"/>
          <w:szCs w:val="24"/>
          <w:lang w:val="en-GB"/>
        </w:rPr>
        <w:t xml:space="preserve">Home Office (2024). </w:t>
      </w:r>
      <w:r w:rsidRPr="032B6B62" w:rsidR="18692D4C">
        <w:rPr>
          <w:rFonts w:ascii="Times New Roman" w:hAnsi="Times New Roman" w:eastAsia="Times New Roman" w:cs="Times New Roman"/>
          <w:i w:val="1"/>
          <w:iCs w:val="1"/>
          <w:noProof w:val="0"/>
          <w:sz w:val="24"/>
          <w:szCs w:val="24"/>
          <w:lang w:val="en-GB"/>
        </w:rPr>
        <w:t>Prevent duty guidance</w:t>
      </w:r>
      <w:r w:rsidRPr="032B6B62" w:rsidR="18692D4C">
        <w:rPr>
          <w:rFonts w:ascii="Times New Roman" w:hAnsi="Times New Roman" w:eastAsia="Times New Roman" w:cs="Times New Roman"/>
          <w:noProof w:val="0"/>
          <w:sz w:val="24"/>
          <w:szCs w:val="24"/>
          <w:lang w:val="en-GB"/>
        </w:rPr>
        <w:t xml:space="preserve">. [online] GOV.UK. Available at: </w:t>
      </w:r>
      <w:hyperlink r:id="R54240ae8107547a5">
        <w:r w:rsidRPr="032B6B62" w:rsidR="18692D4C">
          <w:rPr>
            <w:rStyle w:val="Hyperlink"/>
            <w:rFonts w:ascii="Times New Roman" w:hAnsi="Times New Roman" w:eastAsia="Times New Roman" w:cs="Times New Roman"/>
            <w:noProof w:val="0"/>
            <w:sz w:val="24"/>
            <w:szCs w:val="24"/>
            <w:lang w:val="en-GB"/>
          </w:rPr>
          <w:t>https://www.gov.uk/government/publications/prevent-duty-guidance</w:t>
        </w:r>
      </w:hyperlink>
      <w:r w:rsidRPr="032B6B62" w:rsidR="18692D4C">
        <w:rPr>
          <w:rFonts w:ascii="Times New Roman" w:hAnsi="Times New Roman" w:eastAsia="Times New Roman" w:cs="Times New Roman"/>
          <w:noProof w:val="0"/>
          <w:sz w:val="24"/>
          <w:szCs w:val="24"/>
          <w:lang w:val="en-GB"/>
        </w:rPr>
        <w:t>.</w:t>
      </w:r>
    </w:p>
    <w:p xmlns:wp14="http://schemas.microsoft.com/office/word/2010/wordml" w:rsidP="032B6B62" wp14:paraId="4981EF32" wp14:textId="0121B4C5">
      <w:pPr>
        <w:spacing w:before="0" w:beforeAutospacing="off" w:after="240" w:afterAutospacing="off" w:line="360" w:lineRule="auto"/>
      </w:pPr>
      <w:r w:rsidRPr="032B6B62" w:rsidR="18692D4C">
        <w:rPr>
          <w:rFonts w:ascii="Times New Roman" w:hAnsi="Times New Roman" w:eastAsia="Times New Roman" w:cs="Times New Roman"/>
          <w:noProof w:val="0"/>
          <w:sz w:val="24"/>
          <w:szCs w:val="24"/>
          <w:lang w:val="en-GB"/>
        </w:rPr>
        <w:t xml:space="preserve">Home office (2023). </w:t>
      </w:r>
      <w:r w:rsidRPr="032B6B62" w:rsidR="18692D4C">
        <w:rPr>
          <w:rFonts w:ascii="Times New Roman" w:hAnsi="Times New Roman" w:eastAsia="Times New Roman" w:cs="Times New Roman"/>
          <w:i w:val="1"/>
          <w:iCs w:val="1"/>
          <w:noProof w:val="0"/>
          <w:sz w:val="24"/>
          <w:szCs w:val="24"/>
          <w:lang w:val="en-GB"/>
        </w:rPr>
        <w:t>Channel duty guidance: protecting people susceptible to radicalisation (accessible)</w:t>
      </w:r>
      <w:r w:rsidRPr="032B6B62" w:rsidR="18692D4C">
        <w:rPr>
          <w:rFonts w:ascii="Times New Roman" w:hAnsi="Times New Roman" w:eastAsia="Times New Roman" w:cs="Times New Roman"/>
          <w:noProof w:val="0"/>
          <w:sz w:val="24"/>
          <w:szCs w:val="24"/>
          <w:lang w:val="en-GB"/>
        </w:rPr>
        <w:t xml:space="preserve">. [online] GOV.UK. Available at: </w:t>
      </w:r>
      <w:hyperlink r:id="R697db7304ae24e46">
        <w:r w:rsidRPr="032B6B62" w:rsidR="18692D4C">
          <w:rPr>
            <w:rStyle w:val="Hyperlink"/>
            <w:rFonts w:ascii="Times New Roman" w:hAnsi="Times New Roman" w:eastAsia="Times New Roman" w:cs="Times New Roman"/>
            <w:noProof w:val="0"/>
            <w:sz w:val="24"/>
            <w:szCs w:val="24"/>
            <w:lang w:val="en-GB"/>
          </w:rPr>
          <w:t>https://www.gov.uk/government/publications/channel-and-prevent-multi-agency-panel-pmap-guidance/channel-duty-guidance-protecting-people-susceptible-to-radicalisation-accessible</w:t>
        </w:r>
      </w:hyperlink>
      <w:r w:rsidRPr="032B6B62" w:rsidR="18692D4C">
        <w:rPr>
          <w:rFonts w:ascii="Times New Roman" w:hAnsi="Times New Roman" w:eastAsia="Times New Roman" w:cs="Times New Roman"/>
          <w:noProof w:val="0"/>
          <w:sz w:val="24"/>
          <w:szCs w:val="24"/>
          <w:lang w:val="en-GB"/>
        </w:rPr>
        <w:t>.</w:t>
      </w:r>
    </w:p>
    <w:p xmlns:wp14="http://schemas.microsoft.com/office/word/2010/wordml" w:rsidP="032B6B62" wp14:paraId="7A45CBC9" wp14:textId="6C1718F3">
      <w:pPr>
        <w:spacing w:before="0" w:beforeAutospacing="off" w:after="240" w:afterAutospacing="off" w:line="360" w:lineRule="auto"/>
      </w:pPr>
      <w:r w:rsidRPr="032B6B62" w:rsidR="18692D4C">
        <w:rPr>
          <w:rFonts w:ascii="Times New Roman" w:hAnsi="Times New Roman" w:eastAsia="Times New Roman" w:cs="Times New Roman"/>
          <w:noProof w:val="0"/>
          <w:sz w:val="24"/>
          <w:szCs w:val="24"/>
          <w:lang w:val="en-GB"/>
        </w:rPr>
        <w:t xml:space="preserve">Mastroe, C. (2016). Understanding the Recent Changes to the United Kingdom’s Implementation of Prevent. </w:t>
      </w:r>
      <w:r w:rsidRPr="032B6B62" w:rsidR="18692D4C">
        <w:rPr>
          <w:rFonts w:ascii="Times New Roman" w:hAnsi="Times New Roman" w:eastAsia="Times New Roman" w:cs="Times New Roman"/>
          <w:i w:val="1"/>
          <w:iCs w:val="1"/>
          <w:noProof w:val="0"/>
          <w:sz w:val="24"/>
          <w:szCs w:val="24"/>
          <w:lang w:val="en-GB"/>
        </w:rPr>
        <w:t>Perspectives on Terrorism</w:t>
      </w:r>
      <w:r w:rsidRPr="032B6B62" w:rsidR="18692D4C">
        <w:rPr>
          <w:rFonts w:ascii="Times New Roman" w:hAnsi="Times New Roman" w:eastAsia="Times New Roman" w:cs="Times New Roman"/>
          <w:noProof w:val="0"/>
          <w:sz w:val="24"/>
          <w:szCs w:val="24"/>
          <w:lang w:val="en-GB"/>
        </w:rPr>
        <w:t>, [online] 10(2), pp.50–60. doi:https://doi.org/10.2307/26297553.</w:t>
      </w:r>
    </w:p>
    <w:p xmlns:wp14="http://schemas.microsoft.com/office/word/2010/wordml" w:rsidP="032B6B62" wp14:paraId="2D06A1E3" wp14:textId="3DCD5423">
      <w:pPr>
        <w:spacing w:before="0" w:beforeAutospacing="off" w:after="240" w:afterAutospacing="off" w:line="360" w:lineRule="auto"/>
      </w:pPr>
      <w:r w:rsidRPr="032B6B62" w:rsidR="18692D4C">
        <w:rPr>
          <w:rFonts w:ascii="Times New Roman" w:hAnsi="Times New Roman" w:eastAsia="Times New Roman" w:cs="Times New Roman"/>
          <w:noProof w:val="0"/>
          <w:sz w:val="24"/>
          <w:szCs w:val="24"/>
          <w:lang w:val="en-GB"/>
        </w:rPr>
        <w:t xml:space="preserve">Muhammad Yassen Gada (2015). </w:t>
      </w:r>
      <w:r w:rsidRPr="032B6B62" w:rsidR="18692D4C">
        <w:rPr>
          <w:rFonts w:ascii="Times New Roman" w:hAnsi="Times New Roman" w:eastAsia="Times New Roman" w:cs="Times New Roman"/>
          <w:i w:val="1"/>
          <w:iCs w:val="1"/>
          <w:noProof w:val="0"/>
          <w:sz w:val="24"/>
          <w:szCs w:val="24"/>
          <w:lang w:val="en-GB"/>
        </w:rPr>
        <w:t>Arab Studies Quarterly</w:t>
      </w:r>
      <w:r w:rsidRPr="032B6B62" w:rsidR="18692D4C">
        <w:rPr>
          <w:rFonts w:ascii="Times New Roman" w:hAnsi="Times New Roman" w:eastAsia="Times New Roman" w:cs="Times New Roman"/>
          <w:noProof w:val="0"/>
          <w:sz w:val="24"/>
          <w:szCs w:val="24"/>
          <w:lang w:val="en-GB"/>
        </w:rPr>
        <w:t>, 37(2), p.205. doi:https://doi.org/10.13169/arabstudquar.37.2.0205.</w:t>
      </w:r>
    </w:p>
    <w:p xmlns:wp14="http://schemas.microsoft.com/office/word/2010/wordml" w:rsidP="032B6B62" wp14:paraId="6DF0DEAB" wp14:textId="4DED962D">
      <w:pPr>
        <w:spacing w:before="0" w:beforeAutospacing="off" w:after="240" w:afterAutospacing="off" w:line="360" w:lineRule="auto"/>
      </w:pPr>
      <w:r w:rsidRPr="032B6B62" w:rsidR="18692D4C">
        <w:rPr>
          <w:rFonts w:ascii="Times New Roman" w:hAnsi="Times New Roman" w:eastAsia="Times New Roman" w:cs="Times New Roman"/>
          <w:noProof w:val="0"/>
          <w:sz w:val="24"/>
          <w:szCs w:val="24"/>
          <w:lang w:val="en-GB"/>
        </w:rPr>
        <w:t xml:space="preserve">O’Toole, T., Meer, N., DeHanas, D.N., Jones, S.H. and Modood, T. (2016). Governing through Prevent? Regulation and Contested Practice in State–Muslim Engagement. </w:t>
      </w:r>
      <w:r w:rsidRPr="032B6B62" w:rsidR="18692D4C">
        <w:rPr>
          <w:rFonts w:ascii="Times New Roman" w:hAnsi="Times New Roman" w:eastAsia="Times New Roman" w:cs="Times New Roman"/>
          <w:i w:val="1"/>
          <w:iCs w:val="1"/>
          <w:noProof w:val="0"/>
          <w:sz w:val="24"/>
          <w:szCs w:val="24"/>
          <w:lang w:val="en-GB"/>
        </w:rPr>
        <w:t>Sociology</w:t>
      </w:r>
      <w:r w:rsidRPr="032B6B62" w:rsidR="18692D4C">
        <w:rPr>
          <w:rFonts w:ascii="Times New Roman" w:hAnsi="Times New Roman" w:eastAsia="Times New Roman" w:cs="Times New Roman"/>
          <w:noProof w:val="0"/>
          <w:sz w:val="24"/>
          <w:szCs w:val="24"/>
          <w:lang w:val="en-GB"/>
        </w:rPr>
        <w:t xml:space="preserve">, [online] 50(1), pp.160–177. Available at: </w:t>
      </w:r>
      <w:hyperlink r:id="R21daabdad10647cc">
        <w:r w:rsidRPr="032B6B62" w:rsidR="18692D4C">
          <w:rPr>
            <w:rStyle w:val="Hyperlink"/>
            <w:rFonts w:ascii="Times New Roman" w:hAnsi="Times New Roman" w:eastAsia="Times New Roman" w:cs="Times New Roman"/>
            <w:noProof w:val="0"/>
            <w:sz w:val="24"/>
            <w:szCs w:val="24"/>
            <w:lang w:val="en-GB"/>
          </w:rPr>
          <w:t>https://www.ncbi.nlm.nih.gov/pmc/articles/PMC4735676/</w:t>
        </w:r>
      </w:hyperlink>
      <w:r w:rsidRPr="032B6B62" w:rsidR="18692D4C">
        <w:rPr>
          <w:rFonts w:ascii="Times New Roman" w:hAnsi="Times New Roman" w:eastAsia="Times New Roman" w:cs="Times New Roman"/>
          <w:noProof w:val="0"/>
          <w:sz w:val="24"/>
          <w:szCs w:val="24"/>
          <w:lang w:val="en-GB"/>
        </w:rPr>
        <w:t>.</w:t>
      </w:r>
    </w:p>
    <w:p xmlns:wp14="http://schemas.microsoft.com/office/word/2010/wordml" w:rsidP="032B6B62" wp14:paraId="2F650A66" wp14:textId="2F841A1F">
      <w:pPr>
        <w:spacing w:before="0" w:beforeAutospacing="off" w:after="240" w:afterAutospacing="off" w:line="360" w:lineRule="auto"/>
      </w:pPr>
      <w:r w:rsidRPr="032B6B62" w:rsidR="18692D4C">
        <w:rPr>
          <w:rFonts w:ascii="Times New Roman" w:hAnsi="Times New Roman" w:eastAsia="Times New Roman" w:cs="Times New Roman"/>
          <w:noProof w:val="0"/>
          <w:sz w:val="24"/>
          <w:szCs w:val="24"/>
          <w:lang w:val="en-GB"/>
        </w:rPr>
        <w:t xml:space="preserve">Shawcross, W. (2023). </w:t>
      </w:r>
      <w:r w:rsidRPr="032B6B62" w:rsidR="18692D4C">
        <w:rPr>
          <w:rFonts w:ascii="Times New Roman" w:hAnsi="Times New Roman" w:eastAsia="Times New Roman" w:cs="Times New Roman"/>
          <w:i w:val="1"/>
          <w:iCs w:val="1"/>
          <w:noProof w:val="0"/>
          <w:sz w:val="24"/>
          <w:szCs w:val="24"/>
          <w:lang w:val="en-GB"/>
        </w:rPr>
        <w:t>Independent Review of Prevent’s report and government response</w:t>
      </w:r>
      <w:r w:rsidRPr="032B6B62" w:rsidR="18692D4C">
        <w:rPr>
          <w:rFonts w:ascii="Times New Roman" w:hAnsi="Times New Roman" w:eastAsia="Times New Roman" w:cs="Times New Roman"/>
          <w:noProof w:val="0"/>
          <w:sz w:val="24"/>
          <w:szCs w:val="24"/>
          <w:lang w:val="en-GB"/>
        </w:rPr>
        <w:t xml:space="preserve">. [online] GOV.UK. Available at: </w:t>
      </w:r>
      <w:hyperlink r:id="Rbd21dd25a148497d">
        <w:r w:rsidRPr="032B6B62" w:rsidR="18692D4C">
          <w:rPr>
            <w:rStyle w:val="Hyperlink"/>
            <w:rFonts w:ascii="Times New Roman" w:hAnsi="Times New Roman" w:eastAsia="Times New Roman" w:cs="Times New Roman"/>
            <w:noProof w:val="0"/>
            <w:sz w:val="24"/>
            <w:szCs w:val="24"/>
            <w:lang w:val="en-GB"/>
          </w:rPr>
          <w:t>https://www.gov.uk/government/publications/independent-review-of-prevents-report-and-government-response</w:t>
        </w:r>
      </w:hyperlink>
      <w:r w:rsidRPr="032B6B62" w:rsidR="18692D4C">
        <w:rPr>
          <w:rFonts w:ascii="Times New Roman" w:hAnsi="Times New Roman" w:eastAsia="Times New Roman" w:cs="Times New Roman"/>
          <w:noProof w:val="0"/>
          <w:sz w:val="24"/>
          <w:szCs w:val="24"/>
          <w:lang w:val="en-GB"/>
        </w:rPr>
        <w:t>.</w:t>
      </w:r>
    </w:p>
    <w:p xmlns:wp14="http://schemas.microsoft.com/office/word/2010/wordml" w:rsidP="032B6B62" wp14:paraId="611B76D3" wp14:textId="0DE441BB">
      <w:pPr>
        <w:spacing w:before="0" w:beforeAutospacing="off" w:after="240" w:afterAutospacing="off" w:line="360" w:lineRule="auto"/>
      </w:pPr>
      <w:r w:rsidRPr="032B6B62" w:rsidR="18692D4C">
        <w:rPr>
          <w:rFonts w:ascii="Times New Roman" w:hAnsi="Times New Roman" w:eastAsia="Times New Roman" w:cs="Times New Roman"/>
          <w:noProof w:val="0"/>
          <w:sz w:val="24"/>
          <w:szCs w:val="24"/>
          <w:lang w:val="en-GB"/>
        </w:rPr>
        <w:t xml:space="preserve">Smith, E.F., Gilmer, D.O. and Stockdale, M.S. (2019). The importance of culture and support for workplace flexibility: An ecological framework for understanding flexibility support structures. </w:t>
      </w:r>
      <w:r w:rsidRPr="032B6B62" w:rsidR="18692D4C">
        <w:rPr>
          <w:rFonts w:ascii="Times New Roman" w:hAnsi="Times New Roman" w:eastAsia="Times New Roman" w:cs="Times New Roman"/>
          <w:i w:val="1"/>
          <w:iCs w:val="1"/>
          <w:noProof w:val="0"/>
          <w:sz w:val="24"/>
          <w:szCs w:val="24"/>
          <w:lang w:val="en-GB"/>
        </w:rPr>
        <w:t>Business Horizons</w:t>
      </w:r>
      <w:r w:rsidRPr="032B6B62" w:rsidR="18692D4C">
        <w:rPr>
          <w:rFonts w:ascii="Times New Roman" w:hAnsi="Times New Roman" w:eastAsia="Times New Roman" w:cs="Times New Roman"/>
          <w:noProof w:val="0"/>
          <w:sz w:val="24"/>
          <w:szCs w:val="24"/>
          <w:lang w:val="en-GB"/>
        </w:rPr>
        <w:t>, [online] 62(5), pp.557–566. doi:https://doi.org/10.1016/j.bushor.2019.04.002.</w:t>
      </w:r>
    </w:p>
    <w:p xmlns:wp14="http://schemas.microsoft.com/office/word/2010/wordml" w:rsidP="032B6B62" wp14:paraId="4F833C2B" wp14:textId="369FF63F">
      <w:pPr>
        <w:spacing w:before="0" w:beforeAutospacing="off" w:after="240" w:afterAutospacing="off" w:line="360" w:lineRule="auto"/>
      </w:pPr>
      <w:r w:rsidRPr="032B6B62" w:rsidR="18692D4C">
        <w:rPr>
          <w:rFonts w:ascii="Times New Roman" w:hAnsi="Times New Roman" w:eastAsia="Times New Roman" w:cs="Times New Roman"/>
          <w:noProof w:val="0"/>
          <w:sz w:val="24"/>
          <w:szCs w:val="24"/>
          <w:lang w:val="en-GB"/>
        </w:rPr>
        <w:t xml:space="preserve">Syal, R. and editor, R.S.H. affairs (2024). Police failed to record race of nearly two-thirds of people referred to Prevent. </w:t>
      </w:r>
      <w:r w:rsidRPr="032B6B62" w:rsidR="18692D4C">
        <w:rPr>
          <w:rFonts w:ascii="Times New Roman" w:hAnsi="Times New Roman" w:eastAsia="Times New Roman" w:cs="Times New Roman"/>
          <w:i w:val="1"/>
          <w:iCs w:val="1"/>
          <w:noProof w:val="0"/>
          <w:sz w:val="24"/>
          <w:szCs w:val="24"/>
          <w:lang w:val="en-GB"/>
        </w:rPr>
        <w:t>The Guardian</w:t>
      </w:r>
      <w:r w:rsidRPr="032B6B62" w:rsidR="18692D4C">
        <w:rPr>
          <w:rFonts w:ascii="Times New Roman" w:hAnsi="Times New Roman" w:eastAsia="Times New Roman" w:cs="Times New Roman"/>
          <w:noProof w:val="0"/>
          <w:sz w:val="24"/>
          <w:szCs w:val="24"/>
          <w:lang w:val="en-GB"/>
        </w:rPr>
        <w:t xml:space="preserve">. [online] 6 Feb. Available at: </w:t>
      </w:r>
      <w:hyperlink r:id="Rb07a625811c34032">
        <w:r w:rsidRPr="032B6B62" w:rsidR="18692D4C">
          <w:rPr>
            <w:rStyle w:val="Hyperlink"/>
            <w:rFonts w:ascii="Times New Roman" w:hAnsi="Times New Roman" w:eastAsia="Times New Roman" w:cs="Times New Roman"/>
            <w:noProof w:val="0"/>
            <w:sz w:val="24"/>
            <w:szCs w:val="24"/>
            <w:lang w:val="en-GB"/>
          </w:rPr>
          <w:t>https://www.theguardian.com/uk-news/2024/feb/06/police-failed-to-record-race-of-nearly-two-thirds-of-people-referred-to-prevent</w:t>
        </w:r>
      </w:hyperlink>
      <w:r w:rsidRPr="032B6B62" w:rsidR="18692D4C">
        <w:rPr>
          <w:rFonts w:ascii="Times New Roman" w:hAnsi="Times New Roman" w:eastAsia="Times New Roman" w:cs="Times New Roman"/>
          <w:noProof w:val="0"/>
          <w:sz w:val="24"/>
          <w:szCs w:val="24"/>
          <w:lang w:val="en-GB"/>
        </w:rPr>
        <w:t>.</w:t>
      </w:r>
    </w:p>
    <w:p xmlns:wp14="http://schemas.microsoft.com/office/word/2010/wordml" w:rsidP="032B6B62" wp14:paraId="788C10BE" wp14:textId="40F7A987">
      <w:pPr>
        <w:spacing w:before="0" w:beforeAutospacing="off" w:after="240" w:afterAutospacing="off" w:line="360" w:lineRule="auto"/>
      </w:pPr>
      <w:r w:rsidRPr="032B6B62" w:rsidR="18692D4C">
        <w:rPr>
          <w:rFonts w:ascii="Times New Roman" w:hAnsi="Times New Roman" w:eastAsia="Times New Roman" w:cs="Times New Roman"/>
          <w:noProof w:val="0"/>
          <w:sz w:val="24"/>
          <w:szCs w:val="24"/>
          <w:lang w:val="en-GB"/>
        </w:rPr>
        <w:t xml:space="preserve">Thomas, P. (2016). Youth, Terrorism and Education: Britain’s Prevent Programme. </w:t>
      </w:r>
      <w:r w:rsidRPr="032B6B62" w:rsidR="18692D4C">
        <w:rPr>
          <w:rFonts w:ascii="Times New Roman" w:hAnsi="Times New Roman" w:eastAsia="Times New Roman" w:cs="Times New Roman"/>
          <w:i w:val="1"/>
          <w:iCs w:val="1"/>
          <w:noProof w:val="0"/>
          <w:sz w:val="24"/>
          <w:szCs w:val="24"/>
          <w:lang w:val="en-GB"/>
        </w:rPr>
        <w:t>International Journal of Lifelong Education</w:t>
      </w:r>
      <w:r w:rsidRPr="032B6B62" w:rsidR="18692D4C">
        <w:rPr>
          <w:rFonts w:ascii="Times New Roman" w:hAnsi="Times New Roman" w:eastAsia="Times New Roman" w:cs="Times New Roman"/>
          <w:noProof w:val="0"/>
          <w:sz w:val="24"/>
          <w:szCs w:val="24"/>
          <w:lang w:val="en-GB"/>
        </w:rPr>
        <w:t xml:space="preserve">, [online] 35(2), pp.171–187. Available at: </w:t>
      </w:r>
      <w:hyperlink r:id="R14721f94d91943ff">
        <w:r w:rsidRPr="032B6B62" w:rsidR="18692D4C">
          <w:rPr>
            <w:rStyle w:val="Hyperlink"/>
            <w:rFonts w:ascii="Times New Roman" w:hAnsi="Times New Roman" w:eastAsia="Times New Roman" w:cs="Times New Roman"/>
            <w:noProof w:val="0"/>
            <w:sz w:val="24"/>
            <w:szCs w:val="24"/>
            <w:lang w:val="en-GB"/>
          </w:rPr>
          <w:t>https://www.tandfonline.com/doi/abs/10.1080/02601370.2016.1164469</w:t>
        </w:r>
      </w:hyperlink>
      <w:r w:rsidRPr="032B6B62" w:rsidR="18692D4C">
        <w:rPr>
          <w:rFonts w:ascii="Times New Roman" w:hAnsi="Times New Roman" w:eastAsia="Times New Roman" w:cs="Times New Roman"/>
          <w:noProof w:val="0"/>
          <w:sz w:val="24"/>
          <w:szCs w:val="24"/>
          <w:lang w:val="en-GB"/>
        </w:rPr>
        <w:t>.</w:t>
      </w:r>
    </w:p>
    <w:p xmlns:wp14="http://schemas.microsoft.com/office/word/2010/wordml" w:rsidP="032B6B62" wp14:paraId="34D9AF35" wp14:textId="308A033D">
      <w:pPr>
        <w:spacing w:before="0" w:beforeAutospacing="off" w:after="240" w:afterAutospacing="off" w:line="360" w:lineRule="auto"/>
      </w:pPr>
      <w:r w:rsidRPr="032B6B62" w:rsidR="18692D4C">
        <w:rPr>
          <w:rFonts w:ascii="Times New Roman" w:hAnsi="Times New Roman" w:eastAsia="Times New Roman" w:cs="Times New Roman"/>
          <w:noProof w:val="0"/>
          <w:sz w:val="24"/>
          <w:szCs w:val="24"/>
          <w:lang w:val="en-GB"/>
        </w:rPr>
        <w:t xml:space="preserve">Tyler, T.R. (2006). </w:t>
      </w:r>
      <w:r w:rsidRPr="032B6B62" w:rsidR="18692D4C">
        <w:rPr>
          <w:rFonts w:ascii="Times New Roman" w:hAnsi="Times New Roman" w:eastAsia="Times New Roman" w:cs="Times New Roman"/>
          <w:i w:val="1"/>
          <w:iCs w:val="1"/>
          <w:noProof w:val="0"/>
          <w:sz w:val="24"/>
          <w:szCs w:val="24"/>
          <w:lang w:val="en-GB"/>
        </w:rPr>
        <w:t>Why people obey the law</w:t>
      </w:r>
      <w:r w:rsidRPr="032B6B62" w:rsidR="18692D4C">
        <w:rPr>
          <w:rFonts w:ascii="Times New Roman" w:hAnsi="Times New Roman" w:eastAsia="Times New Roman" w:cs="Times New Roman"/>
          <w:noProof w:val="0"/>
          <w:sz w:val="24"/>
          <w:szCs w:val="24"/>
          <w:lang w:val="en-GB"/>
        </w:rPr>
        <w:t>. Princeton, New Jersey: Princeton University Press.</w:t>
      </w:r>
    </w:p>
    <w:p xmlns:wp14="http://schemas.microsoft.com/office/word/2010/wordml" wp14:paraId="5E5787A5" wp14:textId="01860FAD"/>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Jji7eKYlGb9Zow" int2:id="mQxWJM68">
      <int2:state int2:type="spell" int2:value="Rejected"/>
    </int2:textHash>
    <int2:textHash int2:hashCode="Cs/Q6Vygn/EKt3" int2:id="xqkRjWNt">
      <int2:state int2:type="spell" int2:value="Rejected"/>
    </int2:textHash>
    <int2:bookmark int2:bookmarkName="_Int_YPsCaH4n" int2:invalidationBookmarkName="" int2:hashCode="dalNooyseA++F1" int2:id="roJw1oOT">
      <int2:state int2:type="style" int2:value="Rejected"/>
    </int2:bookmark>
    <int2:bookmark int2:bookmarkName="_Int_K1iAtieA" int2:invalidationBookmarkName="" int2:hashCode="TFtx12Qzqlhz3q" int2:id="YfvCoMK5">
      <int2:state int2:type="gram" int2:value="Rejected"/>
    </int2:bookmark>
    <int2:bookmark int2:bookmarkName="_Int_sGQhSwy9" int2:invalidationBookmarkName="" int2:hashCode="rX9TrpN9CTmbaS" int2:id="6ybsztTl">
      <int2:state int2:type="style" int2:value="Rejected"/>
    </int2:bookmark>
    <int2:bookmark int2:bookmarkName="_Int_UtJVi7ZX" int2:invalidationBookmarkName="" int2:hashCode="kkWITJvMdx3AJJ" int2:id="YcqzjScT">
      <int2:state int2:type="gram" int2:value="Rejected"/>
    </int2:bookmark>
    <int2:bookmark int2:bookmarkName="_Int_hPoAq1iL" int2:invalidationBookmarkName="" int2:hashCode="Zz10vaPI9OBXT0" int2:id="GyHdXKrZ">
      <int2:state int2:type="style" int2:value="Rejected"/>
    </int2:bookmark>
    <int2:bookmark int2:bookmarkName="_Int_K2edURSC" int2:invalidationBookmarkName="" int2:hashCode="xhKzW50/O76H3Z" int2:id="cVO40Quq">
      <int2:state int2:type="styl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F2132"/>
    <w:rsid w:val="001F2132"/>
    <w:rsid w:val="012FBC74"/>
    <w:rsid w:val="01FAF102"/>
    <w:rsid w:val="032B6B62"/>
    <w:rsid w:val="048992A3"/>
    <w:rsid w:val="05C490C2"/>
    <w:rsid w:val="064947F5"/>
    <w:rsid w:val="065AE1CE"/>
    <w:rsid w:val="0782C606"/>
    <w:rsid w:val="088FCAEF"/>
    <w:rsid w:val="09FAFADE"/>
    <w:rsid w:val="0B423767"/>
    <w:rsid w:val="0CBFC0EF"/>
    <w:rsid w:val="0D57F038"/>
    <w:rsid w:val="0DA8F45D"/>
    <w:rsid w:val="0DE56B71"/>
    <w:rsid w:val="0DFA0088"/>
    <w:rsid w:val="0F8D17F4"/>
    <w:rsid w:val="10B4659C"/>
    <w:rsid w:val="11DCEF63"/>
    <w:rsid w:val="123CAF27"/>
    <w:rsid w:val="124A5E54"/>
    <w:rsid w:val="12E492A9"/>
    <w:rsid w:val="130BB4A6"/>
    <w:rsid w:val="146CA407"/>
    <w:rsid w:val="15A75AB3"/>
    <w:rsid w:val="16264E16"/>
    <w:rsid w:val="17838ACC"/>
    <w:rsid w:val="18692D4C"/>
    <w:rsid w:val="187BDA5D"/>
    <w:rsid w:val="196F39D2"/>
    <w:rsid w:val="1976E67E"/>
    <w:rsid w:val="1A622A70"/>
    <w:rsid w:val="1CB7F24A"/>
    <w:rsid w:val="1CBBA99B"/>
    <w:rsid w:val="1E6B7947"/>
    <w:rsid w:val="1E8C6220"/>
    <w:rsid w:val="208158D9"/>
    <w:rsid w:val="22447B27"/>
    <w:rsid w:val="2290B9D6"/>
    <w:rsid w:val="229725C8"/>
    <w:rsid w:val="236D47E4"/>
    <w:rsid w:val="23C047C0"/>
    <w:rsid w:val="25408369"/>
    <w:rsid w:val="26E26EFA"/>
    <w:rsid w:val="26E6CAF5"/>
    <w:rsid w:val="27291183"/>
    <w:rsid w:val="27D12646"/>
    <w:rsid w:val="283656BF"/>
    <w:rsid w:val="2AA95841"/>
    <w:rsid w:val="2B2BE662"/>
    <w:rsid w:val="2C69792B"/>
    <w:rsid w:val="2C9C3763"/>
    <w:rsid w:val="2D77B3C7"/>
    <w:rsid w:val="2DB99802"/>
    <w:rsid w:val="2E3AB7A8"/>
    <w:rsid w:val="2E60FC47"/>
    <w:rsid w:val="2FD78598"/>
    <w:rsid w:val="31B691E3"/>
    <w:rsid w:val="31CD9192"/>
    <w:rsid w:val="3259AF30"/>
    <w:rsid w:val="33F516BC"/>
    <w:rsid w:val="34938EEC"/>
    <w:rsid w:val="352827BB"/>
    <w:rsid w:val="35341EE1"/>
    <w:rsid w:val="354F4115"/>
    <w:rsid w:val="355E4171"/>
    <w:rsid w:val="3687CC6A"/>
    <w:rsid w:val="371531A3"/>
    <w:rsid w:val="375BF69D"/>
    <w:rsid w:val="38133015"/>
    <w:rsid w:val="385B536A"/>
    <w:rsid w:val="392F79F4"/>
    <w:rsid w:val="3972BCFB"/>
    <w:rsid w:val="3ABB1755"/>
    <w:rsid w:val="3B962C0C"/>
    <w:rsid w:val="3CF8428E"/>
    <w:rsid w:val="3DBA5DF2"/>
    <w:rsid w:val="3FB1A849"/>
    <w:rsid w:val="41DC5CA9"/>
    <w:rsid w:val="42421EEB"/>
    <w:rsid w:val="427E5DAF"/>
    <w:rsid w:val="43C0322C"/>
    <w:rsid w:val="48429010"/>
    <w:rsid w:val="4880D52D"/>
    <w:rsid w:val="4AABCA0E"/>
    <w:rsid w:val="4AB0E908"/>
    <w:rsid w:val="4B515ED2"/>
    <w:rsid w:val="4B796063"/>
    <w:rsid w:val="4C073F9F"/>
    <w:rsid w:val="4C5F6C8A"/>
    <w:rsid w:val="4CB41C41"/>
    <w:rsid w:val="4E228192"/>
    <w:rsid w:val="4E236DB1"/>
    <w:rsid w:val="4F350966"/>
    <w:rsid w:val="5037F369"/>
    <w:rsid w:val="5080E037"/>
    <w:rsid w:val="526FDA78"/>
    <w:rsid w:val="549971FC"/>
    <w:rsid w:val="5588C8BD"/>
    <w:rsid w:val="5590AC9C"/>
    <w:rsid w:val="55E53474"/>
    <w:rsid w:val="56E43AE1"/>
    <w:rsid w:val="58529852"/>
    <w:rsid w:val="58865A0D"/>
    <w:rsid w:val="59E943FE"/>
    <w:rsid w:val="5BE149F5"/>
    <w:rsid w:val="5EA05209"/>
    <w:rsid w:val="5ECAB335"/>
    <w:rsid w:val="60B3A1C6"/>
    <w:rsid w:val="60F20DCC"/>
    <w:rsid w:val="61C8BE15"/>
    <w:rsid w:val="61E28449"/>
    <w:rsid w:val="62FF7E99"/>
    <w:rsid w:val="6368C772"/>
    <w:rsid w:val="63B9A5DC"/>
    <w:rsid w:val="647CAC39"/>
    <w:rsid w:val="66F9359A"/>
    <w:rsid w:val="68A078A3"/>
    <w:rsid w:val="69586DCB"/>
    <w:rsid w:val="6A428F77"/>
    <w:rsid w:val="6BA0A4F1"/>
    <w:rsid w:val="6BF4D357"/>
    <w:rsid w:val="6BF7DC47"/>
    <w:rsid w:val="6C45E872"/>
    <w:rsid w:val="6DBD8860"/>
    <w:rsid w:val="6EC2F190"/>
    <w:rsid w:val="6F139926"/>
    <w:rsid w:val="6FF2A30C"/>
    <w:rsid w:val="7244BF97"/>
    <w:rsid w:val="7362F318"/>
    <w:rsid w:val="754C357B"/>
    <w:rsid w:val="75682D09"/>
    <w:rsid w:val="75CBDD7A"/>
    <w:rsid w:val="781CBE75"/>
    <w:rsid w:val="79FE0958"/>
    <w:rsid w:val="7A053EC8"/>
    <w:rsid w:val="7A7DC3A9"/>
    <w:rsid w:val="7AC6EB82"/>
    <w:rsid w:val="7AD5E292"/>
    <w:rsid w:val="7BD7DFA1"/>
    <w:rsid w:val="7C2E2040"/>
    <w:rsid w:val="7CF342D9"/>
    <w:rsid w:val="7D4F0E75"/>
    <w:rsid w:val="7D66275F"/>
    <w:rsid w:val="7FD7C6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1F2132"/>
  <w15:chartTrackingRefBased/>
  <w15:docId w15:val="{01F7B25A-0FDB-4F11-9D00-B25BD0599B8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0F4761" w:themeColor="accent1" w:themeShade="BF"/>
      <w:sz w:val="40"/>
      <w:szCs w:val="40"/>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360" w:after="80"/>
      <w:outlineLvl xmlns:w="http://schemas.openxmlformats.org/wordprocessingml/2006/main" w:val="0"/>
    </w:pPr>
    <w:rPr xmlns:w="http://schemas.openxmlformats.org/wordprocessingml/2006/main">
      <w:rFonts w:asciiTheme="majorHAnsi" w:hAnsiTheme="majorHAnsi" w:eastAsiaTheme="majorEastAsia" w:cstheme="majorBidi"/>
      <w:color w:val="0F4761" w:themeColor="accent1" w:themeShade="BF"/>
      <w:sz w:val="40"/>
      <w:szCs w:val="40"/>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amnesty.org/en/documents/pol10/7200/2024/en/" TargetMode="External" Id="R7b6a7fbb758f496b" /><Relationship Type="http://schemas.openxmlformats.org/officeDocument/2006/relationships/hyperlink" Target="https://www.college.police.uk/app/engagement-and-communication/engagement" TargetMode="External" Id="Re4a05209d0d04b0a" /><Relationship Type="http://schemas.openxmlformats.org/officeDocument/2006/relationships/hyperlink" Target="https://www.college.police.uk/career-learning/leadership" TargetMode="External" Id="R5242226587cc4ee8" /><Relationship Type="http://schemas.openxmlformats.org/officeDocument/2006/relationships/hyperlink" Target="https://hmicfrs.justiceinspectorates.gov.uk/publication-html/annual-review-of-2022-25-policing-inspection-programme-and-framework/" TargetMode="External" Id="Rde3c81533dec454b" /><Relationship Type="http://schemas.openxmlformats.org/officeDocument/2006/relationships/hyperlink" Target="https://hmicfrs.justiceinspectorates.gov.uk/publications/" TargetMode="External" Id="R5ff631b47a964601" /><Relationship Type="http://schemas.openxmlformats.org/officeDocument/2006/relationships/hyperlink" Target="https://www.legislation.gov.uk/ukpga/2015/6/contents" TargetMode="External" Id="R6999fcd3242e4422" /><Relationship Type="http://schemas.openxmlformats.org/officeDocument/2006/relationships/hyperlink" Target="https://www.gov.uk/government/publications/counter-terrorism-strategy-contest-2023" TargetMode="External" Id="R5a06f7da575440a5" /><Relationship Type="http://schemas.openxmlformats.org/officeDocument/2006/relationships/hyperlink" Target="https://www.gov.uk/government/publications/prevent-duty-guidance" TargetMode="External" Id="R54240ae8107547a5" /><Relationship Type="http://schemas.openxmlformats.org/officeDocument/2006/relationships/hyperlink" Target="https://www.gov.uk/government/publications/channel-and-prevent-multi-agency-panel-pmap-guidance/channel-duty-guidance-protecting-people-susceptible-to-radicalisation-accessible" TargetMode="External" Id="R697db7304ae24e46" /><Relationship Type="http://schemas.openxmlformats.org/officeDocument/2006/relationships/hyperlink" Target="https://www.ncbi.nlm.nih.gov/pmc/articles/PMC4735676/" TargetMode="External" Id="R21daabdad10647cc" /><Relationship Type="http://schemas.openxmlformats.org/officeDocument/2006/relationships/hyperlink" Target="https://www.gov.uk/government/publications/independent-review-of-prevents-report-and-government-response" TargetMode="External" Id="Rbd21dd25a148497d" /><Relationship Type="http://schemas.openxmlformats.org/officeDocument/2006/relationships/hyperlink" Target="https://www.theguardian.com/uk-news/2024/feb/06/police-failed-to-record-race-of-nearly-two-thirds-of-people-referred-to-prevent" TargetMode="External" Id="Rb07a625811c34032" /><Relationship Type="http://schemas.openxmlformats.org/officeDocument/2006/relationships/hyperlink" Target="https://www.tandfonline.com/doi/abs/10.1080/02601370.2016.1164469" TargetMode="External" Id="R14721f94d91943ff" /><Relationship Type="http://schemas.openxmlformats.org/officeDocument/2006/relationships/hyperlink" Target="https://www.amnesty.org.uk/files/2023-11/Amnesty%20UK%20Prevent%20report%20%281%29.pdf?VersionId=.hjIwRZuHiGd1_lECXroFwg25jyBtwur" TargetMode="External" Id="Rc1bf7689bb5b432a" /><Relationship Type="http://schemas.microsoft.com/office/2020/10/relationships/intelligence" Target="/word/intelligence2.xml" Id="R5604a90639234f6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Luke Darnell (2306084)</dc:creator>
  <keywords/>
  <dc:description/>
  <lastModifiedBy>Luke Darnell (2306084)</lastModifiedBy>
  <revision>5</revision>
  <dcterms:created xsi:type="dcterms:W3CDTF">2025-11-03T13:46:26.6342072Z</dcterms:created>
  <dcterms:modified xsi:type="dcterms:W3CDTF">2025-11-07T17:48:52.1977818Z</dcterms:modified>
</coreProperties>
</file>