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1FE286" w14:textId="3E9191C5" w:rsidR="00BE4486" w:rsidRDefault="00876388">
      <w:pPr>
        <w:pStyle w:val="Heading1"/>
        <w:rPr>
          <w:rFonts w:eastAsia="Times New Roman"/>
        </w:rPr>
      </w:pPr>
      <w:r>
        <w:rPr>
          <w:rFonts w:eastAsia="Times New Roman"/>
          <w:noProof/>
        </w:rPr>
        <w:drawing>
          <wp:anchor distT="0" distB="0" distL="114300" distR="114300" simplePos="0" relativeHeight="251659264" behindDoc="0" locked="0" layoutInCell="1" allowOverlap="1" wp14:anchorId="7FF589BC" wp14:editId="539FB567">
            <wp:simplePos x="0" y="0"/>
            <wp:positionH relativeFrom="column">
              <wp:posOffset>-100330</wp:posOffset>
            </wp:positionH>
            <wp:positionV relativeFrom="paragraph">
              <wp:posOffset>0</wp:posOffset>
            </wp:positionV>
            <wp:extent cx="5943600" cy="3302000"/>
            <wp:effectExtent l="0" t="0" r="0" b="0"/>
            <wp:wrapTopAndBottom/>
            <wp:docPr id="834164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164934" name="Picture 834164934"/>
                    <pic:cNvPicPr/>
                  </pic:nvPicPr>
                  <pic:blipFill>
                    <a:blip r:embed="rId6">
                      <a:extLst>
                        <a:ext uri="{28A0092B-C50C-407E-A947-70E740481C1C}">
                          <a14:useLocalDpi xmlns:a14="http://schemas.microsoft.com/office/drawing/2010/main" val="0"/>
                        </a:ext>
                      </a:extLst>
                    </a:blip>
                    <a:stretch>
                      <a:fillRect/>
                    </a:stretch>
                  </pic:blipFill>
                  <pic:spPr>
                    <a:xfrm>
                      <a:off x="0" y="0"/>
                      <a:ext cx="5943600" cy="3302000"/>
                    </a:xfrm>
                    <a:prstGeom prst="rect">
                      <a:avLst/>
                    </a:prstGeom>
                  </pic:spPr>
                </pic:pic>
              </a:graphicData>
            </a:graphic>
          </wp:anchor>
        </w:drawing>
      </w:r>
      <w:r w:rsidR="001E5F92">
        <w:rPr>
          <w:rFonts w:eastAsia="Times New Roman"/>
        </w:rPr>
        <w:t xml:space="preserve">University of </w:t>
      </w:r>
      <w:r w:rsidR="00C31AB1">
        <w:rPr>
          <w:rFonts w:eastAsia="Times New Roman"/>
        </w:rPr>
        <w:t>Wales Trinity Saint David</w:t>
      </w:r>
    </w:p>
    <w:p w14:paraId="0BCD39A1" w14:textId="5A3DE6DA" w:rsidR="00C31AB1" w:rsidRPr="00A42228" w:rsidRDefault="005B6165" w:rsidP="00A42228">
      <w:pPr>
        <w:jc w:val="center"/>
        <w:rPr>
          <w:sz w:val="28"/>
          <w:szCs w:val="28"/>
        </w:rPr>
      </w:pPr>
      <w:r w:rsidRPr="00A42228">
        <w:rPr>
          <w:sz w:val="28"/>
          <w:szCs w:val="28"/>
        </w:rPr>
        <w:t xml:space="preserve">Course  : MBA </w:t>
      </w:r>
      <w:r w:rsidR="00CE709A" w:rsidRPr="00A42228">
        <w:rPr>
          <w:sz w:val="28"/>
          <w:szCs w:val="28"/>
        </w:rPr>
        <w:t>International Business</w:t>
      </w:r>
    </w:p>
    <w:p w14:paraId="40BAFE1A" w14:textId="3EC52B99" w:rsidR="00CE709A" w:rsidRPr="00A42228" w:rsidRDefault="00CE709A" w:rsidP="00A42228">
      <w:pPr>
        <w:jc w:val="center"/>
        <w:rPr>
          <w:sz w:val="28"/>
          <w:szCs w:val="28"/>
        </w:rPr>
      </w:pPr>
      <w:r w:rsidRPr="00A42228">
        <w:rPr>
          <w:sz w:val="28"/>
          <w:szCs w:val="28"/>
        </w:rPr>
        <w:t xml:space="preserve">Assignment Title: </w:t>
      </w:r>
      <w:r w:rsidR="00025A41" w:rsidRPr="00A42228">
        <w:rPr>
          <w:sz w:val="28"/>
          <w:szCs w:val="28"/>
        </w:rPr>
        <w:t xml:space="preserve">International Market entry Strategy for  </w:t>
      </w:r>
      <w:r w:rsidR="00412497" w:rsidRPr="00A42228">
        <w:rPr>
          <w:sz w:val="28"/>
          <w:szCs w:val="28"/>
        </w:rPr>
        <w:t xml:space="preserve">IKEA: An  Evaluation of </w:t>
      </w:r>
      <w:r w:rsidR="0042586F" w:rsidRPr="00A42228">
        <w:rPr>
          <w:sz w:val="28"/>
          <w:szCs w:val="28"/>
        </w:rPr>
        <w:t>South Africa as a Potential Host Market</w:t>
      </w:r>
    </w:p>
    <w:p w14:paraId="33C5EFB3" w14:textId="13CE1FC6" w:rsidR="00CE709A" w:rsidRPr="00A42228" w:rsidRDefault="00FD7C88" w:rsidP="00A42228">
      <w:pPr>
        <w:jc w:val="center"/>
        <w:rPr>
          <w:sz w:val="28"/>
          <w:szCs w:val="28"/>
        </w:rPr>
      </w:pPr>
      <w:r w:rsidRPr="00A42228">
        <w:rPr>
          <w:sz w:val="28"/>
          <w:szCs w:val="28"/>
        </w:rPr>
        <w:t>Student Name: Ankurkumar Jayantibhai Desai</w:t>
      </w:r>
    </w:p>
    <w:p w14:paraId="1AE4AD2C" w14:textId="2F8ED2A7" w:rsidR="00FD7C88" w:rsidRPr="00A42228" w:rsidRDefault="00765CC8" w:rsidP="00A42228">
      <w:pPr>
        <w:jc w:val="center"/>
        <w:rPr>
          <w:sz w:val="28"/>
          <w:szCs w:val="28"/>
        </w:rPr>
      </w:pPr>
      <w:r w:rsidRPr="00A42228">
        <w:rPr>
          <w:sz w:val="28"/>
          <w:szCs w:val="28"/>
        </w:rPr>
        <w:t>Student ID: 2521739</w:t>
      </w:r>
    </w:p>
    <w:p w14:paraId="0B55A5AA" w14:textId="0E6C33D1" w:rsidR="00765CC8" w:rsidRPr="00A42228" w:rsidRDefault="00BA288E" w:rsidP="00A42228">
      <w:pPr>
        <w:jc w:val="center"/>
        <w:rPr>
          <w:sz w:val="28"/>
          <w:szCs w:val="28"/>
        </w:rPr>
      </w:pPr>
      <w:r w:rsidRPr="00A42228">
        <w:rPr>
          <w:sz w:val="28"/>
          <w:szCs w:val="28"/>
        </w:rPr>
        <w:t>Module Code:</w:t>
      </w:r>
      <w:r w:rsidR="00C54305" w:rsidRPr="00A42228">
        <w:rPr>
          <w:sz w:val="28"/>
          <w:szCs w:val="28"/>
        </w:rPr>
        <w:t>LCMB7034</w:t>
      </w:r>
    </w:p>
    <w:p w14:paraId="4E913F47" w14:textId="674C6EC2" w:rsidR="00BA288E" w:rsidRPr="00A42228" w:rsidRDefault="00BA288E" w:rsidP="00A42228">
      <w:pPr>
        <w:jc w:val="center"/>
        <w:rPr>
          <w:sz w:val="28"/>
          <w:szCs w:val="28"/>
        </w:rPr>
      </w:pPr>
      <w:r w:rsidRPr="00A42228">
        <w:rPr>
          <w:sz w:val="28"/>
          <w:szCs w:val="28"/>
        </w:rPr>
        <w:t>Module leader:</w:t>
      </w:r>
      <w:r w:rsidR="00097BBD" w:rsidRPr="00A42228">
        <w:rPr>
          <w:sz w:val="28"/>
          <w:szCs w:val="28"/>
        </w:rPr>
        <w:t xml:space="preserve"> Alkshay Narayanan , Mansoob Murshed</w:t>
      </w:r>
    </w:p>
    <w:p w14:paraId="3BCEFF0C" w14:textId="402EF53F" w:rsidR="00BA288E" w:rsidRPr="00A42228" w:rsidRDefault="00BA288E" w:rsidP="00A42228">
      <w:pPr>
        <w:jc w:val="center"/>
        <w:rPr>
          <w:sz w:val="28"/>
          <w:szCs w:val="28"/>
        </w:rPr>
      </w:pPr>
      <w:r w:rsidRPr="00A42228">
        <w:rPr>
          <w:sz w:val="28"/>
          <w:szCs w:val="28"/>
        </w:rPr>
        <w:t>Submission Date:</w:t>
      </w:r>
      <w:r w:rsidR="00097BBD" w:rsidRPr="00A42228">
        <w:rPr>
          <w:sz w:val="28"/>
          <w:szCs w:val="28"/>
        </w:rPr>
        <w:t xml:space="preserve"> </w:t>
      </w:r>
      <w:r w:rsidR="00474FFB" w:rsidRPr="00A42228">
        <w:rPr>
          <w:sz w:val="28"/>
          <w:szCs w:val="28"/>
        </w:rPr>
        <w:t>14</w:t>
      </w:r>
      <w:r w:rsidR="00474FFB" w:rsidRPr="00A42228">
        <w:rPr>
          <w:sz w:val="28"/>
          <w:szCs w:val="28"/>
          <w:vertAlign w:val="superscript"/>
        </w:rPr>
        <w:t>th</w:t>
      </w:r>
      <w:r w:rsidR="00474FFB" w:rsidRPr="00A42228">
        <w:rPr>
          <w:sz w:val="28"/>
          <w:szCs w:val="28"/>
        </w:rPr>
        <w:t xml:space="preserve"> August 2026</w:t>
      </w:r>
    </w:p>
    <w:p w14:paraId="075AC1BB" w14:textId="77777777" w:rsidR="00BE4486" w:rsidRDefault="00BE4486">
      <w:pPr>
        <w:pStyle w:val="Heading1"/>
        <w:rPr>
          <w:rFonts w:eastAsia="Times New Roman"/>
        </w:rPr>
      </w:pPr>
    </w:p>
    <w:p w14:paraId="7FFF67BF" w14:textId="77777777" w:rsidR="00A42228" w:rsidRPr="00A42228" w:rsidRDefault="00A42228" w:rsidP="00A42228"/>
    <w:p w14:paraId="65E8D1FB" w14:textId="629849F9" w:rsidR="008564C7" w:rsidRDefault="008564C7">
      <w:pPr>
        <w:pStyle w:val="Heading1"/>
        <w:rPr>
          <w:rFonts w:eastAsia="Times New Roman"/>
          <w:kern w:val="36"/>
          <w:sz w:val="48"/>
          <w:szCs w:val="48"/>
          <w14:ligatures w14:val="none"/>
        </w:rPr>
      </w:pPr>
      <w:r>
        <w:rPr>
          <w:rFonts w:eastAsia="Times New Roman"/>
        </w:rPr>
        <w:lastRenderedPageBreak/>
        <w:t>Table of Contents</w:t>
      </w:r>
    </w:p>
    <w:p w14:paraId="2FCC818C" w14:textId="75C0E481" w:rsidR="008564C7" w:rsidRDefault="008564C7">
      <w:pPr>
        <w:pStyle w:val="NormalWeb"/>
      </w:pPr>
      <w:r>
        <w:rPr>
          <w:rStyle w:val="Strong"/>
        </w:rPr>
        <w:t>Introduction</w:t>
      </w:r>
      <w:r>
        <w:t xml:space="preserve"> ........................................................................ </w:t>
      </w:r>
      <w:r w:rsidR="002B6B40">
        <w:t>3</w:t>
      </w:r>
    </w:p>
    <w:p w14:paraId="539298E5" w14:textId="77777777" w:rsidR="008564C7" w:rsidRDefault="008564C7">
      <w:pPr>
        <w:pStyle w:val="Heading2"/>
        <w:rPr>
          <w:rFonts w:eastAsia="Times New Roman"/>
        </w:rPr>
      </w:pPr>
      <w:r>
        <w:rPr>
          <w:rFonts w:eastAsia="Times New Roman"/>
        </w:rPr>
        <w:t>Section 1: International Market Entry Analysis</w:t>
      </w:r>
    </w:p>
    <w:p w14:paraId="3A007C82" w14:textId="4E4EFEC6" w:rsidR="008564C7" w:rsidRDefault="008564C7">
      <w:pPr>
        <w:pStyle w:val="NormalWeb"/>
      </w:pPr>
      <w:r>
        <w:rPr>
          <w:rStyle w:val="Strong"/>
        </w:rPr>
        <w:t>1. Organisational Classification and Global Strategy</w:t>
      </w:r>
      <w:r>
        <w:t xml:space="preserve"> ........................ </w:t>
      </w:r>
      <w:r w:rsidR="002B6B40">
        <w:t>4</w:t>
      </w:r>
      <w:r>
        <w:br/>
        <w:t xml:space="preserve">1.1 Bartlett and </w:t>
      </w:r>
      <w:proofErr w:type="spellStart"/>
      <w:r>
        <w:t>Ghoshal’s</w:t>
      </w:r>
      <w:proofErr w:type="spellEnd"/>
      <w:r>
        <w:t xml:space="preserve"> International Strategy Framework ................ </w:t>
      </w:r>
      <w:r w:rsidR="00146681">
        <w:t>4</w:t>
      </w:r>
      <w:r>
        <w:br/>
        <w:t xml:space="preserve">1.2 IKEA’s Transnational Strategy ................................................ </w:t>
      </w:r>
      <w:r w:rsidR="00146681">
        <w:t>5</w:t>
      </w:r>
      <w:r>
        <w:br/>
        <w:t xml:space="preserve">1.3 Global Configuration and Competitive Advantage ........................ </w:t>
      </w:r>
      <w:r w:rsidR="00146681">
        <w:t>5</w:t>
      </w:r>
    </w:p>
    <w:p w14:paraId="3FB54F9C" w14:textId="418DB269" w:rsidR="008564C7" w:rsidRDefault="008564C7">
      <w:pPr>
        <w:pStyle w:val="NormalWeb"/>
      </w:pPr>
      <w:r>
        <w:rPr>
          <w:rStyle w:val="Strong"/>
        </w:rPr>
        <w:t>2. Macro-Environmental Appraisal and Market Attractiveness</w:t>
      </w:r>
      <w:r>
        <w:t xml:space="preserve"> ............ </w:t>
      </w:r>
      <w:r w:rsidR="00146681">
        <w:t>6</w:t>
      </w:r>
      <w:r>
        <w:br/>
        <w:t xml:space="preserve">2.1 Political Environment .......................................................... </w:t>
      </w:r>
      <w:r w:rsidR="00146681">
        <w:t>6</w:t>
      </w:r>
      <w:r>
        <w:br/>
        <w:t xml:space="preserve">2.2 Economic Environment ........................................................ </w:t>
      </w:r>
      <w:r w:rsidR="00146681">
        <w:t>7</w:t>
      </w:r>
      <w:r>
        <w:br/>
        <w:t xml:space="preserve">2.3 Legal Environment ............................................................... </w:t>
      </w:r>
      <w:r w:rsidR="00146681">
        <w:t>8</w:t>
      </w:r>
      <w:r>
        <w:br/>
        <w:t xml:space="preserve">2.4 Cultural Environment ........................................................... </w:t>
      </w:r>
      <w:r w:rsidR="00146681">
        <w:t>9</w:t>
      </w:r>
      <w:r>
        <w:br/>
        <w:t xml:space="preserve">2.5 Dunning’s OLI Framework ...................................................... </w:t>
      </w:r>
      <w:r w:rsidR="00146681">
        <w:t>10</w:t>
      </w:r>
      <w:r>
        <w:br/>
        <w:t xml:space="preserve">    2.5.1 Ownership Advantages ................................................ </w:t>
      </w:r>
      <w:r w:rsidR="00146681">
        <w:t>10</w:t>
      </w:r>
      <w:r>
        <w:br/>
        <w:t xml:space="preserve">    2.5.2 Location Advantages .................................................... </w:t>
      </w:r>
      <w:r w:rsidR="00146681">
        <w:t>11</w:t>
      </w:r>
      <w:r>
        <w:br/>
        <w:t xml:space="preserve">    2.5.3 Internalisation Advantages ............................................ </w:t>
      </w:r>
      <w:r w:rsidR="00146681">
        <w:t>11</w:t>
      </w:r>
      <w:r>
        <w:br/>
        <w:t>    2.5.4 Overall Market-Attractiveness Assessment ..................... 1</w:t>
      </w:r>
      <w:r w:rsidR="00146681">
        <w:t>2</w:t>
      </w:r>
    </w:p>
    <w:p w14:paraId="29BBD8FB" w14:textId="22044534" w:rsidR="008564C7" w:rsidRDefault="008564C7">
      <w:pPr>
        <w:pStyle w:val="NormalWeb"/>
      </w:pPr>
      <w:r>
        <w:rPr>
          <w:rStyle w:val="Strong"/>
        </w:rPr>
        <w:t>3. Entry Mode Strategy and Strategic Synthesis</w:t>
      </w:r>
      <w:r>
        <w:t xml:space="preserve"> ............................. 1</w:t>
      </w:r>
      <w:r w:rsidR="00146681">
        <w:t>3</w:t>
      </w:r>
      <w:r>
        <w:br/>
        <w:t>3.1 IKEA’s Historical Entry-Mode Pattern ....................................... 1</w:t>
      </w:r>
      <w:r w:rsidR="00146681">
        <w:t>3</w:t>
      </w:r>
      <w:r>
        <w:br/>
        <w:t>3.2 Alternative Entry Modes and Critical Evaluation ........................ 1</w:t>
      </w:r>
      <w:r w:rsidR="00146681">
        <w:t>4</w:t>
      </w:r>
      <w:r>
        <w:br/>
        <w:t>3.3 Final</w:t>
      </w:r>
      <w:r w:rsidR="000372B0">
        <w:t xml:space="preserve"> </w:t>
      </w:r>
      <w:r w:rsidR="00E81379">
        <w:t xml:space="preserve">Recommendation and Conclusion </w:t>
      </w:r>
      <w:r>
        <w:t xml:space="preserve"> </w:t>
      </w:r>
      <w:r w:rsidR="00146681">
        <w:t>............</w:t>
      </w:r>
      <w:r>
        <w:t>................ 1</w:t>
      </w:r>
      <w:r w:rsidR="00146681">
        <w:t>5</w:t>
      </w:r>
    </w:p>
    <w:p w14:paraId="267FEFB3" w14:textId="77777777" w:rsidR="008564C7" w:rsidRDefault="008564C7">
      <w:pPr>
        <w:pStyle w:val="Heading2"/>
        <w:rPr>
          <w:rFonts w:eastAsia="Times New Roman"/>
        </w:rPr>
      </w:pPr>
      <w:r>
        <w:rPr>
          <w:rFonts w:eastAsia="Times New Roman"/>
        </w:rPr>
        <w:t>Section 2: Critical Reflection</w:t>
      </w:r>
    </w:p>
    <w:p w14:paraId="151B69B1" w14:textId="1072C6B5" w:rsidR="008564C7" w:rsidRDefault="008564C7">
      <w:pPr>
        <w:pStyle w:val="NormalWeb"/>
      </w:pPr>
      <w:r>
        <w:rPr>
          <w:rStyle w:val="Strong"/>
        </w:rPr>
        <w:t>4. Critical Reflection on the Research and Learning Process</w:t>
      </w:r>
      <w:r>
        <w:t xml:space="preserve"> ............ 1</w:t>
      </w:r>
      <w:r w:rsidR="00146681">
        <w:t>6</w:t>
      </w:r>
      <w:r>
        <w:br/>
        <w:t>4.1 Introduction ....................................................................... 1</w:t>
      </w:r>
      <w:r w:rsidR="00A2192E">
        <w:t>6</w:t>
      </w:r>
      <w:r>
        <w:br/>
        <w:t>4.2 Description ........................................................................ 1</w:t>
      </w:r>
      <w:r w:rsidR="00A2192E">
        <w:t>6</w:t>
      </w:r>
      <w:r>
        <w:br/>
        <w:t>4.3 Feelings ............................................................................. 1</w:t>
      </w:r>
      <w:r w:rsidR="00A2192E">
        <w:t>7</w:t>
      </w:r>
      <w:r>
        <w:br/>
        <w:t>4.4 Evaluation .......................................................................... 1</w:t>
      </w:r>
      <w:r w:rsidR="00A2192E">
        <w:t>7</w:t>
      </w:r>
      <w:r>
        <w:br/>
        <w:t>4.5 Analysis .............................................................................. 1</w:t>
      </w:r>
      <w:r w:rsidR="00A2192E">
        <w:t>8</w:t>
      </w:r>
      <w:r>
        <w:br/>
        <w:t>4.6 Conclusion .......................................................................... 1</w:t>
      </w:r>
      <w:r w:rsidR="00A2192E">
        <w:t>9</w:t>
      </w:r>
      <w:r>
        <w:br/>
        <w:t>4.7 Action Plan ......................................................................... 1</w:t>
      </w:r>
      <w:r w:rsidR="00A2192E">
        <w:t>9</w:t>
      </w:r>
    </w:p>
    <w:p w14:paraId="3E598E64" w14:textId="75C42524" w:rsidR="00E4243B" w:rsidRDefault="008564C7" w:rsidP="002B6B40">
      <w:pPr>
        <w:pStyle w:val="NormalWeb"/>
      </w:pPr>
      <w:r>
        <w:rPr>
          <w:rStyle w:val="Strong"/>
        </w:rPr>
        <w:t>References</w:t>
      </w:r>
      <w:r>
        <w:t xml:space="preserve"> ......................................................................... </w:t>
      </w:r>
      <w:r w:rsidR="00A2192E">
        <w:t>20</w:t>
      </w:r>
    </w:p>
    <w:p w14:paraId="49558863" w14:textId="77777777" w:rsidR="002B6B40" w:rsidRDefault="002B6B40" w:rsidP="002B6B40">
      <w:pPr>
        <w:pStyle w:val="NormalWeb"/>
      </w:pPr>
    </w:p>
    <w:p w14:paraId="021225D6" w14:textId="77777777" w:rsidR="002B6B40" w:rsidRPr="002B6B40" w:rsidRDefault="002B6B40" w:rsidP="002B6B40">
      <w:pPr>
        <w:pStyle w:val="NormalWeb"/>
      </w:pPr>
    </w:p>
    <w:p w14:paraId="32AE1EE3" w14:textId="1A2FFF15" w:rsidR="00F24D36" w:rsidRDefault="00F24D36">
      <w:pPr>
        <w:pStyle w:val="Heading2"/>
        <w:rPr>
          <w:rFonts w:eastAsia="Times New Roman"/>
          <w:kern w:val="0"/>
          <w:sz w:val="36"/>
          <w:szCs w:val="36"/>
          <w14:ligatures w14:val="none"/>
        </w:rPr>
      </w:pPr>
      <w:r>
        <w:rPr>
          <w:rFonts w:eastAsia="Times New Roman"/>
        </w:rPr>
        <w:lastRenderedPageBreak/>
        <w:t>Introduction</w:t>
      </w:r>
    </w:p>
    <w:p w14:paraId="5CE3ACDA" w14:textId="77777777" w:rsidR="00F24D36" w:rsidRDefault="00F24D36">
      <w:pPr>
        <w:pStyle w:val="NormalWeb"/>
      </w:pPr>
      <w:r>
        <w:t xml:space="preserve">The continuing integration of global markets has created significant opportunities for multinational corporations (MNCs) to expand beyond their established geographical boundaries. However, international expansion also exposes firms to substantial political, economic, legal and cultural differences that can influence their ability to transfer competitive advantages successfully across national borders. Consequently, international market-entry decisions require more than the identification of commercially attractive markets; firms must assess whether their existing resources, organisational capabilities and international strategies are compatible with the conditions of the proposed host country. This report examines these issues in the context of IKEA and evaluates the potential expansion of the company into </w:t>
      </w:r>
      <w:r>
        <w:rPr>
          <w:rStyle w:val="Strong"/>
        </w:rPr>
        <w:t>[Target Country]</w:t>
      </w:r>
      <w:r>
        <w:t>.</w:t>
      </w:r>
    </w:p>
    <w:p w14:paraId="256AFE7D" w14:textId="77777777" w:rsidR="00F24D36" w:rsidRDefault="00F24D36">
      <w:pPr>
        <w:pStyle w:val="NormalWeb"/>
      </w:pPr>
      <w:r>
        <w:t>Founded in Sweden, IKEA has developed into one of the world's most prominent home-furnishing businesses, built around the objective of making well-designed and functional home-furnishing products affordable to a broad consumer market. Its international scale is substantial. During the 2025 financial year, total IKEA retail sales amounted to €44.6 billion, while the business employed approximately 222,000 co-workers globally and added 66 new sales locations (IKEA, 2025a). The IKEA system operates through a franchise structure involving 13 groups of franchisees, demonstrating the considerable geographical and organisational complexity associated with managing the brand internationally (IKEA, 2025a). Despite this extensive international footprint, continued geographical expansion requires careful consideration because the transferability of a successful business model cannot be assumed across markets characterised by different institutional, competitive and consumer environments.</w:t>
      </w:r>
    </w:p>
    <w:p w14:paraId="14B1CC57" w14:textId="77777777" w:rsidR="00F24D36" w:rsidRDefault="00F24D36">
      <w:pPr>
        <w:pStyle w:val="NormalWeb"/>
      </w:pPr>
      <w:r>
        <w:t>IKEA therefore represents an appropriate case through which to examine the strategic challenges associated with internationalisation. The company's international development requires a balance between maintaining efficiencies and a recognisable global concept while responding appropriately to differences between national markets. This tension between global integration and local responsiveness is central to international business strategy and provides a basis for evaluating IKEA's organisational and strategic orientation. Furthermore, international expansion requires consideration of whether firm-specific competitive advantages can be successfully exploited within a particular host-country environment.</w:t>
      </w:r>
    </w:p>
    <w:p w14:paraId="03F8F1A9" w14:textId="77777777" w:rsidR="00F24D36" w:rsidRDefault="00F24D36">
      <w:pPr>
        <w:pStyle w:val="NormalWeb"/>
      </w:pPr>
      <w:r>
        <w:t xml:space="preserve">Accordingly, this report critically evaluates IKEA's potential entry into </w:t>
      </w:r>
      <w:r>
        <w:rPr>
          <w:rStyle w:val="Strong"/>
        </w:rPr>
        <w:t>[Target Country]</w:t>
      </w:r>
      <w:r>
        <w:t xml:space="preserve">. First, IKEA's international strategic orientation and global configuration will be examined using relevant international business concepts, including the Bartlett and </w:t>
      </w:r>
      <w:proofErr w:type="spellStart"/>
      <w:r>
        <w:t>Ghoshal</w:t>
      </w:r>
      <w:proofErr w:type="spellEnd"/>
      <w:r>
        <w:t xml:space="preserve"> framework. Second, the attractiveness of the proposed host market will be critically assessed through the political, economic, legal and cultural factors most relevant to IKEA's business model and competitive strategy. These findings will subsequently be synthesised through Dunning's eclectic paradigm, which explains international production through the interaction of ownership, location and internalisation advantages (Dunning, 1988). Finally, IKEA's historical international entry patterns will be evaluated against the specific conditions of </w:t>
      </w:r>
      <w:r>
        <w:rPr>
          <w:rStyle w:val="Strong"/>
        </w:rPr>
        <w:t>[Target Country]</w:t>
      </w:r>
      <w:r>
        <w:t xml:space="preserve"> to determine an appropriate market-entry mode. Through the integration of theoretical frameworks and contemporary market evidence, the report aims to establish whether expansion into the proposed market is strategically justified and, if so, how IKEA should structure its entry to support sustainable long-term competitive advantage.</w:t>
      </w:r>
    </w:p>
    <w:p w14:paraId="6E4F32DA" w14:textId="77777777" w:rsidR="004012F6" w:rsidRDefault="004012F6">
      <w:pPr>
        <w:pStyle w:val="Heading2"/>
        <w:rPr>
          <w:rFonts w:eastAsia="Times New Roman"/>
          <w:kern w:val="0"/>
          <w:sz w:val="36"/>
          <w:szCs w:val="36"/>
          <w14:ligatures w14:val="none"/>
        </w:rPr>
      </w:pPr>
      <w:r>
        <w:rPr>
          <w:rFonts w:eastAsia="Times New Roman"/>
        </w:rPr>
        <w:lastRenderedPageBreak/>
        <w:t>1. Organisational Classification and Global Strategy</w:t>
      </w:r>
    </w:p>
    <w:p w14:paraId="6F5ED399" w14:textId="77777777" w:rsidR="004012F6" w:rsidRDefault="004012F6">
      <w:pPr>
        <w:pStyle w:val="NormalWeb"/>
      </w:pPr>
      <w:r>
        <w:t xml:space="preserve">IKEA's international strategy can be critically examined through Bartlett and </w:t>
      </w:r>
      <w:proofErr w:type="spellStart"/>
      <w:r>
        <w:t>Ghoshal's</w:t>
      </w:r>
      <w:proofErr w:type="spellEnd"/>
      <w:r>
        <w:t xml:space="preserve"> (1989) framework, which distinguishes multinational enterprises according to the pressures they face for global integration and local responsiveness. The framework identifies four broad strategic orientations: international, </w:t>
      </w:r>
      <w:proofErr w:type="spellStart"/>
      <w:r>
        <w:t>multidomestic</w:t>
      </w:r>
      <w:proofErr w:type="spellEnd"/>
      <w:r>
        <w:t xml:space="preserve">, global and transnational. IKEA can be classified predominantly as pursuing a </w:t>
      </w:r>
      <w:r>
        <w:rPr>
          <w:rStyle w:val="Strong"/>
        </w:rPr>
        <w:t>transnational strategy</w:t>
      </w:r>
      <w:r>
        <w:t>, although it retains strong characteristics of global standardisation. This classification reflects the company's attempt to achieve global efficiency and economies of scale while remaining responsive to differences in consumer preferences and market conditions across countries.</w:t>
      </w:r>
    </w:p>
    <w:p w14:paraId="23E87EE8" w14:textId="77777777" w:rsidR="004012F6" w:rsidRDefault="004012F6">
      <w:pPr>
        <w:pStyle w:val="NormalWeb"/>
      </w:pPr>
      <w:r>
        <w:t>A major feature supporting IKEA's global integration is the standardisation of its core business concept. The company maintains a consistent brand identity, product philosophy and emphasis on providing functional, well-designed home-furnishing products at relatively affordable prices. IKEA's international operations are coordinated through a franchise system in which Inter IKEA Systems B.V. owns the IKEA Concept and acts as the worldwide franchisor (IKEA, 2026a). Franchisees are authorised to operate stores and other sales channels according to IKEA's established systems and methods and pay a franchise fee equivalent to 3% of net sales (IKEA, 2026a). This arrangement enables IKEA to protect the consistency of its concept across markets while supporting economies of scale as the organisation expands internationally.</w:t>
      </w:r>
    </w:p>
    <w:p w14:paraId="29595A88" w14:textId="77777777" w:rsidR="004012F6" w:rsidRDefault="004012F6">
      <w:pPr>
        <w:pStyle w:val="NormalWeb"/>
      </w:pPr>
      <w:r>
        <w:t xml:space="preserve">However, IKEA cannot be regarded as a purely global organisation because its international strategy also incorporates local responsiveness. Although Inter IKEA Systems B.V. is responsible for developing and protecting the IKEA Concept, franchisees contribute consumer and market insights that support the continuing development of the brand (IKEA, 2026a). Consequently, knowledge does not flow exclusively from headquarters to foreign markets; information generated within individual markets can contribute to wider organisational learning. This combination of central coordination and local market input reflects Bartlett and </w:t>
      </w:r>
      <w:proofErr w:type="spellStart"/>
      <w:r>
        <w:t>Ghoshal's</w:t>
      </w:r>
      <w:proofErr w:type="spellEnd"/>
      <w:r>
        <w:t xml:space="preserve"> (1989) conception of the transnational organisation, in which firms seek simultaneously to achieve efficiency, responsiveness and organisational learning.</w:t>
      </w:r>
    </w:p>
    <w:p w14:paraId="63F2DB7C" w14:textId="77777777" w:rsidR="004012F6" w:rsidRDefault="004012F6">
      <w:pPr>
        <w:pStyle w:val="NormalWeb"/>
      </w:pPr>
      <w:r>
        <w:t>IKEA's global configuration further strengthens its competitive position. As of November 2025, IKEA operated 504 stores across 63 markets, with its retail operations organised through 12 franchisees (IKEA, 2025). Its international value chain also extends beyond retail locations to a substantial network of suppliers and service providers, while IKEA Supply Chain Operations manages approximately 1.7 million shipments annually (IKEA, 2025b). This geographically dispersed configuration allows IKEA to coordinate sourcing, logistics, retailing and market knowledge internationally.</w:t>
      </w:r>
    </w:p>
    <w:p w14:paraId="52D47ECA" w14:textId="47782352" w:rsidR="004012F6" w:rsidRDefault="004012F6">
      <w:pPr>
        <w:pStyle w:val="NormalWeb"/>
      </w:pPr>
      <w:r>
        <w:t xml:space="preserve">Overall, IKEA's competitive advantage arises from its ability to combine globally integrated capabilities with selective local adaptation. Centralised control of the IKEA Concept protects brand consistency and facilitates economies of scale, whereas franchisee market knowledge increases responsiveness to different national environments. Nevertheless, tension can arise between standardisation and adaptation: excessive centralisation could limit responsiveness, while extensive localisation could weaken efficiencies and brand consistency. IKEA's transnational orientation therefore represents a strategic attempt to manage this trade-off, making </w:t>
      </w:r>
      <w:r>
        <w:lastRenderedPageBreak/>
        <w:t xml:space="preserve">the organisation particularly suited to continued international expansion while maintaining a coherent </w:t>
      </w:r>
      <w:r w:rsidR="00152E85">
        <w:t xml:space="preserve">global identify. </w:t>
      </w:r>
    </w:p>
    <w:p w14:paraId="1C2C6A22" w14:textId="77777777" w:rsidR="00A030C0" w:rsidRDefault="00A030C0">
      <w:pPr>
        <w:pStyle w:val="Heading2"/>
        <w:rPr>
          <w:rFonts w:eastAsia="Times New Roman"/>
          <w:kern w:val="0"/>
          <w:sz w:val="36"/>
          <w:szCs w:val="36"/>
          <w14:ligatures w14:val="none"/>
        </w:rPr>
      </w:pPr>
      <w:r>
        <w:rPr>
          <w:rFonts w:eastAsia="Times New Roman"/>
        </w:rPr>
        <w:t>2. Macro-Environmental Appraisal and Market Attractiveness</w:t>
      </w:r>
    </w:p>
    <w:p w14:paraId="6EF05877" w14:textId="77777777" w:rsidR="00A030C0" w:rsidRDefault="00A030C0">
      <w:pPr>
        <w:pStyle w:val="NormalWeb"/>
      </w:pPr>
      <w:r>
        <w:t>The attractiveness of South Africa as a potential host market for IKEA depends not simply on the size of the economy but on the interaction between institutional conditions, consumer purchasing power, regulation, cultural characteristics and IKEA's firm-specific capabilities. South Africa represents one of Africa's most diversified economies and an important regional commercial and logistics centre, but simultaneously faces structural constraints including unemployment, inequality and infrastructure weaknesses (World Bank, 2026). Therefore, the market presents IKEA with a combination of long-term strategic opportunity and significant operating risk. The following analysis concentrates on the political, economic, legal and cultural factors most directly relevant to IKEA's home-furnishing retail model before synthesising the findings through Dunning's Ownership–Location–Internalisation (OLI) framework.</w:t>
      </w:r>
    </w:p>
    <w:p w14:paraId="157EBD53" w14:textId="77777777" w:rsidR="00A030C0" w:rsidRDefault="00A030C0">
      <w:pPr>
        <w:pStyle w:val="Heading3"/>
        <w:rPr>
          <w:rFonts w:eastAsia="Times New Roman"/>
        </w:rPr>
      </w:pPr>
      <w:r>
        <w:rPr>
          <w:rFonts w:eastAsia="Times New Roman"/>
        </w:rPr>
        <w:t>2.1 Political Environment</w:t>
      </w:r>
    </w:p>
    <w:p w14:paraId="3A31E8CD" w14:textId="77777777" w:rsidR="00A030C0" w:rsidRDefault="00A030C0">
      <w:pPr>
        <w:pStyle w:val="NormalWeb"/>
      </w:pPr>
      <w:r>
        <w:t>South Africa offers IKEA a relatively developed institutional environment compared with many potential markets in Sub-Saharan Africa. The country's established constitutional and regulatory institutions provide an important foundation for a multinational retailer making a long-term investment. The International Monetary Fund (IMF, 2026) highlights the resilience provided by South Africa's independent institutions, monetary policy framework and deep domestic capital markets. These characteristics could reduce institutional uncertainty for IKEA when compared with less developed regional markets.</w:t>
      </w:r>
    </w:p>
    <w:p w14:paraId="27BCDD89" w14:textId="77777777" w:rsidR="00A030C0" w:rsidRDefault="00A030C0">
      <w:pPr>
        <w:pStyle w:val="NormalWeb"/>
      </w:pPr>
      <w:r>
        <w:t>Nevertheless, the political environment also creates strategic challenges. South Africa continues to experience structural problems associated with infrastructure, governance and implementation capacity. Historically unreliable electricity and inefficient freight transport have raised operating costs for businesses, although reforms have increasingly focused on opening energy and freight systems to private investment and competition (World Bank, 2025). For IKEA, logistics performance is particularly important because its competitive model depends on moving large volumes of flat-packed products efficiently through an integrated supply chain. Delays or high transport costs could weaken one of IKEA's core advantages: offering functional products at comparatively low prices.</w:t>
      </w:r>
    </w:p>
    <w:p w14:paraId="138B9B2D" w14:textId="77777777" w:rsidR="00A030C0" w:rsidRDefault="00A030C0">
      <w:pPr>
        <w:pStyle w:val="NormalWeb"/>
      </w:pPr>
      <w:r>
        <w:t>Transformation policy is another important political consideration. The Broad-Based Black Economic Empowerment (B-BBEE) framework is intended to increase black participation in the South African economy through areas including ownership, skills development, employment and enterprise development (DTIC, 2026). Rather than viewing B-BBEE solely as a compliance cost, IKEA could integrate transformation into its localisation strategy by developing local suppliers, investing in workforce skills and establishing partnerships with South African businesses. This approach could strengthen institutional legitimacy while supporting IKEA's broader social-value positioning.</w:t>
      </w:r>
    </w:p>
    <w:p w14:paraId="6DCCCEFB" w14:textId="77777777" w:rsidR="00A030C0" w:rsidRDefault="00A030C0">
      <w:pPr>
        <w:pStyle w:val="NormalWeb"/>
      </w:pPr>
      <w:r>
        <w:lastRenderedPageBreak/>
        <w:t xml:space="preserve">There is also evidence that IKEA already possesses some familiarity with South African creative capabilities. In 2017, IKEA collaborated with African designers through Cape Town's Design Indaba, including South African designers such as </w:t>
      </w:r>
      <w:proofErr w:type="spellStart"/>
      <w:r>
        <w:t>Laduma</w:t>
      </w:r>
      <w:proofErr w:type="spellEnd"/>
      <w:r>
        <w:t xml:space="preserve"> </w:t>
      </w:r>
      <w:proofErr w:type="spellStart"/>
      <w:r>
        <w:t>Ngxokolo</w:t>
      </w:r>
      <w:proofErr w:type="spellEnd"/>
      <w:r>
        <w:t xml:space="preserve">, Renee </w:t>
      </w:r>
      <w:proofErr w:type="spellStart"/>
      <w:r>
        <w:t>Rossouw</w:t>
      </w:r>
      <w:proofErr w:type="spellEnd"/>
      <w:r>
        <w:t xml:space="preserve"> and </w:t>
      </w:r>
      <w:proofErr w:type="spellStart"/>
      <w:r>
        <w:t>Sindiso</w:t>
      </w:r>
      <w:proofErr w:type="spellEnd"/>
      <w:r>
        <w:t xml:space="preserve"> </w:t>
      </w:r>
      <w:proofErr w:type="spellStart"/>
      <w:r>
        <w:t>Khumalo</w:t>
      </w:r>
      <w:proofErr w:type="spellEnd"/>
      <w:r>
        <w:t xml:space="preserve"> (IKEA, 2017). Although this did not constitute retail market entry, it demonstrates existing exposure to South African design culture and potentially reduces some knowledge barriers.</w:t>
      </w:r>
    </w:p>
    <w:p w14:paraId="652D77E1" w14:textId="77777777" w:rsidR="00A030C0" w:rsidRDefault="00A030C0">
      <w:pPr>
        <w:pStyle w:val="NormalWeb"/>
      </w:pPr>
      <w:r>
        <w:t xml:space="preserve">Overall, South Africa's political environment is </w:t>
      </w:r>
      <w:r>
        <w:rPr>
          <w:rStyle w:val="Strong"/>
        </w:rPr>
        <w:t>moderately attractive</w:t>
      </w:r>
      <w:r>
        <w:t>. Institutional maturity and reform initiatives support investment, but policy complexity and infrastructure constraints mean IKEA would require strong local stakeholder relationships and careful implementation.</w:t>
      </w:r>
    </w:p>
    <w:p w14:paraId="1C5CE6F4" w14:textId="77777777" w:rsidR="00A030C0" w:rsidRDefault="00A030C0">
      <w:pPr>
        <w:pStyle w:val="Heading3"/>
        <w:rPr>
          <w:rFonts w:eastAsia="Times New Roman"/>
        </w:rPr>
      </w:pPr>
      <w:r>
        <w:rPr>
          <w:rFonts w:eastAsia="Times New Roman"/>
        </w:rPr>
        <w:t>2.2 Economic Environment</w:t>
      </w:r>
    </w:p>
    <w:p w14:paraId="3314EDEA" w14:textId="77777777" w:rsidR="00A030C0" w:rsidRDefault="00A030C0">
      <w:pPr>
        <w:pStyle w:val="NormalWeb"/>
      </w:pPr>
      <w:r>
        <w:t>South Africa provides IKEA with significant economic potential because of its scale and position within the African economy. The World Bank identifies South Africa as one of Africa's largest economies and notes that it possesses a diversified production base, developed financial sector and important regional transport and logistics capabilities (World Bank, 2026). These characteristics distinguish South Africa from many smaller regional markets and could make it a strategically important platform for IKEA's longer-term development in Sub-Saharan Africa.</w:t>
      </w:r>
    </w:p>
    <w:p w14:paraId="44F80A97" w14:textId="77777777" w:rsidR="00A030C0" w:rsidRDefault="00A030C0">
      <w:pPr>
        <w:pStyle w:val="NormalWeb"/>
      </w:pPr>
      <w:r>
        <w:t>However, headline market size should not be interpreted as equivalent to widespread purchasing power. World Bank data indicate that South Africa's GDP was approximately US$427.2 billion in 2025, with GDP per capita of approximately US$6,598. Economic growth remained relatively weak, while unemployment was above 30% (World Bank, 2026a). The IMF estimated growth at 1.3% in 2025 and projected approximately 1.4% for 2026, while inflation had moderated significantly (IMF, 2026). Therefore, IKEA would enter a sizeable economy but not necessarily a rapidly expanding mass-consumption market.</w:t>
      </w:r>
    </w:p>
    <w:p w14:paraId="7ABB21DC" w14:textId="77777777" w:rsidR="00A030C0" w:rsidRDefault="00A030C0">
      <w:pPr>
        <w:pStyle w:val="NormalWeb"/>
      </w:pPr>
      <w:r>
        <w:t>This distinction is particularly important because IKEA's business concept depends on offering well-designed and functional home-furnishing products at prices affordable to “the many people” (IKEA, 2025). South Africa's severe income inequality creates both an opportunity and a limitation. IKEA could potentially attract urban middle-income households seeking contemporary furniture at accessible prices, but a substantial proportion of the population may remain highly price-sensitive. Consequently, IKEA's European price architecture could not automatically be transferred to South Africa. Import costs, exchange-rate fluctuations and logistics expenses could further increase final retail prices and undermine IKEA's affordability positioning.</w:t>
      </w:r>
    </w:p>
    <w:p w14:paraId="780F0169" w14:textId="77777777" w:rsidR="00A030C0" w:rsidRDefault="00A030C0">
      <w:pPr>
        <w:pStyle w:val="NormalWeb"/>
      </w:pPr>
      <w:r>
        <w:t xml:space="preserve">The economic case is stronger in major metropolitan areas such as Johannesburg, Pretoria, Cape Town and Durban, where concentrated populations, established shopping infrastructure and relatively stronger purchasing power provide more favourable conditions for initial expansion. An </w:t>
      </w:r>
      <w:proofErr w:type="spellStart"/>
      <w:r>
        <w:t>omnichannel</w:t>
      </w:r>
      <w:proofErr w:type="spellEnd"/>
      <w:r>
        <w:t xml:space="preserve"> strategy combining a limited number of physical locations with e-commerce, collection points and delivery services could therefore be economically preferable to constructing numerous large-format stores immediately.</w:t>
      </w:r>
    </w:p>
    <w:p w14:paraId="72B60929" w14:textId="77777777" w:rsidR="00A030C0" w:rsidRDefault="00A030C0">
      <w:pPr>
        <w:pStyle w:val="NormalWeb"/>
      </w:pPr>
      <w:r>
        <w:lastRenderedPageBreak/>
        <w:t>Infrastructure represents a further economic risk. The World Bank (2025) identifies electricity and freight transport constraints as major barriers to South African economic growth. For IKEA, inefficient ports and freight networks could directly increase inventory and distribution costs because many products would initially need to enter through international supply chains. Conversely, structural reforms aimed at improving electricity and logistics create the possibility that these constraints will gradually diminish.</w:t>
      </w:r>
    </w:p>
    <w:p w14:paraId="4C8A5903" w14:textId="77777777" w:rsidR="00A030C0" w:rsidRDefault="00A030C0">
      <w:pPr>
        <w:pStyle w:val="NormalWeb"/>
      </w:pPr>
      <w:r>
        <w:t>South Africa's high unemployment may provide a comparatively available labour pool, although this should not simply be interpreted as a low-cost advantage. From March 2026, the national minimum wage increased to R30.23 per hour (Department of Employment and Labour, 2026), while IKEA would also need to invest substantially in training to reproduce its customer-service and operational standards.</w:t>
      </w:r>
    </w:p>
    <w:p w14:paraId="7285B050" w14:textId="77777777" w:rsidR="00A030C0" w:rsidRDefault="00A030C0">
      <w:pPr>
        <w:pStyle w:val="NormalWeb"/>
      </w:pPr>
      <w:r>
        <w:t xml:space="preserve">Therefore, South Africa is </w:t>
      </w:r>
      <w:r>
        <w:rPr>
          <w:rStyle w:val="Strong"/>
        </w:rPr>
        <w:t>economically attractive in selective segments rather than uniformly attractive</w:t>
      </w:r>
      <w:r>
        <w:t>. Its scale, urban markets and regional importance favour entry, whereas weak growth, unemployment, inequality, infrastructure costs and currency exposure increase the importance of careful pricing and phased investment.</w:t>
      </w:r>
    </w:p>
    <w:p w14:paraId="0DC9E04E" w14:textId="77777777" w:rsidR="00A030C0" w:rsidRDefault="00A030C0">
      <w:pPr>
        <w:pStyle w:val="Heading3"/>
        <w:rPr>
          <w:rFonts w:eastAsia="Times New Roman"/>
        </w:rPr>
      </w:pPr>
      <w:r>
        <w:rPr>
          <w:rFonts w:eastAsia="Times New Roman"/>
        </w:rPr>
        <w:t>2.3 Legal Environment</w:t>
      </w:r>
    </w:p>
    <w:p w14:paraId="14AED1C0" w14:textId="77777777" w:rsidR="00A030C0" w:rsidRDefault="00A030C0">
      <w:pPr>
        <w:pStyle w:val="NormalWeb"/>
      </w:pPr>
      <w:r>
        <w:t>South Africa provides a relatively comprehensive legal framework for foreign businesses, but IKEA would face substantial compliance obligations across corporate, consumer, employment and data-protection regulation.</w:t>
      </w:r>
    </w:p>
    <w:p w14:paraId="11B17C2F" w14:textId="77777777" w:rsidR="00A030C0" w:rsidRDefault="00A030C0">
      <w:pPr>
        <w:pStyle w:val="NormalWeb"/>
      </w:pPr>
      <w:r>
        <w:t>The Companies Act 71 of 2008 establishes the framework for incorporation, corporate management and the registration of foreign companies conducting business in South Africa (South African Government, 2008a). This provides IKEA with a formal legal structure through which a South African operation could be established. However, the company would need to determine whether its international franchise model should operate through an existing IKEA franchisee, a locally established entity or another ownership structure.</w:t>
      </w:r>
    </w:p>
    <w:p w14:paraId="60F5CAD9" w14:textId="77777777" w:rsidR="00A030C0" w:rsidRDefault="00A030C0">
      <w:pPr>
        <w:pStyle w:val="NormalWeb"/>
      </w:pPr>
      <w:r>
        <w:t>Consumer legislation is particularly relevant to IKEA because the company sells physical products directly to households. The Consumer Protection Act 68 of 2008 establishes standards concerning consumer information, fair marketing and consumer transactions (South African Government, 2008b). Product descriptions and marketing must not mislead consumers. IKEA would consequently need robust quality assurance, product information, warranties, returns procedures and local customer-service systems. These requirements create compliance costs but could also benefit IKEA because a transparent consumer-protection framework strengthens confidence in established international brands.</w:t>
      </w:r>
    </w:p>
    <w:p w14:paraId="5073D460" w14:textId="77777777" w:rsidR="00A030C0" w:rsidRDefault="00A030C0">
      <w:pPr>
        <w:pStyle w:val="NormalWeb"/>
      </w:pPr>
      <w:r>
        <w:t xml:space="preserve">Digital operations introduce another regulatory consideration. The Protection of Personal Information Act 4 of 2013 (POPIA) establishes requirements for processing personal information and regulates aspects of cross-border data flows (South African Government, 2013). If IKEA adopted an </w:t>
      </w:r>
      <w:proofErr w:type="spellStart"/>
      <w:r>
        <w:t>omnichannel</w:t>
      </w:r>
      <w:proofErr w:type="spellEnd"/>
      <w:r>
        <w:t xml:space="preserve"> strategy involving online accounts, personalised marketing, home delivery and IKEA Family membership, compliance with POPIA would need to be embedded within its digital architecture.</w:t>
      </w:r>
    </w:p>
    <w:p w14:paraId="06A75626" w14:textId="77777777" w:rsidR="00A030C0" w:rsidRDefault="00A030C0">
      <w:pPr>
        <w:pStyle w:val="NormalWeb"/>
      </w:pPr>
      <w:r>
        <w:lastRenderedPageBreak/>
        <w:t xml:space="preserve">Employment regulation is also strategically significant. The Employment Equity Amendment Act allows </w:t>
      </w:r>
      <w:proofErr w:type="spellStart"/>
      <w:r>
        <w:t>sectoral</w:t>
      </w:r>
      <w:proofErr w:type="spellEnd"/>
      <w:r>
        <w:t xml:space="preserve"> numerical targets intended to improve representation of designated groups (South African Government, 2023). In addition, the national minimum wage became R30.23 per ordinary hour from March 2026 (Department of Employment and Labour, 2026). These requirements reinforce the need for a locally informed human-resource strategy.</w:t>
      </w:r>
    </w:p>
    <w:p w14:paraId="5CA0992A" w14:textId="77777777" w:rsidR="00A030C0" w:rsidRDefault="00A030C0">
      <w:pPr>
        <w:pStyle w:val="NormalWeb"/>
      </w:pPr>
      <w:r>
        <w:t>Finally, B-BBEE could influence procurement, partnerships and supplier development. IKEA could respond strategically by integrating local procurement and enterprise development into its supply chain rather than treating transformation requirements solely as administrative compliance.</w:t>
      </w:r>
    </w:p>
    <w:p w14:paraId="1820C44A" w14:textId="77777777" w:rsidR="00A030C0" w:rsidRDefault="00A030C0">
      <w:pPr>
        <w:pStyle w:val="NormalWeb"/>
      </w:pPr>
      <w:r>
        <w:t xml:space="preserve">Overall, the legal environment is </w:t>
      </w:r>
      <w:r>
        <w:rPr>
          <w:rStyle w:val="Strong"/>
        </w:rPr>
        <w:t>manageable but relatively demanding</w:t>
      </w:r>
      <w:r>
        <w:t>. IKEA's experience operating across numerous regulated international markets should provide compliance capabilities, but local legal expertise would remain essential.</w:t>
      </w:r>
    </w:p>
    <w:p w14:paraId="3C17112B" w14:textId="77777777" w:rsidR="00A030C0" w:rsidRDefault="00A030C0">
      <w:pPr>
        <w:pStyle w:val="Heading3"/>
        <w:rPr>
          <w:rFonts w:eastAsia="Times New Roman"/>
        </w:rPr>
      </w:pPr>
      <w:r>
        <w:rPr>
          <w:rFonts w:eastAsia="Times New Roman"/>
        </w:rPr>
        <w:t>2.4 Cultural Environment</w:t>
      </w:r>
    </w:p>
    <w:p w14:paraId="5BFA60A2" w14:textId="77777777" w:rsidR="00A030C0" w:rsidRDefault="00A030C0">
      <w:pPr>
        <w:pStyle w:val="NormalWeb"/>
      </w:pPr>
      <w:r>
        <w:t>Culture is particularly important for IKEA because furniture reflects how consumers live, socialise, organise domestic space and express identity. A completely standardised transfer of IKEA's Scandinavian retail concept could therefore overlook important South African differences.</w:t>
      </w:r>
    </w:p>
    <w:p w14:paraId="2F5A01AA" w14:textId="77777777" w:rsidR="00A030C0" w:rsidRDefault="00A030C0">
      <w:pPr>
        <w:pStyle w:val="NormalWeb"/>
      </w:pPr>
      <w:r>
        <w:t>South Africa is characterised by considerable cultural, linguistic and socioeconomic diversity. This makes the idea of a single homogeneous “South African consumer” problematic. Consumer needs may differ substantially across cities, income groups, household structures and cultural communities. IKEA would therefore need detailed market research rather than assuming that consumer preferences identified in European or Asian markets are directly transferable.</w:t>
      </w:r>
    </w:p>
    <w:p w14:paraId="2AFEB64B" w14:textId="77777777" w:rsidR="00A030C0" w:rsidRDefault="00A030C0">
      <w:pPr>
        <w:pStyle w:val="NormalWeb"/>
      </w:pPr>
      <w:r>
        <w:t>Nevertheless, IKEA already has evidence of engagement with African and South African design. Its Design Indaba collaboration brought IKEA designers together with creative professionals from South Africa and elsewhere in Africa to examine urban rituals and everyday life at home (IKEA, 2017). IKEA explicitly described such collaboration as a mechanism for learning about changing needs and integrating external ideas into its value chain. This provides evidence that localisation does not necessarily require abandoning the IKEA concept; local cultural knowledge can instead complement its global design capabilities.</w:t>
      </w:r>
    </w:p>
    <w:p w14:paraId="08A4256E" w14:textId="77777777" w:rsidR="00A030C0" w:rsidRDefault="00A030C0">
      <w:pPr>
        <w:pStyle w:val="NormalWeb"/>
      </w:pPr>
      <w:r>
        <w:t>South African consumers may also respond positively to IKEA's combination of affordability, functionality and contemporary design. However, aspects of the traditional IKEA model require testing. Self-service warehousing, flat-pack transportation and customer assembly shift some activities from the retailer to the consumer. While this helps IKEA reduce costs internationally, customer willingness to assemble furniture cannot simply be assumed. IKEA may need affordable assembly and delivery options for consumers who value convenience or who are unfamiliar with the self-assembly model.</w:t>
      </w:r>
    </w:p>
    <w:p w14:paraId="1C3C99B2" w14:textId="77777777" w:rsidR="00A030C0" w:rsidRDefault="00A030C0">
      <w:pPr>
        <w:pStyle w:val="NormalWeb"/>
      </w:pPr>
      <w:r>
        <w:t xml:space="preserve">A further issue concerns aesthetic localisation. IKEA's Scandinavian design identity is an important ownership advantage and should not be diluted excessively. Nevertheless, locally </w:t>
      </w:r>
      <w:r>
        <w:lastRenderedPageBreak/>
        <w:t>relevant colours, textiles, room displays and marketing could improve cultural resonance. IKEA's previous collaboration with South African creatives demonstrates that local inspiration can coexist with its global design philosophy (IKEA, 2017).</w:t>
      </w:r>
    </w:p>
    <w:p w14:paraId="5BE105FF" w14:textId="77777777" w:rsidR="00A030C0" w:rsidRDefault="00A030C0">
      <w:pPr>
        <w:pStyle w:val="NormalWeb"/>
      </w:pPr>
      <w:r>
        <w:t>Cultural frameworks such as Hofstede's dimensions may offer some comparative insights, but they should be applied cautiously because national-level scores can oversimplify heterogeneous societies (</w:t>
      </w:r>
      <w:proofErr w:type="spellStart"/>
      <w:r>
        <w:t>Dimitrov</w:t>
      </w:r>
      <w:proofErr w:type="spellEnd"/>
      <w:r>
        <w:t>, 2018). For South Africa especially, socioeconomic and regional differences may provide greater managerial insight than a single national cultural score.</w:t>
      </w:r>
    </w:p>
    <w:p w14:paraId="62AFFAA6" w14:textId="77777777" w:rsidR="00A030C0" w:rsidRDefault="00A030C0">
      <w:pPr>
        <w:pStyle w:val="NormalWeb"/>
      </w:pPr>
      <w:r>
        <w:t xml:space="preserve">Consequently, South Africa presents </w:t>
      </w:r>
      <w:r>
        <w:rPr>
          <w:rStyle w:val="Strong"/>
        </w:rPr>
        <w:t>moderate-to-high cultural potential</w:t>
      </w:r>
      <w:r>
        <w:t>, provided IKEA follows a transnational rather than purely standardised approach: retaining its global brand and core product philosophy while adapting communication, services and selected elements of the offer to local lifestyles.</w:t>
      </w:r>
    </w:p>
    <w:p w14:paraId="142FAB8B" w14:textId="77777777" w:rsidR="00A030C0" w:rsidRDefault="00A030C0">
      <w:pPr>
        <w:pStyle w:val="Heading3"/>
        <w:rPr>
          <w:rFonts w:eastAsia="Times New Roman"/>
        </w:rPr>
      </w:pPr>
      <w:r>
        <w:rPr>
          <w:rFonts w:eastAsia="Times New Roman"/>
        </w:rPr>
        <w:t>2.5 Dunning's OLI Synthesis</w:t>
      </w:r>
    </w:p>
    <w:p w14:paraId="03D4A2EE" w14:textId="77777777" w:rsidR="00A030C0" w:rsidRDefault="00A030C0">
      <w:pPr>
        <w:pStyle w:val="NormalWeb"/>
      </w:pPr>
      <w:r>
        <w:t xml:space="preserve">Dunning's eclectic paradigm provides a useful framework for synthesising whether IKEA possesses sufficient </w:t>
      </w:r>
      <w:r>
        <w:rPr>
          <w:rStyle w:val="Strong"/>
        </w:rPr>
        <w:t>Ownership (O), Location (L) and Internalisation (I) advantages</w:t>
      </w:r>
      <w:r>
        <w:t xml:space="preserve"> to justify investment in South Africa. Dunning (1988) argues that foreign direct investment becomes attractive where firm-specific ownership advantages can be combined with host-country location advantages and where exploiting those capabilities internally is preferable to relying entirely on external market arrangements.</w:t>
      </w:r>
    </w:p>
    <w:p w14:paraId="0F7B371E" w14:textId="77777777" w:rsidR="00A030C0" w:rsidRDefault="00A030C0">
      <w:pPr>
        <w:pStyle w:val="Heading4"/>
        <w:rPr>
          <w:rFonts w:eastAsia="Times New Roman"/>
        </w:rPr>
      </w:pPr>
      <w:r>
        <w:rPr>
          <w:rFonts w:eastAsia="Times New Roman"/>
        </w:rPr>
        <w:t>Ownership advantages</w:t>
      </w:r>
    </w:p>
    <w:p w14:paraId="04FE2549" w14:textId="77777777" w:rsidR="00A030C0" w:rsidRDefault="00A030C0">
      <w:pPr>
        <w:pStyle w:val="NormalWeb"/>
      </w:pPr>
      <w:r>
        <w:t>IKEA possesses substantial ownership advantages that could support successful South African expansion. First, its globally recognised brand and distinctive value proposition differentiate it from conventional furniture retailers. The IKEA concept integrates design, functionality, flat-pack packaging, self-service retail and cost consciousness into a business system that is difficult to replicate as a complete package.</w:t>
      </w:r>
    </w:p>
    <w:p w14:paraId="24E91B84" w14:textId="77777777" w:rsidR="00A030C0" w:rsidRDefault="00A030C0">
      <w:pPr>
        <w:pStyle w:val="NormalWeb"/>
      </w:pPr>
      <w:r>
        <w:t>Second, IKEA possesses extensive organisational and supply-chain knowledge developed through international operations. As of November 2025, IKEA operated 504 stores across 63 markets (IKEA, 2025). Such geographical experience creates capabilities in international sourcing, store operations, digital retail, market adaptation and logistics that a domestic entrant would find difficult to reproduce rapidly.</w:t>
      </w:r>
    </w:p>
    <w:p w14:paraId="1DD1610F" w14:textId="77777777" w:rsidR="00A030C0" w:rsidRDefault="00A030C0">
      <w:pPr>
        <w:pStyle w:val="NormalWeb"/>
      </w:pPr>
      <w:r>
        <w:t>Third, IKEA's franchise architecture itself represents an ownership capability. Inter IKEA Systems B.V. owns the IKEA Concept and serves as worldwide franchisor. Franchisees receive access to the IKEA trademarks, product range and operating systems and pay an annual franchise fee equivalent to 3% of net sales (IKEA, 2026). The system enables IKEA to expand while maintaining control over the underlying concept and benefiting from franchisees' market knowledge.</w:t>
      </w:r>
    </w:p>
    <w:p w14:paraId="04854895" w14:textId="77777777" w:rsidR="00A030C0" w:rsidRDefault="00A030C0">
      <w:pPr>
        <w:pStyle w:val="NormalWeb"/>
      </w:pPr>
      <w:r>
        <w:t xml:space="preserve">These advantages are relevant in South Africa because IKEA would not need to compete solely on individual furniture products. Instead, it could introduce an integrated shopping experience </w:t>
      </w:r>
      <w:r>
        <w:lastRenderedPageBreak/>
        <w:t>and globally established brand proposition. However, ownership advantages are valuable only if customers can afford the products. If import and logistics costs push IKEA significantly above local competitors, brand strength alone may be insufficient.</w:t>
      </w:r>
    </w:p>
    <w:p w14:paraId="083E1E3A" w14:textId="77777777" w:rsidR="00A030C0" w:rsidRDefault="00A030C0">
      <w:pPr>
        <w:pStyle w:val="Heading4"/>
        <w:rPr>
          <w:rFonts w:eastAsia="Times New Roman"/>
        </w:rPr>
      </w:pPr>
      <w:r>
        <w:rPr>
          <w:rFonts w:eastAsia="Times New Roman"/>
        </w:rPr>
        <w:t>Location advantages</w:t>
      </w:r>
    </w:p>
    <w:p w14:paraId="521A3CFC" w14:textId="77777777" w:rsidR="00A030C0" w:rsidRDefault="00A030C0">
      <w:pPr>
        <w:pStyle w:val="NormalWeb"/>
      </w:pPr>
      <w:r>
        <w:t>South Africa offers several meaningful location advantages. Its large economy, diversified commercial base, developed financial system and role as an important African logistics hub create a stronger institutional platform than many alternative Sub-Saharan African markets (World Bank, 2026). Major metropolitan markets provide concentrations of consumers that could support initial IKEA stores and digital distribution.</w:t>
      </w:r>
    </w:p>
    <w:p w14:paraId="53A265F0" w14:textId="77777777" w:rsidR="00A030C0" w:rsidRDefault="00A030C0">
      <w:pPr>
        <w:pStyle w:val="NormalWeb"/>
      </w:pPr>
      <w:r>
        <w:t>South Africa may also have strategic value beyond immediate domestic sales. Successful entry could provide IKEA with organisational learning about Sub-Saharan African retail markets and potentially establish capabilities useful for subsequent regional expansion. This makes South Africa's location advantage partly strategic rather than purely demand-based.</w:t>
      </w:r>
    </w:p>
    <w:p w14:paraId="182D9297" w14:textId="77777777" w:rsidR="00A030C0" w:rsidRDefault="00A030C0">
      <w:pPr>
        <w:pStyle w:val="NormalWeb"/>
      </w:pPr>
      <w:r>
        <w:t>Furthermore, IKEA's previous engagement with South African designers reduces the cultural distance associated with an entirely unfamiliar market. The Design Indaba collaboration demonstrates access to local creative networks and knowledge that could inform adaptation (IKEA, 2017).</w:t>
      </w:r>
    </w:p>
    <w:p w14:paraId="275D5BA3" w14:textId="77777777" w:rsidR="00A030C0" w:rsidRDefault="00A030C0">
      <w:pPr>
        <w:pStyle w:val="NormalWeb"/>
      </w:pPr>
      <w:r>
        <w:t>However, the location advantages are counterbalanced by significant weaknesses. Low economic growth, exceptionally high unemployment and inequality constrain mass-market purchasing power. Infrastructure and freight bottlenecks can raise supply-chain costs, while currency movements may create additional uncertainty for imported inventory. Therefore, South Africa provides a compelling location for selective, long-term expansion but a weaker case for immediate large-scale investment.</w:t>
      </w:r>
    </w:p>
    <w:p w14:paraId="43913935" w14:textId="77777777" w:rsidR="00A030C0" w:rsidRDefault="00A030C0">
      <w:pPr>
        <w:pStyle w:val="Heading4"/>
        <w:rPr>
          <w:rFonts w:eastAsia="Times New Roman"/>
        </w:rPr>
      </w:pPr>
      <w:r>
        <w:rPr>
          <w:rFonts w:eastAsia="Times New Roman"/>
        </w:rPr>
        <w:t>Internalisation advantages</w:t>
      </w:r>
    </w:p>
    <w:p w14:paraId="354C7A8D" w14:textId="77777777" w:rsidR="00A030C0" w:rsidRDefault="00A030C0">
      <w:pPr>
        <w:pStyle w:val="NormalWeb"/>
      </w:pPr>
      <w:r>
        <w:t>The final question is whether IKEA should maintain substantial control over its capabilities rather than simply licensing its brand or distributing products through independent South African retailers. Strong internalisation advantages exist because IKEA's competitive advantage depends on the integration of product design, store layout, logistics, brand presentation, customer experience and cost management.</w:t>
      </w:r>
    </w:p>
    <w:p w14:paraId="520633F6" w14:textId="77777777" w:rsidR="00A030C0" w:rsidRDefault="00A030C0">
      <w:pPr>
        <w:pStyle w:val="NormalWeb"/>
      </w:pPr>
      <w:r>
        <w:t>Allowing unrelated retailers to sell IKEA products could reduce investment requirements but create risks concerning service quality, pricing, brand presentation and knowledge transfer. IKEA's established franchise system offers a middle position. It permits geographic expansion through franchisees while Inter IKEA retains ownership of the IKEA Concept and controls the systems and methods under which stores and sales channels operate (IKEA, 2026). Franchisees simultaneously contribute consumer and market knowledge, making the structure particularly appropriate for a culturally diverse and institutionally complex market such as South Africa.</w:t>
      </w:r>
    </w:p>
    <w:p w14:paraId="53043BCF" w14:textId="77777777" w:rsidR="00A030C0" w:rsidRDefault="00A030C0">
      <w:pPr>
        <w:pStyle w:val="NormalWeb"/>
      </w:pPr>
      <w:r>
        <w:lastRenderedPageBreak/>
        <w:t>For this reason, IKEA should internalise its core intellectual assets and strategic standards while using a controlled franchise structure to obtain local market knowledge. Local partnerships could additionally support logistics, property development, supplier development and B-BBEE objectives without surrendering control over the IKEA concept.</w:t>
      </w:r>
    </w:p>
    <w:p w14:paraId="64774D10" w14:textId="77777777" w:rsidR="00A030C0" w:rsidRDefault="00A030C0">
      <w:pPr>
        <w:pStyle w:val="Heading4"/>
        <w:rPr>
          <w:rFonts w:eastAsia="Times New Roman"/>
        </w:rPr>
      </w:pPr>
      <w:r>
        <w:rPr>
          <w:rFonts w:eastAsia="Times New Roman"/>
        </w:rPr>
        <w:t>Overall market-attractiveness assessment</w:t>
      </w:r>
    </w:p>
    <w:p w14:paraId="4FD448FC" w14:textId="77777777" w:rsidR="00A030C0" w:rsidRDefault="00A030C0">
      <w:pPr>
        <w:pStyle w:val="NormalWeb"/>
      </w:pPr>
      <w:r>
        <w:t xml:space="preserve">The OLI analysis indicates a </w:t>
      </w:r>
      <w:r>
        <w:rPr>
          <w:rStyle w:val="Strong"/>
        </w:rPr>
        <w:t>qualified strategic case for IKEA's entry into South Africa</w:t>
      </w:r>
      <w:r>
        <w:t>. Ownership advantages are strong because IKEA brings an internationally established brand, differentiated business model, global supply-chain expertise and proven franchise system. Location advantages are moderate: South Africa provides market scale, urban consumer concentrations, developed commercial institutions and regional strategic importance, but these benefits are weakened by inequality, unemployment, infrastructure constraints and economic-growth limitations. Internalisation advantages are also strong because IKEA needs to protect its concept, quality standards and customer experience.</w:t>
      </w:r>
    </w:p>
    <w:p w14:paraId="1E00D426" w14:textId="77777777" w:rsidR="00A030C0" w:rsidRDefault="00A030C0">
      <w:pPr>
        <w:pStyle w:val="NormalWeb"/>
      </w:pPr>
      <w:r>
        <w:t xml:space="preserve">Therefore, South Africa should not be approached through an aggressive nationwide rollout. A </w:t>
      </w:r>
      <w:r>
        <w:rPr>
          <w:rStyle w:val="Strong"/>
        </w:rPr>
        <w:t>phased market-entry strategy</w:t>
      </w:r>
      <w:r>
        <w:t xml:space="preserve"> would be more appropriate, beginning with major metropolitan demand centres and combining physical retail with e-commerce, delivery and collection infrastructure. Such an approach would enable IKEA to test demand and refine pricing and localisation while limiting irreversible capital exposure. Over time, greater local sourcing and supplier development could reduce import dependence, support B-BBEE objectives and strengthen IKEA's affordability proposition. Overall, South Africa appears attractive as a </w:t>
      </w:r>
      <w:r>
        <w:rPr>
          <w:rStyle w:val="Strong"/>
        </w:rPr>
        <w:t>long-term strategic market</w:t>
      </w:r>
      <w:r>
        <w:t>, but successful entry would depend on IKEA's ability to combine its global ownership advantages with meaningful local adaptation and disciplined risk management.</w:t>
      </w:r>
    </w:p>
    <w:p w14:paraId="223B2B3D" w14:textId="77777777" w:rsidR="00A030C0" w:rsidRDefault="00A030C0">
      <w:pPr>
        <w:pStyle w:val="Heading2"/>
        <w:rPr>
          <w:rFonts w:eastAsia="Times New Roman"/>
          <w:kern w:val="0"/>
          <w:sz w:val="36"/>
          <w:szCs w:val="36"/>
          <w14:ligatures w14:val="none"/>
        </w:rPr>
      </w:pPr>
      <w:r>
        <w:rPr>
          <w:rFonts w:eastAsia="Times New Roman"/>
        </w:rPr>
        <w:t>3. Entry Mode Strategy and Strategic Synthesis</w:t>
      </w:r>
    </w:p>
    <w:p w14:paraId="52F67D4E" w14:textId="77777777" w:rsidR="00A030C0" w:rsidRDefault="00A030C0">
      <w:pPr>
        <w:pStyle w:val="Heading3"/>
        <w:rPr>
          <w:rFonts w:eastAsia="Times New Roman"/>
        </w:rPr>
      </w:pPr>
      <w:r>
        <w:rPr>
          <w:rFonts w:eastAsia="Times New Roman"/>
        </w:rPr>
        <w:t>3.1 IKEA's Historical Entry-Mode Pattern</w:t>
      </w:r>
    </w:p>
    <w:p w14:paraId="5531F160" w14:textId="77777777" w:rsidR="00A030C0" w:rsidRDefault="00A030C0">
      <w:pPr>
        <w:pStyle w:val="NormalWeb"/>
      </w:pPr>
      <w:r>
        <w:t xml:space="preserve">IKEA's international expansion has historically been built around a </w:t>
      </w:r>
      <w:r>
        <w:rPr>
          <w:rStyle w:val="Strong"/>
        </w:rPr>
        <w:t>franchise system</w:t>
      </w:r>
      <w:r>
        <w:t>, although the identity and ownership structure of individual franchisees varies across markets. Inter IKEA Systems B.V. owns the IKEA Concept and acts as the worldwide franchisor, while authorised franchisees operate IKEA stores and other sales channels within specified territories. Franchisees receive access to IKEA trademarks, products and operating systems and pay Inter IKEA Group an annual franchise fee equivalent to 3% of net sales (IKEA, 2026a). This model was deliberately developed to facilitate international growth while protecting the underlying IKEA Concept.</w:t>
      </w:r>
    </w:p>
    <w:p w14:paraId="7805DA1F" w14:textId="77777777" w:rsidR="00A030C0" w:rsidRDefault="00A030C0">
      <w:pPr>
        <w:pStyle w:val="NormalWeb"/>
      </w:pPr>
      <w:r>
        <w:t xml:space="preserve">Nevertheless, IKEA's historical expansion demonstrates that the franchise framework can accommodate different market-entry arrangements. </w:t>
      </w:r>
      <w:proofErr w:type="spellStart"/>
      <w:r>
        <w:t>Ingka</w:t>
      </w:r>
      <w:proofErr w:type="spellEnd"/>
      <w:r>
        <w:t xml:space="preserve"> Group, the largest IKEA franchisee, operates IKEA India as a fully owned entity rather than offering franchises to external parties (IKEA, 2026b). IKEA has also used experienced franchise partners to enter unfamiliar markets. For example, Inter IKEA Systems B.V. granted </w:t>
      </w:r>
      <w:proofErr w:type="spellStart"/>
      <w:r>
        <w:t>Ikano</w:t>
      </w:r>
      <w:proofErr w:type="spellEnd"/>
      <w:r>
        <w:t xml:space="preserve"> Group rights to explore the Mexican market, drawing on </w:t>
      </w:r>
      <w:proofErr w:type="spellStart"/>
      <w:r>
        <w:t>Ikano's</w:t>
      </w:r>
      <w:proofErr w:type="spellEnd"/>
      <w:r>
        <w:t xml:space="preserve"> previous experience operating IKEA stores in Singapore, Malaysia </w:t>
      </w:r>
      <w:r>
        <w:lastRenderedPageBreak/>
        <w:t>and Thailand (IKEA, 2018). IKEA subsequently opened its first physical Mexican store in 2021 (IKEA, 2021).</w:t>
      </w:r>
    </w:p>
    <w:p w14:paraId="138DC6D5" w14:textId="77777777" w:rsidR="00A030C0" w:rsidRDefault="00A030C0">
      <w:pPr>
        <w:pStyle w:val="NormalWeb"/>
      </w:pPr>
      <w:r>
        <w:t xml:space="preserve">This history demonstrates that IKEA's internationalisation is not based on unrestricted licensing. Instead, the company prioritises </w:t>
      </w:r>
      <w:r>
        <w:rPr>
          <w:rStyle w:val="Strong"/>
        </w:rPr>
        <w:t>controlled franchising</w:t>
      </w:r>
      <w:r>
        <w:t>, selecting operators with sufficient financial capacity, retail expertise, local knowledge and alignment with IKEA's corporate values (IKEA, 2026c). Consequently, IKEA's historical entry pattern combines centralised protection of intellectual and brand assets with market-level operating knowledge.</w:t>
      </w:r>
    </w:p>
    <w:p w14:paraId="41119EB0" w14:textId="77777777" w:rsidR="00A030C0" w:rsidRDefault="00A030C0">
      <w:pPr>
        <w:pStyle w:val="Heading3"/>
        <w:rPr>
          <w:rFonts w:eastAsia="Times New Roman"/>
        </w:rPr>
      </w:pPr>
      <w:r>
        <w:rPr>
          <w:rFonts w:eastAsia="Times New Roman"/>
        </w:rPr>
        <w:t>3.2 Alternative Entry Modes and Critical Evaluation</w:t>
      </w:r>
    </w:p>
    <w:p w14:paraId="5C01A073" w14:textId="77777777" w:rsidR="00A030C0" w:rsidRDefault="00A030C0">
      <w:pPr>
        <w:pStyle w:val="NormalWeb"/>
      </w:pPr>
      <w:r>
        <w:t xml:space="preserve">For South Africa, four realistic alternatives can be considered: </w:t>
      </w:r>
      <w:r>
        <w:rPr>
          <w:rStyle w:val="Strong"/>
        </w:rPr>
        <w:t>exporting/e-commerce, licensing, a joint venture, and controlled franchise-based foreign direct investment</w:t>
      </w:r>
      <w:r>
        <w:t>.</w:t>
      </w:r>
    </w:p>
    <w:p w14:paraId="457545CD" w14:textId="77777777" w:rsidR="00A030C0" w:rsidRDefault="00A030C0">
      <w:pPr>
        <w:pStyle w:val="NormalWeb"/>
      </w:pPr>
      <w:r>
        <w:t xml:space="preserve">An initial </w:t>
      </w:r>
      <w:r>
        <w:rPr>
          <w:rStyle w:val="Strong"/>
        </w:rPr>
        <w:t>exporting and e-commerce strategy</w:t>
      </w:r>
      <w:r>
        <w:t xml:space="preserve"> would involve the lowest level of capital commitment. IKEA could serve South African consumers through online ordering and imported products before developing extensive physical infrastructure. This would enable the company to test demand and collect consumer data while limiting exposure to South Africa's weak economic growth, high unemployment and infrastructure risks. Such an approach is consistent with IKEA's increasing use of </w:t>
      </w:r>
      <w:proofErr w:type="spellStart"/>
      <w:r>
        <w:t>omnichannel</w:t>
      </w:r>
      <w:proofErr w:type="spellEnd"/>
      <w:r>
        <w:t xml:space="preserve"> expansion. In India, for example, IKEA has expanded through online delivery alongside physical stores, Plan and Order Points and distribution infrastructure (IKEA, 2025a).</w:t>
      </w:r>
    </w:p>
    <w:p w14:paraId="3F03A423" w14:textId="77777777" w:rsidR="00A030C0" w:rsidRDefault="00A030C0">
      <w:pPr>
        <w:pStyle w:val="NormalWeb"/>
      </w:pPr>
      <w:r>
        <w:t>However, exporting alone would have substantial weaknesses. Furniture is bulky, and although IKEA's flat-pack model reduces transport volume, international shipping, customs procedures, warehousing and last-mile delivery would still affect costs. This is particularly problematic because affordability is central to IKEA's competitive proposition. IKEA reported that reducing prices contributed to increased customer numbers and sales volumes in FY2025, demonstrating the strategic importance of price competitiveness (IKEA, 2025b). Excessive import and delivery costs could therefore undermine IKEA's ownership advantage in South Africa. Pure e-commerce would also fail to reproduce the physical IKEA experience that allows customers to interact with room displays and products.</w:t>
      </w:r>
    </w:p>
    <w:p w14:paraId="09BCA451" w14:textId="77777777" w:rsidR="00A030C0" w:rsidRDefault="00A030C0">
      <w:pPr>
        <w:pStyle w:val="NormalWeb"/>
      </w:pPr>
      <w:r>
        <w:t xml:space="preserve">A second alternative would be </w:t>
      </w:r>
      <w:r>
        <w:rPr>
          <w:rStyle w:val="Strong"/>
        </w:rPr>
        <w:t>licensing</w:t>
      </w:r>
      <w:r>
        <w:t xml:space="preserve"> the IKEA brand or products to an established South African retailer. Licensing would offer rapid market access and require comparatively little capital. A domestic retailer could also provide valuable knowledge of local customers, property markets, logistics and regulatory conditions. However, this approach offers insufficient control. IKEA's competitive advantage extends beyond individual products to store layout, pricing philosophy, customer experience, supply-chain systems and brand identity. An independent licensee could therefore create inconsistencies in quality or customer experience. This explains why IKEA uses a controlled franchise system rather than unrestricted licensing. Inter IKEA Systems B.V. retains ownership of the IKEA Concept and requires franchisees to follow established systems and methods (IKEA, 2026a).</w:t>
      </w:r>
    </w:p>
    <w:p w14:paraId="24F8637C" w14:textId="77777777" w:rsidR="00A030C0" w:rsidRDefault="00A030C0">
      <w:pPr>
        <w:pStyle w:val="NormalWeb"/>
      </w:pPr>
      <w:r>
        <w:t xml:space="preserve">A </w:t>
      </w:r>
      <w:r>
        <w:rPr>
          <w:rStyle w:val="Strong"/>
        </w:rPr>
        <w:t>joint venture with a South African partner</w:t>
      </w:r>
      <w:r>
        <w:t xml:space="preserve"> represents a more credible alternative. A local partner could provide knowledge of consumer behaviour, property acquisition, employment </w:t>
      </w:r>
      <w:r>
        <w:lastRenderedPageBreak/>
        <w:t>practices, logistics and South Africa's Broad-Based Black Economic Empowerment (B-BBEE) environment. South Africa continues to regard B-BBEE as an important instrument for expanding economic participation (South African Government, 2025). Consequently, partnership with an appropriate South African organisation could strengthen local legitimacy and potentially assist IKEA in supplier development and transformation objectives.</w:t>
      </w:r>
    </w:p>
    <w:p w14:paraId="680D5E64" w14:textId="77777777" w:rsidR="00A030C0" w:rsidRDefault="00A030C0">
      <w:pPr>
        <w:pStyle w:val="NormalWeb"/>
      </w:pPr>
      <w:r>
        <w:t>Nevertheless, a joint venture creates governance challenges. Shared ownership can result in disagreement concerning investment, pricing, localisation and strategic priorities, while IKEA may be reluctant to share substantial control over its proprietary retail concept. Furthermore, South Africa's B-BBEE framework provides equity-equivalent mechanisms in specified circumstances for multinational enterprises whose global practices restrict traditional local equity arrangements (DTIC, 2026). Therefore, a conventional equity joint venture should not automatically be assumed to be the only means of developing local legitimacy.</w:t>
      </w:r>
    </w:p>
    <w:p w14:paraId="63EB1411" w14:textId="77777777" w:rsidR="00A030C0" w:rsidRDefault="00A030C0">
      <w:pPr>
        <w:pStyle w:val="NormalWeb"/>
      </w:pPr>
      <w:r>
        <w:t xml:space="preserve">The strongest alternative is therefore a </w:t>
      </w:r>
      <w:r>
        <w:rPr>
          <w:rStyle w:val="Strong"/>
        </w:rPr>
        <w:t xml:space="preserve">controlled IKEA franchise combined with phased foreign direct investment and an </w:t>
      </w:r>
      <w:proofErr w:type="spellStart"/>
      <w:r>
        <w:rPr>
          <w:rStyle w:val="Strong"/>
        </w:rPr>
        <w:t>omnichannel</w:t>
      </w:r>
      <w:proofErr w:type="spellEnd"/>
      <w:r>
        <w:rPr>
          <w:rStyle w:val="Strong"/>
        </w:rPr>
        <w:t xml:space="preserve"> strategy</w:t>
      </w:r>
      <w:r>
        <w:t>. Franchising is already embedded within IKEA's international organisational architecture. IKEA states that potential franchisees are assessed according to experience, local market knowledge and presence, corporate values and financial capacity to undertake large-scale national retail investment (IKEA, 2026c). This makes the model particularly relevant to South Africa because IKEA requires both strong local knowledge and protection of its globally standardised concept.</w:t>
      </w:r>
    </w:p>
    <w:p w14:paraId="4C6DC60A" w14:textId="77777777" w:rsidR="00A030C0" w:rsidRDefault="00A030C0">
      <w:pPr>
        <w:pStyle w:val="NormalWeb"/>
      </w:pPr>
      <w:r>
        <w:t>Importantly, franchising does not eliminate localisation. IKEA's franchise experience in Morocco demonstrates that local responsiveness can occur within the global concept. The Moroccan franchisee conducted more than 100 home visits and adapted room presentations and service offerings to local preferences; approximately 80% of sales included delivery and assembly because consumers were less attracted to DIY services (IKEA, 2026d). This provides an important lesson for South Africa: IKEA should not assume that Scandinavian or European consumer behaviour will transfer directly.</w:t>
      </w:r>
    </w:p>
    <w:p w14:paraId="2A533CC2" w14:textId="77777777" w:rsidR="00A030C0" w:rsidRDefault="00A030C0">
      <w:pPr>
        <w:pStyle w:val="NormalWeb"/>
      </w:pPr>
      <w:r>
        <w:t xml:space="preserve">The disadvantage is that establishing stores, distribution facilities and digital infrastructure requires substantial investment and exposes the franchisee to currency, demand and logistics risks. Therefore, immediate nationwide expansion would be unnecessarily risky. A phased strategy provides a better balance between </w:t>
      </w:r>
      <w:r>
        <w:rPr>
          <w:rStyle w:val="Strong"/>
        </w:rPr>
        <w:t>control, commitment and flexibility</w:t>
      </w:r>
      <w:r>
        <w:t>.</w:t>
      </w:r>
    </w:p>
    <w:p w14:paraId="564EB11F" w14:textId="77777777" w:rsidR="00A030C0" w:rsidRDefault="00A030C0">
      <w:pPr>
        <w:pStyle w:val="Heading3"/>
        <w:rPr>
          <w:rFonts w:eastAsia="Times New Roman"/>
        </w:rPr>
      </w:pPr>
      <w:r>
        <w:rPr>
          <w:rFonts w:eastAsia="Times New Roman"/>
        </w:rPr>
        <w:t>3.3 Final Recommendation and Conclusion</w:t>
      </w:r>
    </w:p>
    <w:p w14:paraId="23EDD984" w14:textId="77777777" w:rsidR="00A030C0" w:rsidRDefault="00A030C0">
      <w:pPr>
        <w:pStyle w:val="NormalWeb"/>
      </w:pPr>
      <w:r>
        <w:t xml:space="preserve">Based on the macro-environmental analysis and OLI assessment, IKEA should enter South Africa through a </w:t>
      </w:r>
      <w:r>
        <w:rPr>
          <w:rStyle w:val="Strong"/>
        </w:rPr>
        <w:t xml:space="preserve">controlled franchise-based, phased </w:t>
      </w:r>
      <w:proofErr w:type="spellStart"/>
      <w:r>
        <w:rPr>
          <w:rStyle w:val="Strong"/>
        </w:rPr>
        <w:t>omnichannel</w:t>
      </w:r>
      <w:proofErr w:type="spellEnd"/>
      <w:r>
        <w:rPr>
          <w:rStyle w:val="Strong"/>
        </w:rPr>
        <w:t xml:space="preserve"> strategy</w:t>
      </w:r>
      <w:r>
        <w:t>, rather than exporting alone, unrestricted licensing or an immediate nationwide investment programme.</w:t>
      </w:r>
    </w:p>
    <w:p w14:paraId="76BE5BF7" w14:textId="77777777" w:rsidR="00A030C0" w:rsidRDefault="00A030C0">
      <w:pPr>
        <w:pStyle w:val="NormalWeb"/>
      </w:pPr>
      <w:r>
        <w:t xml:space="preserve">Initially, IKEA should prioritise </w:t>
      </w:r>
      <w:r>
        <w:rPr>
          <w:rStyle w:val="Strong"/>
        </w:rPr>
        <w:t>Johannesburg/Gauteng and Cape Town</w:t>
      </w:r>
      <w:r>
        <w:t xml:space="preserve">, where urban concentration and relatively stronger consumer purchasing power provide more favourable conditions for testing demand. Entry should combine e-commerce, collection points, delivery and assembly services with a limited physical presence, followed by larger-format investment once demand has been demonstrated. IKEA's experience in markets such as India shows that </w:t>
      </w:r>
      <w:r>
        <w:lastRenderedPageBreak/>
        <w:t>physical stores can increasingly operate alongside e-commerce, smaller planning formats and distribution infrastructure rather than relying exclusively on the traditional large-store model (IKEA, 2025a).</w:t>
      </w:r>
    </w:p>
    <w:p w14:paraId="7FDB09B7" w14:textId="77777777" w:rsidR="00A030C0" w:rsidRDefault="00A030C0">
      <w:pPr>
        <w:pStyle w:val="NormalWeb"/>
      </w:pPr>
      <w:r>
        <w:t>Localisation should form the second component of the strategy. IKEA should conduct extensive home visits and consumer research before entry, following practices used in other culturally distinctive markets. It should also progressively develop South African sourcing and supplier relationships. This could reduce exposure to international transport costs and currency fluctuations while contributing to B-BBEE objectives and strengthening IKEA's legitimacy within the host market.</w:t>
      </w:r>
    </w:p>
    <w:p w14:paraId="11109C68" w14:textId="77777777" w:rsidR="00A030C0" w:rsidRDefault="00A030C0">
      <w:pPr>
        <w:pStyle w:val="NormalWeb"/>
      </w:pPr>
      <w:r>
        <w:t xml:space="preserve">Overall, South Africa presents </w:t>
      </w:r>
      <w:r>
        <w:rPr>
          <w:rStyle w:val="Strong"/>
        </w:rPr>
        <w:t>significant long-term potential but insufficient certainty to justify aggressive initial investment</w:t>
      </w:r>
      <w:r>
        <w:t>. IKEA's ownership advantages—including its brand, product design, supply-chain capabilities and distinctive retail concept—are transferable, but South Africa's inequality, infrastructure constraints and regulatory environment require local responsiveness. Controlled franchising therefore offers the strongest strategic balance: IKEA can preserve its global concept while benefiting from local knowledge, limiting risk and adapting gradually. A successful South African operation could ultimately provide not only domestic growth but also valuable organisational learning for IKEA's longer-term expansion within Sub-Saharan Africa.</w:t>
      </w:r>
    </w:p>
    <w:p w14:paraId="6D702BA7" w14:textId="77777777" w:rsidR="00DA3F91" w:rsidRDefault="00DA3F91">
      <w:pPr>
        <w:pStyle w:val="Heading1"/>
        <w:rPr>
          <w:rFonts w:eastAsia="Times New Roman"/>
          <w:kern w:val="36"/>
          <w:sz w:val="48"/>
          <w:szCs w:val="48"/>
          <w14:ligatures w14:val="none"/>
        </w:rPr>
      </w:pPr>
      <w:r>
        <w:rPr>
          <w:rFonts w:eastAsia="Times New Roman"/>
        </w:rPr>
        <w:t>Section 2: Critical Reflection</w:t>
      </w:r>
    </w:p>
    <w:p w14:paraId="03479CE2" w14:textId="77777777" w:rsidR="00DA3F91" w:rsidRDefault="00DA3F91">
      <w:pPr>
        <w:pStyle w:val="Heading2"/>
        <w:rPr>
          <w:rFonts w:eastAsia="Times New Roman"/>
        </w:rPr>
      </w:pPr>
      <w:r>
        <w:rPr>
          <w:rFonts w:eastAsia="Times New Roman"/>
        </w:rPr>
        <w:t>Introduction</w:t>
      </w:r>
    </w:p>
    <w:p w14:paraId="6D5A3D46" w14:textId="77777777" w:rsidR="00DA3F91" w:rsidRDefault="00DA3F91">
      <w:pPr>
        <w:pStyle w:val="NormalWeb"/>
      </w:pPr>
      <w:r>
        <w:t xml:space="preserve">This reflection critically evaluates my experience of completing the international market-entry analysis of IKEA's potential expansion into South Africa. I have structured the reflection using </w:t>
      </w:r>
      <w:r>
        <w:rPr>
          <w:rStyle w:val="Strong"/>
        </w:rPr>
        <w:t>Gibbs' Reflective Cycle</w:t>
      </w:r>
      <w:r>
        <w:t>, which provides six interconnected stages: description, feelings, evaluation, analysis, conclusion and action plan (Gibbs, 1988). The framework is appropriate because it moves reflection beyond simply describing an experience towards identifying learning and considering how future practice can be improved. The research process required me to integrate international business theories with contemporary evidence relating to IKEA and South Africa. In doing so, I developed a greater understanding of how theoretical frameworks can support strategic decision-making while also recognising some limitations associated with secondary research.</w:t>
      </w:r>
    </w:p>
    <w:p w14:paraId="39EDA8F5" w14:textId="77777777" w:rsidR="00DA3F91" w:rsidRDefault="00DA3F91">
      <w:pPr>
        <w:pStyle w:val="Heading2"/>
        <w:rPr>
          <w:rFonts w:eastAsia="Times New Roman"/>
        </w:rPr>
      </w:pPr>
      <w:r>
        <w:rPr>
          <w:rFonts w:eastAsia="Times New Roman"/>
        </w:rPr>
        <w:t>Description</w:t>
      </w:r>
    </w:p>
    <w:p w14:paraId="6D779971" w14:textId="77777777" w:rsidR="00DA3F91" w:rsidRDefault="00DA3F91">
      <w:pPr>
        <w:pStyle w:val="NormalWeb"/>
      </w:pPr>
      <w:r>
        <w:t>The task required me to evaluate a multinational organisation and assess its potential entry into a country where it did not have significant operational presence. I selected IKEA as the organisation and South Africa as the proposed host market. My research initially focused on understanding IKEA's international strategy before examining South Africa's political, economic, legal and cultural environment.</w:t>
      </w:r>
    </w:p>
    <w:p w14:paraId="2046671C" w14:textId="77777777" w:rsidR="00DA3F91" w:rsidRDefault="00DA3F91">
      <w:pPr>
        <w:pStyle w:val="NormalWeb"/>
      </w:pPr>
      <w:r>
        <w:lastRenderedPageBreak/>
        <w:t xml:space="preserve">I applied Bartlett and </w:t>
      </w:r>
      <w:proofErr w:type="spellStart"/>
      <w:r>
        <w:t>Ghoshal's</w:t>
      </w:r>
      <w:proofErr w:type="spellEnd"/>
      <w:r>
        <w:t xml:space="preserve"> (1989) framework to classify IKEA's international strategy and subsequently used Dunning's (1988) eclectic paradigm to evaluate its ownership, location and internalisation advantages. I then investigated IKEA's historical international expansion to determine an appropriate entry mode for South Africa.</w:t>
      </w:r>
    </w:p>
    <w:p w14:paraId="47EE5598" w14:textId="77777777" w:rsidR="00DA3F91" w:rsidRDefault="00DA3F91">
      <w:pPr>
        <w:pStyle w:val="NormalWeb"/>
      </w:pPr>
      <w:r>
        <w:t xml:space="preserve">My research relied primarily on secondary information from IKEA corporate publications, South African government sources, international organisations and academic literature. One of the most important methodological lessons was the need to distinguish between </w:t>
      </w:r>
      <w:r>
        <w:rPr>
          <w:rStyle w:val="Strong"/>
        </w:rPr>
        <w:t>theoretical sources and contemporary evidence</w:t>
      </w:r>
      <w:r>
        <w:t xml:space="preserve">. Seminal academic literature was appropriate for explaining established frameworks such as Bartlett and </w:t>
      </w:r>
      <w:proofErr w:type="spellStart"/>
      <w:r>
        <w:t>Ghoshal</w:t>
      </w:r>
      <w:proofErr w:type="spellEnd"/>
      <w:r>
        <w:t xml:space="preserve"> and Dunning, whereas recent institutional and corporate information was required to evaluate current market conditions.</w:t>
      </w:r>
    </w:p>
    <w:p w14:paraId="1D567972" w14:textId="77777777" w:rsidR="00DA3F91" w:rsidRDefault="00DA3F91">
      <w:pPr>
        <w:pStyle w:val="Heading2"/>
        <w:rPr>
          <w:rFonts w:eastAsia="Times New Roman"/>
        </w:rPr>
      </w:pPr>
      <w:r>
        <w:rPr>
          <w:rFonts w:eastAsia="Times New Roman"/>
        </w:rPr>
        <w:t>Feelings</w:t>
      </w:r>
    </w:p>
    <w:p w14:paraId="197DB9FF" w14:textId="77777777" w:rsidR="00DA3F91" w:rsidRDefault="00DA3F91">
      <w:pPr>
        <w:pStyle w:val="NormalWeb"/>
      </w:pPr>
      <w:r>
        <w:t>At the beginning of the research process, I found the breadth of the assignment challenging because several theoretical concepts needed to be connected rather than discussed independently. Initially, I approached political, economic, legal and cultural analysis as separate areas and was tempted to collect as much information about South Africa as possible. However, I gradually realised that including information merely because it was available would make the report descriptive rather than strategically relevant.</w:t>
      </w:r>
    </w:p>
    <w:p w14:paraId="07552C3B" w14:textId="77777777" w:rsidR="00DA3F91" w:rsidRDefault="00DA3F91">
      <w:pPr>
        <w:pStyle w:val="NormalWeb"/>
      </w:pPr>
      <w:r>
        <w:t>I also became more aware of the importance of verifying information. Selecting a host country appeared straightforward initially, but establishing whether IKEA had a significant operational presence required careful checking. This made me recognise that assumptions based on general knowledge can weaken academic research. As the analysis developed, I became more confident in filtering evidence according to its relevance to IKEA rather than attempting to include every available statistic.</w:t>
      </w:r>
    </w:p>
    <w:p w14:paraId="698E7693" w14:textId="77777777" w:rsidR="00DA3F91" w:rsidRDefault="00DA3F91">
      <w:pPr>
        <w:pStyle w:val="Heading2"/>
        <w:rPr>
          <w:rFonts w:eastAsia="Times New Roman"/>
        </w:rPr>
      </w:pPr>
      <w:r>
        <w:rPr>
          <w:rFonts w:eastAsia="Times New Roman"/>
        </w:rPr>
        <w:t>Evaluation</w:t>
      </w:r>
    </w:p>
    <w:p w14:paraId="1967C683" w14:textId="77777777" w:rsidR="00DA3F91" w:rsidRDefault="00DA3F91">
      <w:pPr>
        <w:pStyle w:val="NormalWeb"/>
      </w:pPr>
      <w:r>
        <w:t>One aspect that worked effectively was combining multiple types of sources. IKEA's corporate information was particularly useful for understanding its franchise system, international footprint and organisational model. Government and institutional sources were more appropriate for evaluating South African regulation and economic conditions. Academic literature provided the theoretical foundation needed to interpret this evidence.</w:t>
      </w:r>
    </w:p>
    <w:p w14:paraId="3D3752A7" w14:textId="77777777" w:rsidR="00DA3F91" w:rsidRDefault="00DA3F91">
      <w:pPr>
        <w:pStyle w:val="NormalWeb"/>
      </w:pPr>
      <w:r>
        <w:t xml:space="preserve">The use of established frameworks also strengthened the organisation of the research. Bartlett and </w:t>
      </w:r>
      <w:proofErr w:type="spellStart"/>
      <w:r>
        <w:t>Ghoshal's</w:t>
      </w:r>
      <w:proofErr w:type="spellEnd"/>
      <w:r>
        <w:t xml:space="preserve"> (1989) framework encouraged me to consider the relationship between global integration and local responsiveness instead of simply describing IKEA as an international company. Similarly, Dunning's (1988) OLI framework encouraged a more structured assessment of whether IKEA possesses transferable competitive advantages, whether South Africa provides sufficient location advantages and whether IKEA should maintain control over its firm-specific capabilities.</w:t>
      </w:r>
    </w:p>
    <w:p w14:paraId="0E6A99F4" w14:textId="77777777" w:rsidR="00DA3F91" w:rsidRDefault="00DA3F91">
      <w:pPr>
        <w:pStyle w:val="NormalWeb"/>
      </w:pPr>
      <w:r>
        <w:lastRenderedPageBreak/>
        <w:t>However, there were limitations. Heavy dependence on secondary information means that the analysis cannot directly demonstrate South African consumers' willingness to purchase IKEA products. Furthermore, company publications naturally present IKEA from the organisation's own perspective and may emphasise positive aspects of its international strategy. This highlighted the importance of triangulating corporate evidence with independent academic, governmental and institutional sources.</w:t>
      </w:r>
    </w:p>
    <w:p w14:paraId="2AA0CB7B" w14:textId="77777777" w:rsidR="00DA3F91" w:rsidRDefault="00DA3F91">
      <w:pPr>
        <w:pStyle w:val="Heading2"/>
        <w:rPr>
          <w:rFonts w:eastAsia="Times New Roman"/>
        </w:rPr>
      </w:pPr>
      <w:r>
        <w:rPr>
          <w:rFonts w:eastAsia="Times New Roman"/>
        </w:rPr>
        <w:t>Analysis</w:t>
      </w:r>
    </w:p>
    <w:p w14:paraId="75AAFD1B" w14:textId="77777777" w:rsidR="00DA3F91" w:rsidRDefault="00DA3F91">
      <w:pPr>
        <w:pStyle w:val="NormalWeb"/>
      </w:pPr>
      <w:r>
        <w:t xml:space="preserve">The most significant learning from the assignment was the difference between </w:t>
      </w:r>
      <w:r>
        <w:rPr>
          <w:rStyle w:val="Strong"/>
        </w:rPr>
        <w:t>description and critical analysis</w:t>
      </w:r>
      <w:r>
        <w:t>. Initially, I considered statistics such as GDP, unemployment and population as evidence of market attractiveness in themselves. Through the research process, I realised that these indicators become strategically meaningful only when connected to IKEA's business model. For example, a large economy may suggest considerable potential demand, but South Africa's unemployment and inequality complicate this conclusion because IKEA's value proposition depends upon affordability for a broad consumer market.</w:t>
      </w:r>
    </w:p>
    <w:p w14:paraId="3BBCE354" w14:textId="77777777" w:rsidR="00DA3F91" w:rsidRDefault="00DA3F91">
      <w:pPr>
        <w:pStyle w:val="NormalWeb"/>
      </w:pPr>
      <w:r>
        <w:t xml:space="preserve">The assignment also changed my understanding of internationalisation. I previously viewed international expansion mainly as the geographical replication of a successful domestic business model. However, Bartlett and </w:t>
      </w:r>
      <w:proofErr w:type="spellStart"/>
      <w:r>
        <w:t>Ghoshal</w:t>
      </w:r>
      <w:proofErr w:type="spellEnd"/>
      <w:r>
        <w:t xml:space="preserve"> (1989) demonstrate that multinational organisations must manage competing pressures for global efficiency and local responsiveness. IKEA illustrates this tension because maintaining a consistent global concept provides economies of scale and brand recognition, while differences in consumer behaviour may require adaptation in services, marketing and product presentation.</w:t>
      </w:r>
    </w:p>
    <w:p w14:paraId="5869E45B" w14:textId="77777777" w:rsidR="00DA3F91" w:rsidRDefault="00DA3F91">
      <w:pPr>
        <w:pStyle w:val="NormalWeb"/>
      </w:pPr>
      <w:r>
        <w:t>Dunning's (1988) framework further developed my understanding by demonstrating that an attractive country alone does not justify foreign direct investment. The strategic decision depends upon the interaction between firm-specific ownership advantages, host-country location advantages and the benefits of internalising activities. Applying this framework to IKEA made me recognise that its brand, design philosophy and supply-chain capabilities have limited strategic value if local conditions prevent these advantages from being transferred profitably.</w:t>
      </w:r>
    </w:p>
    <w:p w14:paraId="716A64E7" w14:textId="77777777" w:rsidR="00DA3F91" w:rsidRDefault="00DA3F91">
      <w:pPr>
        <w:pStyle w:val="NormalWeb"/>
      </w:pPr>
      <w:r>
        <w:t xml:space="preserve">Another important learning outcome concerned entry-mode selection. Before completing the research, I viewed exporting, franchising, joint ventures and wholly owned subsidiaries primarily as alternative methods of entering a country. I now understand that entry modes represent different combinations of </w:t>
      </w:r>
      <w:r>
        <w:rPr>
          <w:rStyle w:val="Strong"/>
        </w:rPr>
        <w:t>risk, control, resource commitment and local knowledge</w:t>
      </w:r>
      <w:r>
        <w:t>. Consequently, the most appropriate entry mode is not necessarily the one a company has historically used most frequently. It should instead reflect both organisational capabilities and host-country conditions.</w:t>
      </w:r>
    </w:p>
    <w:p w14:paraId="19ADD6B3" w14:textId="77777777" w:rsidR="00DA3F91" w:rsidRDefault="00DA3F91">
      <w:pPr>
        <w:pStyle w:val="NormalWeb"/>
      </w:pPr>
      <w:r>
        <w:t>This experience reflects the broader principle of experiential learning. Kolb (1984) conceptualises learning as a process involving experience, reflective observation, conceptualisation and subsequent experimentation. Although this assignment was academic rather than operational, applying international business theories to an actual company and potential market enabled me to move from understanding theoretical definitions towards evaluating their practical strategic implications.</w:t>
      </w:r>
    </w:p>
    <w:p w14:paraId="3D125058" w14:textId="77777777" w:rsidR="00DA3F91" w:rsidRDefault="00DA3F91">
      <w:pPr>
        <w:pStyle w:val="Heading2"/>
        <w:rPr>
          <w:rFonts w:eastAsia="Times New Roman"/>
        </w:rPr>
      </w:pPr>
      <w:r>
        <w:rPr>
          <w:rFonts w:eastAsia="Times New Roman"/>
        </w:rPr>
        <w:lastRenderedPageBreak/>
        <w:t>Conclusion</w:t>
      </w:r>
    </w:p>
    <w:p w14:paraId="02A1061B" w14:textId="77777777" w:rsidR="00DA3F91" w:rsidRDefault="00DA3F91">
      <w:pPr>
        <w:pStyle w:val="NormalWeb"/>
      </w:pPr>
      <w:r>
        <w:t>Overall, completing the assignment developed both my research capabilities and my understanding of international business strategy. The most important development was learning to move beyond collecting information towards questioning its strategic significance. I learned that credible international market analysis requires evidence to be evaluated in relation to the company's particular business model rather than treating favourable economic indicators as automatic evidence of attractiveness.</w:t>
      </w:r>
    </w:p>
    <w:p w14:paraId="7673EDE1" w14:textId="77777777" w:rsidR="00DA3F91" w:rsidRDefault="00DA3F91">
      <w:pPr>
        <w:pStyle w:val="NormalWeb"/>
      </w:pPr>
      <w:r>
        <w:t>I also recognised limitations in my approach, particularly the dependence on secondary data and the potential bias associated with corporate sources. Nevertheless, combining theoretical literature with contemporary institutional evidence allowed me to develop a more balanced assessment. Most importantly, the process demonstrated that international market-entry decisions involve interconnected strategic choices rather than independent analyses of a company, country and entry mode.</w:t>
      </w:r>
    </w:p>
    <w:p w14:paraId="5879DA28" w14:textId="77777777" w:rsidR="00DA3F91" w:rsidRDefault="00DA3F91">
      <w:pPr>
        <w:pStyle w:val="Heading2"/>
        <w:rPr>
          <w:rFonts w:eastAsia="Times New Roman"/>
        </w:rPr>
      </w:pPr>
      <w:r>
        <w:rPr>
          <w:rFonts w:eastAsia="Times New Roman"/>
        </w:rPr>
        <w:t>Action Plan</w:t>
      </w:r>
    </w:p>
    <w:p w14:paraId="55B3263E" w14:textId="77777777" w:rsidR="00DA3F91" w:rsidRDefault="00DA3F91">
      <w:pPr>
        <w:pStyle w:val="NormalWeb"/>
      </w:pPr>
      <w:r>
        <w:t>For future assignments, I will adopt a more systematic research process from the beginning. First, I will establish clear research questions before collecting information so that evidence is selected according to strategic relevance. Second, I will create a source hierarchy that prioritises peer-reviewed academic research for theoretical arguments, government and international institutional publications for economic and regulatory evidence, and corporate reports for company-specific information.</w:t>
      </w:r>
    </w:p>
    <w:p w14:paraId="54CF0013" w14:textId="77777777" w:rsidR="00DA3F91" w:rsidRDefault="00DA3F91">
      <w:pPr>
        <w:pStyle w:val="NormalWeb"/>
      </w:pPr>
      <w:r>
        <w:t>I will also improve source triangulation by verifying significant claims through more than one credible source where possible. Where time and assignment requirements permit, I would incorporate primary research, such as interviews, questionnaires or consumer surveys, to complement secondary evidence and investigate market-specific consumer behaviour.</w:t>
      </w:r>
    </w:p>
    <w:p w14:paraId="2442B3CB" w14:textId="77777777" w:rsidR="00DA3F91" w:rsidRDefault="00DA3F91">
      <w:pPr>
        <w:pStyle w:val="NormalWeb"/>
      </w:pPr>
      <w:r>
        <w:t xml:space="preserve">Finally, I will apply theoretical frameworks as </w:t>
      </w:r>
      <w:r>
        <w:rPr>
          <w:rStyle w:val="Strong"/>
        </w:rPr>
        <w:t>analytical tools rather than descriptive templates</w:t>
      </w:r>
      <w:r>
        <w:t>. Instead of completing PEST-type categories independently, I will continuously ask how each factor affects the organisation's competitive advantages, risks and strategic choices. This approach should allow future work to demonstrate stronger critical thinking, clearer synthesis and more evidence-based recommendations. In this respect, reflection becomes part of an ongoing learning process rather than simply the final stage of an assignment, consistent with Gibbs' (1988) emphasis on learning from experience and improving subsequent action.</w:t>
      </w:r>
    </w:p>
    <w:p w14:paraId="11B2EF14" w14:textId="77777777" w:rsidR="00A030C0" w:rsidRDefault="00A030C0">
      <w:pPr>
        <w:pStyle w:val="NormalWeb"/>
      </w:pPr>
    </w:p>
    <w:p w14:paraId="53C4CE64" w14:textId="77777777" w:rsidR="00CD5B05" w:rsidRDefault="00CD5B05">
      <w:pPr>
        <w:pStyle w:val="NormalWeb"/>
      </w:pPr>
    </w:p>
    <w:p w14:paraId="45A36422" w14:textId="77777777" w:rsidR="00C64044" w:rsidRDefault="00C64044">
      <w:pPr>
        <w:pStyle w:val="NormalWeb"/>
      </w:pPr>
    </w:p>
    <w:p w14:paraId="62EB420C" w14:textId="77777777" w:rsidR="00FF033A" w:rsidRDefault="00FF033A">
      <w:pPr>
        <w:pStyle w:val="Heading1"/>
        <w:rPr>
          <w:rFonts w:eastAsia="Times New Roman"/>
          <w:kern w:val="36"/>
          <w:sz w:val="48"/>
          <w:szCs w:val="48"/>
          <w14:ligatures w14:val="none"/>
        </w:rPr>
      </w:pPr>
      <w:r>
        <w:rPr>
          <w:rFonts w:eastAsia="Times New Roman"/>
        </w:rPr>
        <w:lastRenderedPageBreak/>
        <w:t>References</w:t>
      </w:r>
    </w:p>
    <w:p w14:paraId="7651AA29" w14:textId="77777777" w:rsidR="00FF033A" w:rsidRDefault="00FF033A">
      <w:pPr>
        <w:pStyle w:val="NormalWeb"/>
      </w:pPr>
      <w:r>
        <w:t xml:space="preserve">Bartlett, C.A. and </w:t>
      </w:r>
      <w:proofErr w:type="spellStart"/>
      <w:r>
        <w:t>Ghoshal</w:t>
      </w:r>
      <w:proofErr w:type="spellEnd"/>
      <w:r>
        <w:t xml:space="preserve">, S. (1989) </w:t>
      </w:r>
      <w:r>
        <w:rPr>
          <w:rStyle w:val="Emphasis"/>
        </w:rPr>
        <w:t>Managing Across Borders: The Transnational Solution</w:t>
      </w:r>
      <w:r>
        <w:t>. Boston, MA: Harvard Business School Press.</w:t>
      </w:r>
    </w:p>
    <w:p w14:paraId="35F9E500" w14:textId="77777777" w:rsidR="00FF033A" w:rsidRDefault="00FF033A">
      <w:pPr>
        <w:pStyle w:val="NormalWeb"/>
      </w:pPr>
      <w:r>
        <w:t xml:space="preserve">Department of Employment and Labour (2026) ‘Minister of Employment and Labour, Meth increases the statutory National Minimum Wage to R30,23 per hour’, 3 February. Available at: </w:t>
      </w:r>
      <w:hyperlink r:id="rId7" w:history="1">
        <w:r>
          <w:rPr>
            <w:rStyle w:val="Hyperlink"/>
          </w:rPr>
          <w:t>https://www.labour.gov.za/Media-Desk/Media-Statements/Pages/Minister-of-Employment-and-Labour%2C-Meth-increases-the-statutory-National-Minimum-Wage-to-R30%2C23-per-hour.aspx</w:t>
        </w:r>
      </w:hyperlink>
      <w:r>
        <w:t xml:space="preserve"> (Accessed: 12 August 2026).</w:t>
      </w:r>
    </w:p>
    <w:p w14:paraId="4ED2FF73" w14:textId="77777777" w:rsidR="00FF033A" w:rsidRDefault="00FF033A">
      <w:pPr>
        <w:pStyle w:val="NormalWeb"/>
      </w:pPr>
      <w:r>
        <w:t xml:space="preserve">Department of Trade, Industry and Competition (DTIC) (2026) </w:t>
      </w:r>
      <w:r>
        <w:rPr>
          <w:rStyle w:val="Emphasis"/>
        </w:rPr>
        <w:t>Broad-Based Black Economic Empowerment</w:t>
      </w:r>
      <w:r>
        <w:t xml:space="preserve">. Pretoria: Department of Trade, Industry and Competition. Available at: </w:t>
      </w:r>
      <w:hyperlink r:id="rId8" w:history="1">
        <w:r>
          <w:rPr>
            <w:rStyle w:val="Hyperlink"/>
          </w:rPr>
          <w:t>https://www.thedtic.gov.za/financial-and-non-financial-support/b-bbee/</w:t>
        </w:r>
      </w:hyperlink>
      <w:r>
        <w:t xml:space="preserve"> (Accessed: 12 August 2026).</w:t>
      </w:r>
    </w:p>
    <w:p w14:paraId="0F9EBF70" w14:textId="77777777" w:rsidR="00FF033A" w:rsidRDefault="00FF033A">
      <w:pPr>
        <w:pStyle w:val="NormalWeb"/>
      </w:pPr>
      <w:proofErr w:type="spellStart"/>
      <w:r>
        <w:t>Dimitrov</w:t>
      </w:r>
      <w:proofErr w:type="spellEnd"/>
      <w:r>
        <w:t xml:space="preserve">, K. (2018) ‘Geert Hofstede et al.’s set of national cultural dimensions – popularity and criticisms’, </w:t>
      </w:r>
      <w:r>
        <w:rPr>
          <w:rStyle w:val="Emphasis"/>
        </w:rPr>
        <w:t>Economic Alternatives</w:t>
      </w:r>
      <w:r>
        <w:t>, 2, pp. 30–60.</w:t>
      </w:r>
    </w:p>
    <w:p w14:paraId="5822EB4D" w14:textId="77777777" w:rsidR="00FF033A" w:rsidRDefault="00FF033A">
      <w:pPr>
        <w:pStyle w:val="NormalWeb"/>
      </w:pPr>
      <w:r>
        <w:t xml:space="preserve">Dunning, J.H. (1988) ‘The eclectic paradigm of international production: A restatement and some possible extensions’, </w:t>
      </w:r>
      <w:r>
        <w:rPr>
          <w:rStyle w:val="Emphasis"/>
        </w:rPr>
        <w:t>Journal of International Business Studies</w:t>
      </w:r>
      <w:r>
        <w:t xml:space="preserve">, 19(1), pp. 1–31. </w:t>
      </w:r>
      <w:proofErr w:type="spellStart"/>
      <w:r>
        <w:t>doi</w:t>
      </w:r>
      <w:proofErr w:type="spellEnd"/>
      <w:r>
        <w:t>: 10.1057/palgrave.jibs.8490372.</w:t>
      </w:r>
    </w:p>
    <w:p w14:paraId="4EA9CAFA" w14:textId="77777777" w:rsidR="00FF033A" w:rsidRDefault="00FF033A">
      <w:pPr>
        <w:pStyle w:val="NormalWeb"/>
      </w:pPr>
      <w:r>
        <w:t xml:space="preserve">Gibbs, G. (1988) </w:t>
      </w:r>
      <w:r>
        <w:rPr>
          <w:rStyle w:val="Emphasis"/>
        </w:rPr>
        <w:t>Learning by Doing: A Guide to Teaching and Learning Methods</w:t>
      </w:r>
      <w:r>
        <w:t>. Oxford: Further Education Unit, Oxford Polytechnic.</w:t>
      </w:r>
    </w:p>
    <w:p w14:paraId="62DCC923" w14:textId="77777777" w:rsidR="00FF033A" w:rsidRDefault="00FF033A">
      <w:pPr>
        <w:pStyle w:val="NormalWeb"/>
      </w:pPr>
      <w:r>
        <w:t xml:space="preserve">IKEA (2017) ‘IKEA to South Africa for a design collaboration on urban modern rituals’, </w:t>
      </w:r>
      <w:r>
        <w:rPr>
          <w:rStyle w:val="Emphasis"/>
        </w:rPr>
        <w:t>IKEA Global</w:t>
      </w:r>
      <w:r>
        <w:t xml:space="preserve">, 9 February. Available at: </w:t>
      </w:r>
      <w:hyperlink r:id="rId9" w:history="1">
        <w:r>
          <w:rPr>
            <w:rStyle w:val="Hyperlink"/>
          </w:rPr>
          <w:t>https://www.ikea.com/global/en/newsroom/collaborations/collaborations/ikea-to-south-africa-for-a-design-collaboration-on-urban-modern-rituals-170209/</w:t>
        </w:r>
      </w:hyperlink>
      <w:r>
        <w:t xml:space="preserve"> (Accessed: 12 August 2026).</w:t>
      </w:r>
    </w:p>
    <w:p w14:paraId="4B1D2845" w14:textId="77777777" w:rsidR="00FF033A" w:rsidRDefault="00FF033A">
      <w:pPr>
        <w:pStyle w:val="NormalWeb"/>
      </w:pPr>
      <w:r>
        <w:t xml:space="preserve">IKEA (2018) ‘IKEA meets customers on a new continent’, </w:t>
      </w:r>
      <w:r>
        <w:rPr>
          <w:rStyle w:val="Emphasis"/>
        </w:rPr>
        <w:t>IKEA Global</w:t>
      </w:r>
      <w:r>
        <w:t xml:space="preserve">, 17 May. Available at: </w:t>
      </w:r>
      <w:hyperlink r:id="rId10" w:history="1">
        <w:r>
          <w:rPr>
            <w:rStyle w:val="Hyperlink"/>
          </w:rPr>
          <w:t>https://www.ikea.com/global/en/newsroom/retail/ikea-meets-customers-on-a-new-continent-180517/</w:t>
        </w:r>
      </w:hyperlink>
      <w:r>
        <w:t xml:space="preserve"> (Accessed: 12 August 2026).</w:t>
      </w:r>
    </w:p>
    <w:p w14:paraId="389EAFC4" w14:textId="77777777" w:rsidR="00FF033A" w:rsidRDefault="00FF033A">
      <w:pPr>
        <w:pStyle w:val="NormalWeb"/>
      </w:pPr>
      <w:r>
        <w:t xml:space="preserve">IKEA (2025a) </w:t>
      </w:r>
      <w:r>
        <w:rPr>
          <w:rStyle w:val="Emphasis"/>
        </w:rPr>
        <w:t>How we work</w:t>
      </w:r>
      <w:r>
        <w:t xml:space="preserve">. IKEA Global. Available at: </w:t>
      </w:r>
      <w:hyperlink r:id="rId11" w:history="1">
        <w:r>
          <w:rPr>
            <w:rStyle w:val="Hyperlink"/>
          </w:rPr>
          <w:t>https://www.ikea.com/global/en/our-business/how-we-work/</w:t>
        </w:r>
      </w:hyperlink>
      <w:r>
        <w:t xml:space="preserve"> (Accessed: 12 August 2026).</w:t>
      </w:r>
    </w:p>
    <w:p w14:paraId="3AC9BDBB" w14:textId="77777777" w:rsidR="00FF033A" w:rsidRDefault="00FF033A">
      <w:pPr>
        <w:pStyle w:val="NormalWeb"/>
      </w:pPr>
      <w:r>
        <w:t xml:space="preserve">IKEA (2025b) ‘IKEA reports stable sales with increased volumes and customers, based on lower prices introduced in FY24’, </w:t>
      </w:r>
      <w:r>
        <w:rPr>
          <w:rStyle w:val="Emphasis"/>
        </w:rPr>
        <w:t>IKEA Global</w:t>
      </w:r>
      <w:r>
        <w:t xml:space="preserve">, 16 October. Available at: </w:t>
      </w:r>
      <w:hyperlink r:id="rId12" w:history="1">
        <w:r>
          <w:rPr>
            <w:rStyle w:val="Hyperlink"/>
          </w:rPr>
          <w:t>https://www.ikea.com/global/en/newsroom/corporate/ikea-retail-sales-fy25-251016/</w:t>
        </w:r>
      </w:hyperlink>
      <w:r>
        <w:t xml:space="preserve"> (Accessed: 12 August 2026).</w:t>
      </w:r>
    </w:p>
    <w:p w14:paraId="68808C5E" w14:textId="77777777" w:rsidR="00FF033A" w:rsidRDefault="00FF033A">
      <w:pPr>
        <w:pStyle w:val="NormalWeb"/>
      </w:pPr>
      <w:r>
        <w:lastRenderedPageBreak/>
        <w:t xml:space="preserve">IKEA (2026a) </w:t>
      </w:r>
      <w:r>
        <w:rPr>
          <w:rStyle w:val="Emphasis"/>
        </w:rPr>
        <w:t>The IKEA franchise system</w:t>
      </w:r>
      <w:r>
        <w:t xml:space="preserve">. IKEA Global. Available at: </w:t>
      </w:r>
      <w:hyperlink r:id="rId13" w:history="1">
        <w:r>
          <w:rPr>
            <w:rStyle w:val="Hyperlink"/>
          </w:rPr>
          <w:t>https://www.ikea.com/global/en/our-business/how-we-work/the-ikea-franchise-system/</w:t>
        </w:r>
      </w:hyperlink>
      <w:r>
        <w:t xml:space="preserve"> (Accessed: 12 August 2026).</w:t>
      </w:r>
    </w:p>
    <w:p w14:paraId="2695DF65" w14:textId="77777777" w:rsidR="00FF033A" w:rsidRDefault="00FF033A">
      <w:pPr>
        <w:pStyle w:val="NormalWeb"/>
      </w:pPr>
      <w:r>
        <w:t xml:space="preserve">IKEA (2026b) </w:t>
      </w:r>
      <w:r>
        <w:rPr>
          <w:rStyle w:val="Emphasis"/>
        </w:rPr>
        <w:t>What’s it like to be an IKEA franchisee?</w:t>
      </w:r>
      <w:r>
        <w:t xml:space="preserve"> IKEA Global. Available at: </w:t>
      </w:r>
      <w:hyperlink r:id="rId14" w:history="1">
        <w:r>
          <w:rPr>
            <w:rStyle w:val="Hyperlink"/>
          </w:rPr>
          <w:t>https://www.ikea.com/global/en/our-business/how-we-work/what-is-it-like-to-be-an-ikea-franchisee/</w:t>
        </w:r>
      </w:hyperlink>
      <w:r>
        <w:t xml:space="preserve"> (Accessed: 12 August 2026).</w:t>
      </w:r>
    </w:p>
    <w:p w14:paraId="5EA7F916" w14:textId="77777777" w:rsidR="00FF033A" w:rsidRDefault="00FF033A">
      <w:pPr>
        <w:pStyle w:val="NormalWeb"/>
      </w:pPr>
      <w:r>
        <w:t xml:space="preserve">International Monetary Fund (IMF) (2026) </w:t>
      </w:r>
      <w:r>
        <w:rPr>
          <w:rStyle w:val="Emphasis"/>
        </w:rPr>
        <w:t>South Africa: 2025 Article IV Consultation – Press Release; Staff Report; and Statement by the Executive Director for South Africa</w:t>
      </w:r>
      <w:r>
        <w:t xml:space="preserve">. IMF Country Report No. 26/034. Washington, DC: International Monetary Fund. Available at: </w:t>
      </w:r>
      <w:hyperlink r:id="rId15" w:history="1">
        <w:r>
          <w:rPr>
            <w:rStyle w:val="Hyperlink"/>
          </w:rPr>
          <w:t>https://www.imf.org/en/publications/cr/issues/2026/02/10/south-africa-2025-article-iv-consultation-press-release-staff-report-and-statement-by-the-573842</w:t>
        </w:r>
      </w:hyperlink>
      <w:r>
        <w:t xml:space="preserve"> (Accessed: 12 August 2026). </w:t>
      </w:r>
      <w:proofErr w:type="spellStart"/>
      <w:r>
        <w:t>doi</w:t>
      </w:r>
      <w:proofErr w:type="spellEnd"/>
      <w:r>
        <w:t>: 10.5089/9798229037372.002.</w:t>
      </w:r>
    </w:p>
    <w:p w14:paraId="6D0BA133" w14:textId="77777777" w:rsidR="00FF033A" w:rsidRDefault="00FF033A">
      <w:pPr>
        <w:pStyle w:val="NormalWeb"/>
      </w:pPr>
      <w:r>
        <w:t xml:space="preserve">Kolb, D.A. (1984) </w:t>
      </w:r>
      <w:r>
        <w:rPr>
          <w:rStyle w:val="Emphasis"/>
        </w:rPr>
        <w:t>Experiential Learning: Experience as the Source of Learning and Development</w:t>
      </w:r>
      <w:r>
        <w:t>. Englewood Cliffs, NJ: Prentice-Hall.</w:t>
      </w:r>
    </w:p>
    <w:p w14:paraId="7234040E" w14:textId="77777777" w:rsidR="00FF033A" w:rsidRDefault="00FF033A">
      <w:pPr>
        <w:pStyle w:val="NormalWeb"/>
      </w:pPr>
      <w:r>
        <w:t xml:space="preserve">South African Government (2008a) </w:t>
      </w:r>
      <w:r>
        <w:rPr>
          <w:rStyle w:val="Emphasis"/>
        </w:rPr>
        <w:t>Companies Act 71 of 2008</w:t>
      </w:r>
      <w:r>
        <w:t xml:space="preserve">. Pretoria: Government of South Africa. Available at: </w:t>
      </w:r>
      <w:hyperlink r:id="rId16" w:history="1">
        <w:r>
          <w:rPr>
            <w:rStyle w:val="Hyperlink"/>
          </w:rPr>
          <w:t>https://www.gov.za/documents/companies-act</w:t>
        </w:r>
      </w:hyperlink>
      <w:r>
        <w:t xml:space="preserve"> (Accessed: 12 August 2026).</w:t>
      </w:r>
    </w:p>
    <w:p w14:paraId="508C87E5" w14:textId="77777777" w:rsidR="00FF033A" w:rsidRDefault="00FF033A">
      <w:pPr>
        <w:pStyle w:val="NormalWeb"/>
      </w:pPr>
      <w:r>
        <w:t xml:space="preserve">South African Government (2008b) </w:t>
      </w:r>
      <w:r>
        <w:rPr>
          <w:rStyle w:val="Emphasis"/>
        </w:rPr>
        <w:t>Consumer Protection Act 68 of 2008</w:t>
      </w:r>
      <w:r>
        <w:t xml:space="preserve">. Pretoria: Government of South Africa. Available at: </w:t>
      </w:r>
      <w:hyperlink r:id="rId17" w:history="1">
        <w:r>
          <w:rPr>
            <w:rStyle w:val="Hyperlink"/>
          </w:rPr>
          <w:t>https://www.gov.za/documents/consumer-protection-act</w:t>
        </w:r>
      </w:hyperlink>
      <w:r>
        <w:t xml:space="preserve"> (Accessed: 12 August 2026).</w:t>
      </w:r>
    </w:p>
    <w:p w14:paraId="3A462AF1" w14:textId="77777777" w:rsidR="00FF033A" w:rsidRDefault="00FF033A">
      <w:pPr>
        <w:pStyle w:val="NormalWeb"/>
      </w:pPr>
      <w:r>
        <w:t xml:space="preserve">South African Government (2013) </w:t>
      </w:r>
      <w:r>
        <w:rPr>
          <w:rStyle w:val="Emphasis"/>
        </w:rPr>
        <w:t>Protection of Personal Information Act 4 of 2013</w:t>
      </w:r>
      <w:r>
        <w:t xml:space="preserve">. Pretoria: Government of South Africa. Available at: </w:t>
      </w:r>
      <w:hyperlink r:id="rId18" w:history="1">
        <w:r>
          <w:rPr>
            <w:rStyle w:val="Hyperlink"/>
          </w:rPr>
          <w:t>https://www.gov.za/documents/protection-personal-information-act</w:t>
        </w:r>
      </w:hyperlink>
      <w:r>
        <w:t xml:space="preserve"> (Accessed: 12 August 2026).</w:t>
      </w:r>
    </w:p>
    <w:p w14:paraId="30EA35B8" w14:textId="77777777" w:rsidR="00FF033A" w:rsidRDefault="00FF033A">
      <w:pPr>
        <w:pStyle w:val="NormalWeb"/>
      </w:pPr>
      <w:r>
        <w:t xml:space="preserve">South African Government (2023) </w:t>
      </w:r>
      <w:r>
        <w:rPr>
          <w:rStyle w:val="Emphasis"/>
        </w:rPr>
        <w:t>Employment Equity Amendment Act 4 of 2022</w:t>
      </w:r>
      <w:r>
        <w:t xml:space="preserve">. Pretoria: Government of South Africa. Available at: </w:t>
      </w:r>
      <w:hyperlink r:id="rId19" w:history="1">
        <w:r>
          <w:rPr>
            <w:rStyle w:val="Hyperlink"/>
          </w:rPr>
          <w:t>https://www.gov.za/documents/employment-equity-amendment-act-4-2022-english-isixhosa-14-apr-2023-0000</w:t>
        </w:r>
      </w:hyperlink>
      <w:r>
        <w:t xml:space="preserve"> (Accessed: 12 August 2026).</w:t>
      </w:r>
    </w:p>
    <w:p w14:paraId="241BA957" w14:textId="77777777" w:rsidR="00FF033A" w:rsidRDefault="00FF033A">
      <w:pPr>
        <w:pStyle w:val="NormalWeb"/>
      </w:pPr>
      <w:r>
        <w:t xml:space="preserve">South African Government (2025) ‘Government on B-BBEE policy’, 21 October. Available at: </w:t>
      </w:r>
      <w:hyperlink r:id="rId20" w:history="1">
        <w:r>
          <w:rPr>
            <w:rStyle w:val="Hyperlink"/>
          </w:rPr>
          <w:t>https://www.gov.za/news/media-statements/government-b-bbee-policy-21-oct-2025</w:t>
        </w:r>
      </w:hyperlink>
      <w:r>
        <w:t xml:space="preserve"> (Accessed: 12 August 2026).</w:t>
      </w:r>
    </w:p>
    <w:p w14:paraId="543C2BBF" w14:textId="77777777" w:rsidR="00FF033A" w:rsidRDefault="00FF033A">
      <w:pPr>
        <w:pStyle w:val="NormalWeb"/>
      </w:pPr>
      <w:r>
        <w:t xml:space="preserve">World Bank (2025) </w:t>
      </w:r>
      <w:r>
        <w:rPr>
          <w:rStyle w:val="Emphasis"/>
        </w:rPr>
        <w:t>World Bank supports improved energy and freight transport services in South Africa</w:t>
      </w:r>
      <w:r>
        <w:t>. Washington, DC: World Bank.</w:t>
      </w:r>
    </w:p>
    <w:p w14:paraId="2367209F" w14:textId="77777777" w:rsidR="00FF033A" w:rsidRDefault="00FF033A">
      <w:pPr>
        <w:pStyle w:val="NormalWeb"/>
      </w:pPr>
      <w:r>
        <w:t xml:space="preserve">World Bank (2026) </w:t>
      </w:r>
      <w:r>
        <w:rPr>
          <w:rStyle w:val="Emphasis"/>
        </w:rPr>
        <w:t>South Africa</w:t>
      </w:r>
      <w:r>
        <w:t xml:space="preserve">. Washington, DC: World Bank. Available at: </w:t>
      </w:r>
      <w:hyperlink r:id="rId21" w:history="1">
        <w:r>
          <w:rPr>
            <w:rStyle w:val="Hyperlink"/>
          </w:rPr>
          <w:t>https://www.worldbank.org/ext/en/country/southafrica</w:t>
        </w:r>
      </w:hyperlink>
      <w:r>
        <w:t xml:space="preserve"> (Accessed: 12 August 2026).</w:t>
      </w:r>
    </w:p>
    <w:p w14:paraId="57429DD7" w14:textId="77777777" w:rsidR="00CD5B05" w:rsidRDefault="00CD5B05">
      <w:pPr>
        <w:pStyle w:val="NormalWeb"/>
      </w:pPr>
    </w:p>
    <w:p w14:paraId="0129B21F" w14:textId="77777777" w:rsidR="00CD5B05" w:rsidRDefault="00CD5B05">
      <w:pPr>
        <w:pStyle w:val="NormalWeb"/>
      </w:pPr>
    </w:p>
    <w:p w14:paraId="0492D3FE" w14:textId="77777777" w:rsidR="00CD5B05" w:rsidRDefault="00CD5B05">
      <w:pPr>
        <w:pStyle w:val="NormalWeb"/>
      </w:pPr>
    </w:p>
    <w:p w14:paraId="6DD7CDB9" w14:textId="77777777" w:rsidR="00CD5B05" w:rsidRDefault="00CD5B05">
      <w:pPr>
        <w:pStyle w:val="NormalWeb"/>
      </w:pPr>
    </w:p>
    <w:p w14:paraId="074F2185" w14:textId="15ABC072" w:rsidR="00CD5B05" w:rsidRDefault="00CD5B05">
      <w:pPr>
        <w:pStyle w:val="NormalWeb"/>
      </w:pPr>
    </w:p>
    <w:sectPr w:rsidR="00CD5B05">
      <w:footerReference w:type="even" r:id="rId22"/>
      <w:footerReference w:type="default" r:id="rId2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D77637" w14:textId="77777777" w:rsidR="00A42228" w:rsidRDefault="00A42228" w:rsidP="00A42228">
      <w:pPr>
        <w:spacing w:after="0" w:line="240" w:lineRule="auto"/>
      </w:pPr>
      <w:r>
        <w:separator/>
      </w:r>
    </w:p>
  </w:endnote>
  <w:endnote w:type="continuationSeparator" w:id="0">
    <w:p w14:paraId="3FC7B1B7" w14:textId="77777777" w:rsidR="00A42228" w:rsidRDefault="00A42228" w:rsidP="00A422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12372926"/>
      <w:docPartObj>
        <w:docPartGallery w:val="Page Numbers (Bottom of Page)"/>
        <w:docPartUnique/>
      </w:docPartObj>
    </w:sdtPr>
    <w:sdtEndPr>
      <w:rPr>
        <w:rStyle w:val="PageNumber"/>
      </w:rPr>
    </w:sdtEndPr>
    <w:sdtContent>
      <w:p w14:paraId="447786E3" w14:textId="67F0B3FE" w:rsidR="00A42228" w:rsidRDefault="00A42228" w:rsidP="009B3C8F">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06DB478" w14:textId="77777777" w:rsidR="00A42228" w:rsidRDefault="00A422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02368289"/>
      <w:docPartObj>
        <w:docPartGallery w:val="Page Numbers (Bottom of Page)"/>
        <w:docPartUnique/>
      </w:docPartObj>
    </w:sdtPr>
    <w:sdtEndPr>
      <w:rPr>
        <w:rStyle w:val="PageNumber"/>
      </w:rPr>
    </w:sdtEndPr>
    <w:sdtContent>
      <w:p w14:paraId="440937A6" w14:textId="2FEFC5C9" w:rsidR="00A42228" w:rsidRDefault="00A42228" w:rsidP="009B3C8F">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5B38E80" w14:textId="77777777" w:rsidR="00A42228" w:rsidRDefault="00A422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DECE62" w14:textId="77777777" w:rsidR="00A42228" w:rsidRDefault="00A42228" w:rsidP="00A42228">
      <w:pPr>
        <w:spacing w:after="0" w:line="240" w:lineRule="auto"/>
      </w:pPr>
      <w:r>
        <w:separator/>
      </w:r>
    </w:p>
  </w:footnote>
  <w:footnote w:type="continuationSeparator" w:id="0">
    <w:p w14:paraId="5CABBF92" w14:textId="77777777" w:rsidR="00A42228" w:rsidRDefault="00A42228" w:rsidP="00A422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D36"/>
    <w:rsid w:val="00025A41"/>
    <w:rsid w:val="000372B0"/>
    <w:rsid w:val="00094C0B"/>
    <w:rsid w:val="00097BBD"/>
    <w:rsid w:val="00146681"/>
    <w:rsid w:val="00152E85"/>
    <w:rsid w:val="00164135"/>
    <w:rsid w:val="001E5F92"/>
    <w:rsid w:val="002B6B40"/>
    <w:rsid w:val="003E13A9"/>
    <w:rsid w:val="004012F6"/>
    <w:rsid w:val="00412497"/>
    <w:rsid w:val="0042586F"/>
    <w:rsid w:val="00474FFB"/>
    <w:rsid w:val="005A19D6"/>
    <w:rsid w:val="005B6165"/>
    <w:rsid w:val="00763C72"/>
    <w:rsid w:val="00765CC8"/>
    <w:rsid w:val="008564C7"/>
    <w:rsid w:val="00876388"/>
    <w:rsid w:val="008A0470"/>
    <w:rsid w:val="00A030C0"/>
    <w:rsid w:val="00A2192E"/>
    <w:rsid w:val="00A42228"/>
    <w:rsid w:val="00BA288E"/>
    <w:rsid w:val="00BE4486"/>
    <w:rsid w:val="00C31AB1"/>
    <w:rsid w:val="00C54305"/>
    <w:rsid w:val="00C6028E"/>
    <w:rsid w:val="00C64044"/>
    <w:rsid w:val="00C9582F"/>
    <w:rsid w:val="00CD5B05"/>
    <w:rsid w:val="00CE709A"/>
    <w:rsid w:val="00DA3F91"/>
    <w:rsid w:val="00E4243B"/>
    <w:rsid w:val="00E81379"/>
    <w:rsid w:val="00F24D36"/>
    <w:rsid w:val="00FD7C88"/>
    <w:rsid w:val="00FF03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E488B3"/>
  <w15:chartTrackingRefBased/>
  <w15:docId w15:val="{C70D37FF-1497-3E4D-9BE9-FE42B3B7BF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4D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24D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24D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24D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4D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4D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4D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4D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4D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4D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24D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4D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4D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4D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4D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4D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4D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4D36"/>
    <w:rPr>
      <w:rFonts w:eastAsiaTheme="majorEastAsia" w:cstheme="majorBidi"/>
      <w:color w:val="272727" w:themeColor="text1" w:themeTint="D8"/>
    </w:rPr>
  </w:style>
  <w:style w:type="paragraph" w:styleId="Title">
    <w:name w:val="Title"/>
    <w:basedOn w:val="Normal"/>
    <w:next w:val="Normal"/>
    <w:link w:val="TitleChar"/>
    <w:uiPriority w:val="10"/>
    <w:qFormat/>
    <w:rsid w:val="00F24D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4D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4D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4D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4D36"/>
    <w:pPr>
      <w:spacing w:before="160"/>
      <w:jc w:val="center"/>
    </w:pPr>
    <w:rPr>
      <w:i/>
      <w:iCs/>
      <w:color w:val="404040" w:themeColor="text1" w:themeTint="BF"/>
    </w:rPr>
  </w:style>
  <w:style w:type="character" w:customStyle="1" w:styleId="QuoteChar">
    <w:name w:val="Quote Char"/>
    <w:basedOn w:val="DefaultParagraphFont"/>
    <w:link w:val="Quote"/>
    <w:uiPriority w:val="29"/>
    <w:rsid w:val="00F24D36"/>
    <w:rPr>
      <w:i/>
      <w:iCs/>
      <w:color w:val="404040" w:themeColor="text1" w:themeTint="BF"/>
    </w:rPr>
  </w:style>
  <w:style w:type="paragraph" w:styleId="ListParagraph">
    <w:name w:val="List Paragraph"/>
    <w:basedOn w:val="Normal"/>
    <w:uiPriority w:val="34"/>
    <w:qFormat/>
    <w:rsid w:val="00F24D36"/>
    <w:pPr>
      <w:ind w:left="720"/>
      <w:contextualSpacing/>
    </w:pPr>
  </w:style>
  <w:style w:type="character" w:styleId="IntenseEmphasis">
    <w:name w:val="Intense Emphasis"/>
    <w:basedOn w:val="DefaultParagraphFont"/>
    <w:uiPriority w:val="21"/>
    <w:qFormat/>
    <w:rsid w:val="00F24D36"/>
    <w:rPr>
      <w:i/>
      <w:iCs/>
      <w:color w:val="0F4761" w:themeColor="accent1" w:themeShade="BF"/>
    </w:rPr>
  </w:style>
  <w:style w:type="paragraph" w:styleId="IntenseQuote">
    <w:name w:val="Intense Quote"/>
    <w:basedOn w:val="Normal"/>
    <w:next w:val="Normal"/>
    <w:link w:val="IntenseQuoteChar"/>
    <w:uiPriority w:val="30"/>
    <w:qFormat/>
    <w:rsid w:val="00F24D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4D36"/>
    <w:rPr>
      <w:i/>
      <w:iCs/>
      <w:color w:val="0F4761" w:themeColor="accent1" w:themeShade="BF"/>
    </w:rPr>
  </w:style>
  <w:style w:type="character" w:styleId="IntenseReference">
    <w:name w:val="Intense Reference"/>
    <w:basedOn w:val="DefaultParagraphFont"/>
    <w:uiPriority w:val="32"/>
    <w:qFormat/>
    <w:rsid w:val="00F24D36"/>
    <w:rPr>
      <w:b/>
      <w:bCs/>
      <w:smallCaps/>
      <w:color w:val="0F4761" w:themeColor="accent1" w:themeShade="BF"/>
      <w:spacing w:val="5"/>
    </w:rPr>
  </w:style>
  <w:style w:type="paragraph" w:styleId="NormalWeb">
    <w:name w:val="Normal (Web)"/>
    <w:basedOn w:val="Normal"/>
    <w:uiPriority w:val="99"/>
    <w:unhideWhenUsed/>
    <w:rsid w:val="00F24D36"/>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F24D36"/>
    <w:rPr>
      <w:b/>
      <w:bCs/>
    </w:rPr>
  </w:style>
  <w:style w:type="character" w:styleId="Emphasis">
    <w:name w:val="Emphasis"/>
    <w:basedOn w:val="DefaultParagraphFont"/>
    <w:uiPriority w:val="20"/>
    <w:qFormat/>
    <w:rsid w:val="00F24D36"/>
    <w:rPr>
      <w:i/>
      <w:iCs/>
    </w:rPr>
  </w:style>
  <w:style w:type="character" w:styleId="Hyperlink">
    <w:name w:val="Hyperlink"/>
    <w:basedOn w:val="DefaultParagraphFont"/>
    <w:uiPriority w:val="99"/>
    <w:semiHidden/>
    <w:unhideWhenUsed/>
    <w:rsid w:val="00FF033A"/>
    <w:rPr>
      <w:color w:val="0000FF"/>
      <w:u w:val="single"/>
    </w:rPr>
  </w:style>
  <w:style w:type="paragraph" w:styleId="Header">
    <w:name w:val="header"/>
    <w:basedOn w:val="Normal"/>
    <w:link w:val="HeaderChar"/>
    <w:uiPriority w:val="99"/>
    <w:unhideWhenUsed/>
    <w:rsid w:val="00A422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A42228"/>
  </w:style>
  <w:style w:type="paragraph" w:styleId="Footer">
    <w:name w:val="footer"/>
    <w:basedOn w:val="Normal"/>
    <w:link w:val="FooterChar"/>
    <w:uiPriority w:val="99"/>
    <w:unhideWhenUsed/>
    <w:rsid w:val="00A422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2228"/>
  </w:style>
  <w:style w:type="character" w:styleId="PageNumber">
    <w:name w:val="page number"/>
    <w:basedOn w:val="DefaultParagraphFont"/>
    <w:uiPriority w:val="99"/>
    <w:semiHidden/>
    <w:unhideWhenUsed/>
    <w:rsid w:val="00A422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dtic.gov.za/financial-and-non-financial-support/b-bbee/" TargetMode="External" /><Relationship Id="rId13" Type="http://schemas.openxmlformats.org/officeDocument/2006/relationships/hyperlink" Target="https://www.ikea.com/global/en/our-business/how-we-work/the-ikea-franchise-system/" TargetMode="External" /><Relationship Id="rId18" Type="http://schemas.openxmlformats.org/officeDocument/2006/relationships/hyperlink" Target="https://www.gov.za/documents/protection-personal-information-act" TargetMode="External" /><Relationship Id="rId3" Type="http://schemas.openxmlformats.org/officeDocument/2006/relationships/webSettings" Target="webSettings.xml" /><Relationship Id="rId21" Type="http://schemas.openxmlformats.org/officeDocument/2006/relationships/hyperlink" Target="https://www.worldbank.org/ext/en/country/southafrica" TargetMode="External" /><Relationship Id="rId7" Type="http://schemas.openxmlformats.org/officeDocument/2006/relationships/hyperlink" Target="https://www.labour.gov.za/Media-Desk/Media-Statements/Pages/Minister-of-Employment-and-Labour%2C-Meth-increases-the-statutory-National-Minimum-Wage-to-R30%2C23-per-hour.aspx" TargetMode="External" /><Relationship Id="rId12" Type="http://schemas.openxmlformats.org/officeDocument/2006/relationships/hyperlink" Target="https://www.ikea.com/global/en/newsroom/corporate/ikea-retail-sales-fy25-251016/" TargetMode="External" /><Relationship Id="rId17" Type="http://schemas.openxmlformats.org/officeDocument/2006/relationships/hyperlink" Target="https://www.gov.za/documents/consumer-protection-act" TargetMode="External" /><Relationship Id="rId25" Type="http://schemas.openxmlformats.org/officeDocument/2006/relationships/theme" Target="theme/theme1.xml" /><Relationship Id="rId2" Type="http://schemas.openxmlformats.org/officeDocument/2006/relationships/settings" Target="settings.xml" /><Relationship Id="rId16" Type="http://schemas.openxmlformats.org/officeDocument/2006/relationships/hyperlink" Target="https://www.gov.za/documents/companies-act" TargetMode="External" /><Relationship Id="rId20" Type="http://schemas.openxmlformats.org/officeDocument/2006/relationships/hyperlink" Target="https://www.gov.za/news/media-statements/government-b-bbee-policy-21-oct-2025" TargetMode="External" /><Relationship Id="rId1" Type="http://schemas.openxmlformats.org/officeDocument/2006/relationships/styles" Target="styles.xml" /><Relationship Id="rId6" Type="http://schemas.openxmlformats.org/officeDocument/2006/relationships/image" Target="media/image1.jpeg" /><Relationship Id="rId11" Type="http://schemas.openxmlformats.org/officeDocument/2006/relationships/hyperlink" Target="https://www.ikea.com/global/en/our-business/how-we-work/" TargetMode="External" /><Relationship Id="rId24" Type="http://schemas.openxmlformats.org/officeDocument/2006/relationships/fontTable" Target="fontTable.xml" /><Relationship Id="rId5" Type="http://schemas.openxmlformats.org/officeDocument/2006/relationships/endnotes" Target="endnotes.xml" /><Relationship Id="rId15" Type="http://schemas.openxmlformats.org/officeDocument/2006/relationships/hyperlink" Target="https://www.imf.org/en/publications/cr/issues/2026/02/10/south-africa-2025-article-iv-consultation-press-release-staff-report-and-statement-by-the-573842" TargetMode="External" /><Relationship Id="rId23" Type="http://schemas.openxmlformats.org/officeDocument/2006/relationships/footer" Target="footer2.xml" /><Relationship Id="rId10" Type="http://schemas.openxmlformats.org/officeDocument/2006/relationships/hyperlink" Target="https://www.ikea.com/global/en/newsroom/retail/ikea-meets-customers-on-a-new-continent-180517/" TargetMode="External" /><Relationship Id="rId19" Type="http://schemas.openxmlformats.org/officeDocument/2006/relationships/hyperlink" Target="https://www.gov.za/documents/employment-equity-amendment-act-4-2022-english-isixhosa-14-apr-2023-0000" TargetMode="External" /><Relationship Id="rId4" Type="http://schemas.openxmlformats.org/officeDocument/2006/relationships/footnotes" Target="footnotes.xml" /><Relationship Id="rId9" Type="http://schemas.openxmlformats.org/officeDocument/2006/relationships/hyperlink" Target="https://www.ikea.com/global/en/newsroom/collaborations/collaborations/ikea-to-south-africa-for-a-design-collaboration-on-urban-modern-rituals-170209/" TargetMode="External" /><Relationship Id="rId14" Type="http://schemas.openxmlformats.org/officeDocument/2006/relationships/hyperlink" Target="https://www.ikea.com/global/en/our-business/how-we-work/what-is-it-like-to-be-an-ikea-franchisee/" TargetMode="External" /><Relationship Id="rId22"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8378</Words>
  <Characters>47757</Characters>
  <Application>Microsoft Office Word</Application>
  <DocSecurity>0</DocSecurity>
  <Lines>397</Lines>
  <Paragraphs>112</Paragraphs>
  <ScaleCrop>false</ScaleCrop>
  <Company/>
  <LinksUpToDate>false</LinksUpToDate>
  <CharactersWithSpaces>56023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shingala drashti</dc:creator>
  <cp:keywords/>
  <dc:description/>
  <cp:lastModifiedBy>shingala drashti</cp:lastModifiedBy>
  <cp:revision>2</cp:revision>
  <dcterms:created xsi:type="dcterms:W3CDTF">2026-08-12T18:53:00Z</dcterms:created>
  <dcterms:modified xsi:type="dcterms:W3CDTF">2026-08-12T18:53:00Z</dcterms:modified>
</cp:coreProperties>
</file>