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301A4" w14:textId="7661F816" w:rsidR="00663EC0" w:rsidRDefault="00FB6963">
      <w:r>
        <w:t xml:space="preserve">Britain and the Great War Essay Final Draft </w:t>
      </w:r>
    </w:p>
    <w:p w14:paraId="27774AF2" w14:textId="2682EF92" w:rsidR="00FB6963" w:rsidRDefault="00FB6963"/>
    <w:p w14:paraId="00DC5596"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 closer analysis of the mood of Britons in the summer of 1914 suggests a less than enthusiastic response to the impending conflict. Discuss, with due attention given to regional comparisons and contrasts. </w:t>
      </w:r>
      <w:r>
        <w:rPr>
          <w:rStyle w:val="eop"/>
          <w:rFonts w:ascii="Arial" w:hAnsi="Arial" w:cs="Arial"/>
        </w:rPr>
        <w:t> </w:t>
      </w:r>
    </w:p>
    <w:p w14:paraId="17AEF7F1" w14:textId="5119EEA0"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r>
        <w:rPr>
          <w:rStyle w:val="eop"/>
          <w:rFonts w:ascii="Calibri" w:hAnsi="Calibri" w:cs="Calibri"/>
        </w:rPr>
        <w:t> </w:t>
      </w:r>
    </w:p>
    <w:p w14:paraId="2E6A9E3C"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Starting in July 1914 tensions began to rise in Europe following the assassination of Archduke Franz Ferdinand, the heir to the throne of the Austro-Hungarian Empire by the Serbian Nationalist Gavrilo Princip in Sarajevo. This was followed by the rapid rise in tensions across Europe following the issuing of an ultimatum by Austria-Hungary to Serbia, that was rejected. In response Austria-Hungary began to mobilise its armies for war with Serbia. </w:t>
      </w:r>
      <w:r>
        <w:rPr>
          <w:rStyle w:val="eop"/>
          <w:rFonts w:ascii="Calibri" w:hAnsi="Calibri" w:cs="Calibri"/>
        </w:rPr>
        <w:t> </w:t>
      </w:r>
    </w:p>
    <w:p w14:paraId="4B453ACA"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9ED2CCD" w14:textId="18616912"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triggered mass mobilisation by Russia in support of Serbia which provoked the German Empire into beginning mobilisation. This in turn led to France ordering the mobilisation of its military. This left Germany facing a war on two fronts leading to them implementing the Schlieffen Plan that led them to invade Belgium after they refused them passage. Britain and her empire faced a difficult decision at this point as to whether to support their current allies, </w:t>
      </w:r>
      <w:r w:rsidR="007D613C">
        <w:rPr>
          <w:rStyle w:val="normaltextrun"/>
          <w:rFonts w:ascii="Calibri" w:hAnsi="Calibri" w:cs="Calibri"/>
        </w:rPr>
        <w:t>France,</w:t>
      </w:r>
      <w:r>
        <w:rPr>
          <w:rStyle w:val="normaltextrun"/>
          <w:rFonts w:ascii="Calibri" w:hAnsi="Calibri" w:cs="Calibri"/>
        </w:rPr>
        <w:t xml:space="preserve"> and Russia, or to take a stance of armed neutrality. Ultimately, events brought the British Empire into the war on the </w:t>
      </w:r>
      <w:proofErr w:type="gramStart"/>
      <w:r>
        <w:rPr>
          <w:rStyle w:val="normaltextrun"/>
          <w:rFonts w:ascii="Calibri" w:hAnsi="Calibri" w:cs="Calibri"/>
        </w:rPr>
        <w:t>4</w:t>
      </w:r>
      <w:r>
        <w:rPr>
          <w:rStyle w:val="spellingerrorsuperscript"/>
          <w:rFonts w:ascii="Calibri" w:hAnsi="Calibri" w:cs="Calibri"/>
          <w:sz w:val="19"/>
          <w:szCs w:val="19"/>
          <w:vertAlign w:val="superscript"/>
        </w:rPr>
        <w:t>th</w:t>
      </w:r>
      <w:proofErr w:type="gramEnd"/>
      <w:r>
        <w:rPr>
          <w:rStyle w:val="normaltextrun"/>
          <w:rFonts w:ascii="Calibri" w:hAnsi="Calibri" w:cs="Calibri"/>
        </w:rPr>
        <w:t xml:space="preserve"> August 1914. </w:t>
      </w:r>
      <w:r>
        <w:rPr>
          <w:rStyle w:val="eop"/>
          <w:rFonts w:ascii="Calibri" w:hAnsi="Calibri" w:cs="Calibri"/>
        </w:rPr>
        <w:t> </w:t>
      </w:r>
    </w:p>
    <w:p w14:paraId="5ADC9102"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1A83DC0"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It is a common view that at the dawn of the First World War in 1914, Britain and its people were keen for war. This view has prevailed for decades and there is, to some extent, some truth to this but as with all things it is a bit more complicated than that. Recent historical scholarship has increased the level of scrutiny on the decision of Britain to join the First World War and to how the British populace responded to the developing situation in Europe. </w:t>
      </w:r>
      <w:r>
        <w:rPr>
          <w:rStyle w:val="eop"/>
          <w:rFonts w:ascii="Calibri" w:hAnsi="Calibri" w:cs="Calibri"/>
        </w:rPr>
        <w:t> </w:t>
      </w:r>
    </w:p>
    <w:p w14:paraId="6E55CA76" w14:textId="77777777" w:rsidR="00FB6963" w:rsidRDefault="00FB6963" w:rsidP="00FB6963">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lang w:val="en-US"/>
        </w:rPr>
        <w:t> </w:t>
      </w:r>
    </w:p>
    <w:p w14:paraId="6C44F74B" w14:textId="116CB6E8"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Pennell quot</w:t>
      </w:r>
      <w:r w:rsidR="00312506">
        <w:rPr>
          <w:rStyle w:val="normaltextrun"/>
          <w:rFonts w:ascii="Calibri" w:hAnsi="Calibri" w:cs="Calibri"/>
        </w:rPr>
        <w:t>es</w:t>
      </w:r>
      <w:r>
        <w:rPr>
          <w:rStyle w:val="normaltextrun"/>
          <w:rFonts w:ascii="Calibri" w:hAnsi="Calibri" w:cs="Calibri"/>
        </w:rPr>
        <w:t xml:space="preserve"> “An entire population’s feelings cannot be adequately described by the monolithic label of war enthusiasm”. This quote about sums up the view of Pennell on this matter. She is very firm that the people of the British Isles were not </w:t>
      </w:r>
      <w:r w:rsidR="00312506">
        <w:rPr>
          <w:rStyle w:val="eop"/>
          <w:rFonts w:ascii="Calibri" w:hAnsi="Calibri" w:cs="Calibri"/>
        </w:rPr>
        <w:t>unanimously in favour of going to war in 1914</w:t>
      </w:r>
      <w:r w:rsidR="00857D99">
        <w:rPr>
          <w:rStyle w:val="FootnoteReference"/>
          <w:rFonts w:ascii="Calibri" w:hAnsi="Calibri" w:cs="Calibri"/>
        </w:rPr>
        <w:footnoteReference w:id="1"/>
      </w:r>
      <w:r w:rsidR="00312506">
        <w:rPr>
          <w:rStyle w:val="eop"/>
          <w:rFonts w:ascii="Calibri" w:hAnsi="Calibri" w:cs="Calibri"/>
        </w:rPr>
        <w:t xml:space="preserve">. </w:t>
      </w:r>
    </w:p>
    <w:p w14:paraId="2CCFDDC7"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D7BD391" w14:textId="5B745BD3"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British politicians, according to von </w:t>
      </w:r>
      <w:proofErr w:type="spellStart"/>
      <w:r>
        <w:rPr>
          <w:rStyle w:val="normaltextrun"/>
          <w:rFonts w:ascii="Calibri" w:hAnsi="Calibri" w:cs="Calibri"/>
        </w:rPr>
        <w:t>Strandmann</w:t>
      </w:r>
      <w:proofErr w:type="spellEnd"/>
      <w:r>
        <w:rPr>
          <w:rStyle w:val="normaltextrun"/>
          <w:rFonts w:ascii="Calibri" w:hAnsi="Calibri" w:cs="Calibri"/>
        </w:rPr>
        <w:t xml:space="preserve"> were fully aware that the only way that they could really gauge the public’s mood was through newspapers, protests, </w:t>
      </w:r>
      <w:proofErr w:type="gramStart"/>
      <w:r>
        <w:rPr>
          <w:rStyle w:val="normaltextrun"/>
          <w:rFonts w:ascii="Calibri" w:hAnsi="Calibri" w:cs="Calibri"/>
        </w:rPr>
        <w:t>speeches</w:t>
      </w:r>
      <w:proofErr w:type="gramEnd"/>
      <w:r>
        <w:rPr>
          <w:rStyle w:val="normaltextrun"/>
          <w:rFonts w:ascii="Calibri" w:hAnsi="Calibri" w:cs="Calibri"/>
        </w:rPr>
        <w:t xml:space="preserve"> and sermons. It is important to consider that the press was only printing what they thought their readers wanted to hear as after all a newspaper is a business and sales were important. There is no guarantee however that they were gauging the public mood correctly</w:t>
      </w:r>
      <w:r w:rsidR="00312506">
        <w:rPr>
          <w:rStyle w:val="FootnoteReference"/>
          <w:rFonts w:ascii="Calibri" w:hAnsi="Calibri" w:cs="Calibri"/>
        </w:rPr>
        <w:footnoteReference w:id="2"/>
      </w:r>
      <w:r>
        <w:rPr>
          <w:rStyle w:val="normaltextrun"/>
          <w:rFonts w:ascii="Calibri" w:hAnsi="Calibri" w:cs="Calibri"/>
        </w:rPr>
        <w:t xml:space="preserve">. </w:t>
      </w:r>
      <w:r>
        <w:rPr>
          <w:rStyle w:val="eop"/>
          <w:rFonts w:ascii="Calibri" w:hAnsi="Calibri" w:cs="Calibri"/>
        </w:rPr>
        <w:t> </w:t>
      </w:r>
    </w:p>
    <w:p w14:paraId="527024F6"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346CF8E"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It must also be considered that newspapers have a strong influencing effect on the beliefs and mood of the public. People regarded newspapers with a degree of trust to present a </w:t>
      </w:r>
      <w:r>
        <w:rPr>
          <w:rStyle w:val="normaltextrun"/>
          <w:rFonts w:ascii="Calibri" w:hAnsi="Calibri" w:cs="Calibri"/>
        </w:rPr>
        <w:lastRenderedPageBreak/>
        <w:t xml:space="preserve">particular political or moral position. This depended on the papers political position and agenda. </w:t>
      </w:r>
      <w:r>
        <w:rPr>
          <w:rStyle w:val="eop"/>
          <w:rFonts w:ascii="Calibri" w:hAnsi="Calibri" w:cs="Calibri"/>
        </w:rPr>
        <w:t> </w:t>
      </w:r>
    </w:p>
    <w:p w14:paraId="3E953A6D"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DEF3824"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It must also be considered that public opinion </w:t>
      </w:r>
      <w:proofErr w:type="gramStart"/>
      <w:r>
        <w:rPr>
          <w:rStyle w:val="normaltextrun"/>
          <w:rFonts w:ascii="Calibri" w:hAnsi="Calibri" w:cs="Calibri"/>
        </w:rPr>
        <w:t>has a tendency to</w:t>
      </w:r>
      <w:proofErr w:type="gramEnd"/>
      <w:r>
        <w:rPr>
          <w:rStyle w:val="normaltextrun"/>
          <w:rFonts w:ascii="Calibri" w:hAnsi="Calibri" w:cs="Calibri"/>
        </w:rPr>
        <w:t xml:space="preserve"> change by the hour during rapidly evolving events making large scale measuring of public mood an even more difficult task. This is also not helped by the constantly changing situation in Europe that the media had a hard time keeping up with and communicating to the populace in a timely fashion. </w:t>
      </w:r>
      <w:r>
        <w:rPr>
          <w:rStyle w:val="eop"/>
          <w:rFonts w:ascii="Calibri" w:hAnsi="Calibri" w:cs="Calibri"/>
        </w:rPr>
        <w:t> </w:t>
      </w:r>
    </w:p>
    <w:p w14:paraId="5D49C765"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2735384"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Often by the time a piece of news made the paper it was already out of date and with the rapidly changing situation people were often discussing and reacting to outdated information. Often when people were in the process of forming their opinions the situation that they were considering no longer existed as disseminating all of this to the populace was </w:t>
      </w:r>
      <w:proofErr w:type="gramStart"/>
      <w:r>
        <w:rPr>
          <w:rStyle w:val="normaltextrun"/>
          <w:rFonts w:ascii="Calibri" w:hAnsi="Calibri" w:cs="Calibri"/>
        </w:rPr>
        <w:t>a pretty intense</w:t>
      </w:r>
      <w:proofErr w:type="gramEnd"/>
      <w:r>
        <w:rPr>
          <w:rStyle w:val="normaltextrun"/>
          <w:rFonts w:ascii="Calibri" w:hAnsi="Calibri" w:cs="Calibri"/>
        </w:rPr>
        <w:t xml:space="preserve"> challenge. </w:t>
      </w:r>
      <w:r>
        <w:rPr>
          <w:rStyle w:val="eop"/>
          <w:rFonts w:ascii="Calibri" w:hAnsi="Calibri" w:cs="Calibri"/>
        </w:rPr>
        <w:t> </w:t>
      </w:r>
    </w:p>
    <w:p w14:paraId="4D57E963"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0A14D50"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It is also paramount to consider changing moods at the regional level as support for the war varied by region. It would have been extremely complex for the opinions of every region to have been reaching Downing </w:t>
      </w:r>
      <w:proofErr w:type="spellStart"/>
      <w:r>
        <w:rPr>
          <w:rStyle w:val="normaltextrun"/>
          <w:rFonts w:ascii="Calibri" w:hAnsi="Calibri" w:cs="Calibri"/>
        </w:rPr>
        <w:t>Sreet</w:t>
      </w:r>
      <w:proofErr w:type="spellEnd"/>
      <w:r>
        <w:rPr>
          <w:rStyle w:val="normaltextrun"/>
          <w:rFonts w:ascii="Calibri" w:hAnsi="Calibri" w:cs="Calibri"/>
        </w:rPr>
        <w:t xml:space="preserve"> in time to be useful in decision making. Regardless of whatever choice the Prime Minister made they would need to justify it and by using public opinion could share responsibility for the outcome. </w:t>
      </w:r>
      <w:r>
        <w:rPr>
          <w:rStyle w:val="eop"/>
          <w:rFonts w:ascii="Calibri" w:hAnsi="Calibri" w:cs="Calibri"/>
        </w:rPr>
        <w:t> </w:t>
      </w:r>
    </w:p>
    <w:p w14:paraId="071FC172"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84CDB8C" w14:textId="2904DDDF" w:rsidR="00FB6963" w:rsidRDefault="00857D99"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Available e</w:t>
      </w:r>
      <w:r w:rsidR="00FB6963">
        <w:rPr>
          <w:rStyle w:val="normaltextrun"/>
          <w:rFonts w:ascii="Calibri" w:hAnsi="Calibri" w:cs="Calibri"/>
        </w:rPr>
        <w:t>vidence suggests that the mood in Britain was not uniformly in favour of going to war as had previously been suggested. However, there were significant regional variations whereby</w:t>
      </w:r>
      <w:r>
        <w:rPr>
          <w:rStyle w:val="normaltextrun"/>
          <w:rFonts w:ascii="Calibri" w:hAnsi="Calibri" w:cs="Calibri"/>
        </w:rPr>
        <w:t xml:space="preserve"> some areas fully supported the war and others</w:t>
      </w:r>
      <w:r w:rsidR="00FF6D64">
        <w:rPr>
          <w:rStyle w:val="normaltextrun"/>
          <w:rFonts w:ascii="Calibri" w:hAnsi="Calibri" w:cs="Calibri"/>
        </w:rPr>
        <w:t xml:space="preserve"> did not. </w:t>
      </w:r>
    </w:p>
    <w:p w14:paraId="678F7F58"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33827FF" w14:textId="575450D9" w:rsidR="00FB6963" w:rsidRPr="00FF6D64"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r w:rsidRPr="00FF6D64">
        <w:rPr>
          <w:rStyle w:val="normaltextrun"/>
          <w:rFonts w:ascii="Calibri" w:hAnsi="Calibri" w:cs="Calibri"/>
        </w:rPr>
        <w:t>The mood of Britons has always been characterised as being fully in favour of war. </w:t>
      </w:r>
      <w:r w:rsidRPr="00FF6D64">
        <w:rPr>
          <w:rStyle w:val="eop"/>
          <w:rFonts w:ascii="Calibri" w:hAnsi="Calibri" w:cs="Calibri"/>
        </w:rPr>
        <w:t> </w:t>
      </w:r>
    </w:p>
    <w:p w14:paraId="1C632633"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Von </w:t>
      </w:r>
      <w:proofErr w:type="spellStart"/>
      <w:r>
        <w:rPr>
          <w:rStyle w:val="normaltextrun"/>
          <w:rFonts w:ascii="Calibri" w:hAnsi="Calibri" w:cs="Calibri"/>
        </w:rPr>
        <w:t>Strandmann</w:t>
      </w:r>
      <w:proofErr w:type="spellEnd"/>
      <w:r>
        <w:rPr>
          <w:rStyle w:val="normaltextrun"/>
          <w:rFonts w:ascii="Calibri" w:hAnsi="Calibri" w:cs="Calibri"/>
        </w:rPr>
        <w:t xml:space="preserve"> (2011) writes “The government could not have forced us into war if we didn’t want it” and this would to </w:t>
      </w:r>
      <w:proofErr w:type="gramStart"/>
      <w:r>
        <w:rPr>
          <w:rStyle w:val="normaltextrun"/>
          <w:rFonts w:ascii="Calibri" w:hAnsi="Calibri" w:cs="Calibri"/>
        </w:rPr>
        <w:t>an</w:t>
      </w:r>
      <w:proofErr w:type="gramEnd"/>
      <w:r>
        <w:rPr>
          <w:rStyle w:val="normaltextrun"/>
          <w:rFonts w:ascii="Calibri" w:hAnsi="Calibri" w:cs="Calibri"/>
        </w:rPr>
        <w:t xml:space="preserve"> large extent have been true especially with a Liberal Government. The Liberals were to be extremely general and simplistic a party that supported international trade and was less inclined to war than their main rivals the Conservatives </w:t>
      </w:r>
      <w:r>
        <w:rPr>
          <w:rStyle w:val="eop"/>
          <w:rFonts w:ascii="Calibri" w:hAnsi="Calibri" w:cs="Calibri"/>
        </w:rPr>
        <w:t> </w:t>
      </w:r>
    </w:p>
    <w:p w14:paraId="72C48CAC" w14:textId="77777777" w:rsidR="00830859"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EE591C7" w14:textId="60E55E95" w:rsidR="00FB6963" w:rsidRDefault="00FB6963" w:rsidP="00FB6963">
      <w:pPr>
        <w:pStyle w:val="paragraph"/>
        <w:spacing w:before="0" w:beforeAutospacing="0" w:after="0" w:afterAutospacing="0"/>
        <w:textAlignment w:val="baseline"/>
        <w:rPr>
          <w:rFonts w:ascii="Segoe UI" w:hAnsi="Segoe UI" w:cs="Segoe UI"/>
          <w:sz w:val="18"/>
          <w:szCs w:val="18"/>
        </w:rPr>
      </w:pPr>
      <w:r w:rsidRPr="00FF6D64">
        <w:rPr>
          <w:rStyle w:val="normaltextrun"/>
          <w:rFonts w:ascii="Calibri" w:hAnsi="Calibri" w:cs="Calibri"/>
        </w:rPr>
        <w:t>Recent scholarship has begun questioning the traditional consensus that the mood in Britain was all in favour of going to war.</w:t>
      </w:r>
      <w:r w:rsidR="00FF6D64">
        <w:rPr>
          <w:rStyle w:val="normaltextrun"/>
          <w:rFonts w:ascii="Calibri" w:hAnsi="Calibri" w:cs="Calibri"/>
        </w:rPr>
        <w:t xml:space="preserve"> </w:t>
      </w:r>
      <w:r>
        <w:rPr>
          <w:rStyle w:val="normaltextrun"/>
          <w:rFonts w:ascii="Calibri" w:hAnsi="Calibri" w:cs="Calibri"/>
        </w:rPr>
        <w:t xml:space="preserve">Pennell argues that the traditional view that the mood in Britain was fully in favour of going to war should be questioned as in her view the protests and reactions to the beginning of the war were not wholeheartedly </w:t>
      </w:r>
      <w:r>
        <w:rPr>
          <w:rStyle w:val="eop"/>
          <w:rFonts w:ascii="Calibri" w:hAnsi="Calibri" w:cs="Calibri"/>
        </w:rPr>
        <w:t> </w:t>
      </w:r>
    </w:p>
    <w:p w14:paraId="18162895"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750996B" w14:textId="2B224417" w:rsidR="00FB6963" w:rsidRDefault="00FB6963" w:rsidP="00FB6963">
      <w:pPr>
        <w:pStyle w:val="paragraph"/>
        <w:spacing w:before="0" w:beforeAutospacing="0" w:after="0" w:afterAutospacing="0"/>
        <w:textAlignment w:val="baseline"/>
        <w:rPr>
          <w:rFonts w:ascii="Segoe UI" w:hAnsi="Segoe UI" w:cs="Segoe UI"/>
          <w:sz w:val="18"/>
          <w:szCs w:val="18"/>
        </w:rPr>
      </w:pPr>
      <w:r w:rsidRPr="00FF6D64">
        <w:rPr>
          <w:rStyle w:val="normaltextrun"/>
          <w:rFonts w:ascii="Calibri" w:hAnsi="Calibri" w:cs="Calibri"/>
        </w:rPr>
        <w:t xml:space="preserve">At the time politicians could only assess the mood of the people through the median of the newspapers, </w:t>
      </w:r>
      <w:proofErr w:type="gramStart"/>
      <w:r w:rsidRPr="00FF6D64">
        <w:rPr>
          <w:rStyle w:val="normaltextrun"/>
          <w:rFonts w:ascii="Calibri" w:hAnsi="Calibri" w:cs="Calibri"/>
        </w:rPr>
        <w:t>protests</w:t>
      </w:r>
      <w:proofErr w:type="gramEnd"/>
      <w:r w:rsidRPr="00FF6D64">
        <w:rPr>
          <w:rStyle w:val="normaltextrun"/>
          <w:rFonts w:ascii="Calibri" w:hAnsi="Calibri" w:cs="Calibri"/>
        </w:rPr>
        <w:t xml:space="preserve"> and speeches.</w:t>
      </w:r>
      <w:r>
        <w:rPr>
          <w:rStyle w:val="normaltextrun"/>
          <w:rFonts w:ascii="Calibri" w:hAnsi="Calibri" w:cs="Calibri"/>
        </w:rPr>
        <w:t xml:space="preserve"> Von </w:t>
      </w:r>
      <w:proofErr w:type="spellStart"/>
      <w:r>
        <w:rPr>
          <w:rStyle w:val="normaltextrun"/>
          <w:rFonts w:ascii="Calibri" w:hAnsi="Calibri" w:cs="Calibri"/>
        </w:rPr>
        <w:t>Strandmann</w:t>
      </w:r>
      <w:proofErr w:type="spellEnd"/>
      <w:r>
        <w:rPr>
          <w:rStyle w:val="normaltextrun"/>
          <w:rFonts w:ascii="Calibri" w:hAnsi="Calibri" w:cs="Calibri"/>
        </w:rPr>
        <w:t xml:space="preserve"> gives flavour to</w:t>
      </w:r>
      <w:r w:rsidR="00FF6D64">
        <w:rPr>
          <w:rStyle w:val="normaltextrun"/>
          <w:rFonts w:ascii="Calibri" w:hAnsi="Calibri" w:cs="Calibri"/>
        </w:rPr>
        <w:t xml:space="preserve"> this by giving</w:t>
      </w:r>
      <w:r>
        <w:rPr>
          <w:rStyle w:val="normaltextrun"/>
          <w:rFonts w:ascii="Calibri" w:hAnsi="Calibri" w:cs="Calibri"/>
        </w:rPr>
        <w:t xml:space="preserve"> two conflicting examples of reports of the mood that the government could have used to justify either choice. For example, he mentions that two million Britons marched in </w:t>
      </w:r>
      <w:proofErr w:type="gramStart"/>
      <w:r>
        <w:rPr>
          <w:rStyle w:val="normaltextrun"/>
          <w:rFonts w:ascii="Calibri" w:hAnsi="Calibri" w:cs="Calibri"/>
        </w:rPr>
        <w:t>protest against</w:t>
      </w:r>
      <w:proofErr w:type="gramEnd"/>
      <w:r>
        <w:rPr>
          <w:rStyle w:val="normaltextrun"/>
          <w:rFonts w:ascii="Calibri" w:hAnsi="Calibri" w:cs="Calibri"/>
        </w:rPr>
        <w:t xml:space="preserve"> the war suggesting that the fervour for war had not taken as great a hold as commonly thought. </w:t>
      </w:r>
    </w:p>
    <w:p w14:paraId="7A1A85DE"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68E9A58" w14:textId="07097478"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For example, the Times published a letter authored by Norman Angell where he clearly states that he believes that a nation’s first duty is to its people and that he does not see war with civilised Germany as the way forward. He believes that the British and German peoples have much in common and that if they work together then both shall prosper. Angell’s </w:t>
      </w:r>
      <w:r>
        <w:rPr>
          <w:rStyle w:val="normaltextrun"/>
          <w:rFonts w:ascii="Calibri" w:hAnsi="Calibri" w:cs="Calibri"/>
        </w:rPr>
        <w:lastRenderedPageBreak/>
        <w:t>letter was published on</w:t>
      </w:r>
      <w:r w:rsidR="00830859">
        <w:rPr>
          <w:rStyle w:val="normaltextrun"/>
          <w:rFonts w:ascii="Calibri" w:hAnsi="Calibri" w:cs="Calibri"/>
        </w:rPr>
        <w:t xml:space="preserve"> the </w:t>
      </w:r>
      <w:proofErr w:type="gramStart"/>
      <w:r w:rsidR="00830859">
        <w:rPr>
          <w:rStyle w:val="normaltextrun"/>
          <w:rFonts w:ascii="Calibri" w:hAnsi="Calibri" w:cs="Calibri"/>
        </w:rPr>
        <w:t>1</w:t>
      </w:r>
      <w:r w:rsidR="00830859" w:rsidRPr="00830859">
        <w:rPr>
          <w:rStyle w:val="normaltextrun"/>
          <w:rFonts w:ascii="Calibri" w:hAnsi="Calibri" w:cs="Calibri"/>
          <w:vertAlign w:val="superscript"/>
        </w:rPr>
        <w:t>st</w:t>
      </w:r>
      <w:proofErr w:type="gramEnd"/>
      <w:r w:rsidR="00830859">
        <w:rPr>
          <w:rStyle w:val="normaltextrun"/>
          <w:rFonts w:ascii="Calibri" w:hAnsi="Calibri" w:cs="Calibri"/>
        </w:rPr>
        <w:t xml:space="preserve"> August.</w:t>
      </w:r>
      <w:r>
        <w:rPr>
          <w:rStyle w:val="normaltextrun"/>
          <w:rFonts w:ascii="Calibri" w:hAnsi="Calibri" w:cs="Calibri"/>
        </w:rPr>
        <w:t xml:space="preserve"> He further states that the British peoples have more in common with the peoples of Germany and that the fear of “isolation” is not </w:t>
      </w:r>
      <w:proofErr w:type="gramStart"/>
      <w:r>
        <w:rPr>
          <w:rStyle w:val="normaltextrun"/>
          <w:rFonts w:ascii="Calibri" w:hAnsi="Calibri" w:cs="Calibri"/>
        </w:rPr>
        <w:t>really applicable</w:t>
      </w:r>
      <w:proofErr w:type="gramEnd"/>
      <w:r>
        <w:rPr>
          <w:rStyle w:val="normaltextrun"/>
          <w:rFonts w:ascii="Calibri" w:hAnsi="Calibri" w:cs="Calibri"/>
        </w:rPr>
        <w:t xml:space="preserve"> as even if a large-scale war occurred it would be to the benefit of Britain to sit it out as we would likely find ourselves in a position of strength when the peace talks started. Angell mentions that in his view the fear of a Germany becoming too powerful is incorrect. He cites the difficulty Germany had in Alsace-Lorraine. He does not believe that a Germany in control of Belgium, the Netherlands and Northern France would be able to be a credible threat to Britain's power as they would have their hands full maintaining control. </w:t>
      </w:r>
      <w:r>
        <w:rPr>
          <w:rStyle w:val="eop"/>
          <w:rFonts w:ascii="Calibri" w:hAnsi="Calibri" w:cs="Calibri"/>
        </w:rPr>
        <w:t> </w:t>
      </w:r>
    </w:p>
    <w:p w14:paraId="07C41630" w14:textId="77777777" w:rsidR="00FB6963" w:rsidRDefault="00FB6963" w:rsidP="00FB6963">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lang w:val="en-US"/>
        </w:rPr>
        <w:t> </w:t>
      </w:r>
    </w:p>
    <w:p w14:paraId="62462604" w14:textId="70459362" w:rsidR="00FB6963" w:rsidRDefault="00FB6963" w:rsidP="00FB696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Norman Angell’s letter may well reflect widely held views regarding the purpose of the war.</w:t>
      </w:r>
      <w:r w:rsidR="00830859">
        <w:rPr>
          <w:rStyle w:val="eop"/>
          <w:rFonts w:ascii="Calibri" w:hAnsi="Calibri" w:cs="Calibri"/>
          <w:lang w:val="en-US"/>
        </w:rPr>
        <w:t xml:space="preserve"> </w:t>
      </w:r>
      <w:r>
        <w:rPr>
          <w:rStyle w:val="normaltextrun"/>
          <w:rFonts w:ascii="Calibri" w:hAnsi="Calibri" w:cs="Calibri"/>
        </w:rPr>
        <w:t>His letter elaborates that the apparent goal of this war is the rise in power of Russia and her Slavic allies. He fears that 200,000,000 autocratically ruled peoples would be a greater menace to the civilised powers of the west as they lack civilisation but are well equipped for military aggression especially against the powers of Europe. The question is asked as to whether 65,000,000 civilised Germans would be a lesser menace than the hordes of Russia especially as the Germans are, in his opinion focused on the arts and commerce. He hammers his view home by mentioning that the last time Britain fought a war in mainland Europe it was in the Crimea, and it was against the Russians who they are now indirectly helping. He ends with the mention that Sir Edward Grey has stated that they have no obligation to aid France and that there is no moral obligation to do so and that he believes that Britain would benefit from avoiding the war madness. He is firm in his belief that this will be the view of the English people</w:t>
      </w:r>
      <w:r w:rsidR="00FF6D64">
        <w:rPr>
          <w:rStyle w:val="FootnoteReference"/>
          <w:rFonts w:ascii="Calibri" w:hAnsi="Calibri" w:cs="Calibri"/>
        </w:rPr>
        <w:footnoteReference w:id="3"/>
      </w:r>
      <w:r>
        <w:rPr>
          <w:rStyle w:val="normaltextrun"/>
          <w:rFonts w:ascii="Calibri" w:hAnsi="Calibri" w:cs="Calibri"/>
        </w:rPr>
        <w:t>. </w:t>
      </w:r>
      <w:r>
        <w:rPr>
          <w:rStyle w:val="eop"/>
          <w:rFonts w:ascii="Calibri" w:hAnsi="Calibri" w:cs="Calibri"/>
          <w:lang w:val="en-US"/>
        </w:rPr>
        <w:t> </w:t>
      </w:r>
    </w:p>
    <w:p w14:paraId="382D4D95"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D0616B6" w14:textId="05228BFB"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Ordinary people responded the prospect of war in a multitude of different ways many of which never reached the ears of those in power. </w:t>
      </w:r>
      <w:r w:rsidR="00830859">
        <w:rPr>
          <w:rStyle w:val="normaltextrun"/>
          <w:rFonts w:ascii="Calibri" w:hAnsi="Calibri" w:cs="Calibri"/>
        </w:rPr>
        <w:t xml:space="preserve">Things such as meetings at work or at the pub or even in church would have never reached the </w:t>
      </w:r>
      <w:r w:rsidR="0031060A">
        <w:rPr>
          <w:rStyle w:val="normaltextrun"/>
          <w:rFonts w:ascii="Calibri" w:hAnsi="Calibri" w:cs="Calibri"/>
        </w:rPr>
        <w:t>decision-making</w:t>
      </w:r>
      <w:r w:rsidR="00830859">
        <w:rPr>
          <w:rStyle w:val="normaltextrun"/>
          <w:rFonts w:ascii="Calibri" w:hAnsi="Calibri" w:cs="Calibri"/>
        </w:rPr>
        <w:t xml:space="preserve"> politicians. </w:t>
      </w:r>
    </w:p>
    <w:p w14:paraId="2DA205D5"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BC67B52"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Regional variation can be seen across the British Isles as the mood varied on a combination of social, national, political, economic, and religious factors. </w:t>
      </w:r>
      <w:r>
        <w:rPr>
          <w:rStyle w:val="eop"/>
          <w:rFonts w:ascii="Calibri" w:hAnsi="Calibri" w:cs="Calibri"/>
        </w:rPr>
        <w:t> </w:t>
      </w:r>
    </w:p>
    <w:p w14:paraId="4875C272"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8B15818"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In England there was significant variation with a few areas showing great support for the war and others less so. A way that this can be measured is through the forming of “Pals Battalions”. Consisting of enthusiastic volunteers often tied together in the same area or profession as shown by the 10</w:t>
      </w:r>
      <w:r>
        <w:rPr>
          <w:rStyle w:val="normaltextrun"/>
          <w:rFonts w:ascii="Calibri" w:hAnsi="Calibri" w:cs="Calibri"/>
          <w:sz w:val="19"/>
          <w:szCs w:val="19"/>
          <w:vertAlign w:val="superscript"/>
        </w:rPr>
        <w:t>th</w:t>
      </w:r>
      <w:r>
        <w:rPr>
          <w:rStyle w:val="normaltextrun"/>
          <w:rFonts w:ascii="Calibri" w:hAnsi="Calibri" w:cs="Calibri"/>
        </w:rPr>
        <w:t xml:space="preserve"> Service Battalion, Royal Fusiliers. </w:t>
      </w:r>
      <w:r>
        <w:rPr>
          <w:rStyle w:val="eop"/>
          <w:rFonts w:ascii="Calibri" w:hAnsi="Calibri" w:cs="Calibri"/>
        </w:rPr>
        <w:t> </w:t>
      </w:r>
    </w:p>
    <w:p w14:paraId="768D71E6"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B5774F3" w14:textId="0DD5712A"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After an appeal from General Sir Henry Rawlinson to the London stockbrokers, the battalion was formed with 1,600 volunteers. This shows that the mood in London was in favour of war as the recruitment of these units took place over just a few days. This shows that in London and among the middle classes that the mood was in favour of war as there would not have been so many volunteers if they were not</w:t>
      </w:r>
      <w:r w:rsidR="003843CF">
        <w:rPr>
          <w:rStyle w:val="FootnoteReference"/>
          <w:rFonts w:ascii="Calibri" w:hAnsi="Calibri" w:cs="Calibri"/>
        </w:rPr>
        <w:footnoteReference w:id="4"/>
      </w:r>
      <w:r>
        <w:rPr>
          <w:rStyle w:val="normaltextrun"/>
          <w:rFonts w:ascii="Calibri" w:hAnsi="Calibri" w:cs="Calibri"/>
        </w:rPr>
        <w:t xml:space="preserve">. </w:t>
      </w:r>
      <w:r>
        <w:rPr>
          <w:rStyle w:val="eop"/>
          <w:rFonts w:ascii="Calibri" w:hAnsi="Calibri" w:cs="Calibri"/>
        </w:rPr>
        <w:t> </w:t>
      </w:r>
    </w:p>
    <w:p w14:paraId="552E536F"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D43BC43"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A similar thing occurred in Liverpool where two days after the Earl of Derby put out a call for volunteers, he received 1,500 volunteers in just two days. Another three battalions soon followed showing that the in Liverpool the mood among young men at least was pro war. </w:t>
      </w:r>
      <w:r>
        <w:rPr>
          <w:rStyle w:val="eop"/>
          <w:rFonts w:ascii="Calibri" w:hAnsi="Calibri" w:cs="Calibri"/>
        </w:rPr>
        <w:t> </w:t>
      </w:r>
    </w:p>
    <w:p w14:paraId="5A9A489B"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6BE03C4C"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In Scotland the mood was mixed as upon the declaration of war the army recruiting offices around the country were overwhelmed with recruits. Many of these recruits came from the working class and within a year a quarter of Scottish coal miners had enlisted. In Glasgow the rush to join the war was greater than in any other city in the British Isles with 26 battalions originating from Scotland’s largest city. </w:t>
      </w:r>
      <w:r>
        <w:rPr>
          <w:rStyle w:val="eop"/>
          <w:rFonts w:ascii="Calibri" w:hAnsi="Calibri" w:cs="Calibri"/>
        </w:rPr>
        <w:t> </w:t>
      </w:r>
    </w:p>
    <w:p w14:paraId="14760F39"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032A87F" w14:textId="160CA1A6"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 so-called war enthusiasm was strong in Scotland not only because of the overtly military reasons but because of the obvious financial potential. Scottish industries benefited from producing ships, aircraft, </w:t>
      </w:r>
      <w:proofErr w:type="gramStart"/>
      <w:r>
        <w:rPr>
          <w:rStyle w:val="normaltextrun"/>
          <w:rFonts w:ascii="Calibri" w:hAnsi="Calibri" w:cs="Calibri"/>
        </w:rPr>
        <w:t>machinery</w:t>
      </w:r>
      <w:proofErr w:type="gramEnd"/>
      <w:r>
        <w:rPr>
          <w:rStyle w:val="normaltextrun"/>
          <w:rFonts w:ascii="Calibri" w:hAnsi="Calibri" w:cs="Calibri"/>
        </w:rPr>
        <w:t xml:space="preserve"> and fish to the war effort as well as offering a chance for city goers to leave the overcrowded slums</w:t>
      </w:r>
      <w:r w:rsidR="002810C2">
        <w:rPr>
          <w:rStyle w:val="FootnoteReference"/>
          <w:rFonts w:ascii="Calibri" w:hAnsi="Calibri" w:cs="Calibri"/>
        </w:rPr>
        <w:footnoteReference w:id="5"/>
      </w:r>
      <w:r>
        <w:rPr>
          <w:rStyle w:val="normaltextrun"/>
          <w:rFonts w:ascii="Calibri" w:hAnsi="Calibri" w:cs="Calibri"/>
        </w:rPr>
        <w:t xml:space="preserve">. </w:t>
      </w:r>
      <w:r>
        <w:rPr>
          <w:rStyle w:val="eop"/>
          <w:rFonts w:ascii="Calibri" w:hAnsi="Calibri" w:cs="Calibri"/>
        </w:rPr>
        <w:t> </w:t>
      </w:r>
    </w:p>
    <w:p w14:paraId="0276B8C0"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F9A6276" w14:textId="0F2D475F"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In Ireland, the mood was in favour of the war as the Unionists saw it as a chance to delay the implementation of Irish Home Rule whilst the Nationalists saw it as a duty to ensure that Europe remained free from the clutches of tyranny. There were also sharp religious divides split between Protestants and Catholics </w:t>
      </w:r>
      <w:r w:rsidR="0031060A">
        <w:rPr>
          <w:rStyle w:val="eop"/>
          <w:rFonts w:ascii="Calibri" w:hAnsi="Calibri" w:cs="Calibri"/>
        </w:rPr>
        <w:t xml:space="preserve">which was to be expected in Ireland. </w:t>
      </w:r>
    </w:p>
    <w:p w14:paraId="00C01201"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37F5F44" w14:textId="60014E15"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In Wales, the mood was strongly anti-war largely due to the religious views of most Welshmen being Methodist and non-conformist however once war was declared the Welsh enlisted in their thousands and fought like hell. There was still resentment from the </w:t>
      </w:r>
      <w:proofErr w:type="spellStart"/>
      <w:r>
        <w:rPr>
          <w:rStyle w:val="normaltextrun"/>
          <w:rFonts w:ascii="Calibri" w:hAnsi="Calibri" w:cs="Calibri"/>
        </w:rPr>
        <w:t>Tonypandy</w:t>
      </w:r>
      <w:proofErr w:type="spellEnd"/>
      <w:r>
        <w:rPr>
          <w:rStyle w:val="normaltextrun"/>
          <w:rFonts w:ascii="Calibri" w:hAnsi="Calibri" w:cs="Calibri"/>
        </w:rPr>
        <w:t xml:space="preserve"> Riots of 1910-1911 against the Liberal Government so South Wales was an area in which whatever the Liberals did was probably going to be unpopular</w:t>
      </w:r>
      <w:r w:rsidR="002810C2">
        <w:rPr>
          <w:rStyle w:val="normaltextrun"/>
          <w:rFonts w:ascii="Calibri" w:hAnsi="Calibri" w:cs="Calibri"/>
        </w:rPr>
        <w:t xml:space="preserve">. </w:t>
      </w:r>
    </w:p>
    <w:p w14:paraId="2876A8AB"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B317BD0"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 divides weren’t just national there were also socio-economic divides such as the split between the rural and urban populations. In the major industrial cities, the war was popular as it offered a chance to escape from the slums and see the world. For much the same reason the war was </w:t>
      </w:r>
      <w:proofErr w:type="gramStart"/>
      <w:r>
        <w:rPr>
          <w:rStyle w:val="normaltextrun"/>
          <w:rFonts w:ascii="Calibri" w:hAnsi="Calibri" w:cs="Calibri"/>
        </w:rPr>
        <w:t>fairly popular</w:t>
      </w:r>
      <w:proofErr w:type="gramEnd"/>
      <w:r>
        <w:rPr>
          <w:rStyle w:val="normaltextrun"/>
          <w:rFonts w:ascii="Calibri" w:hAnsi="Calibri" w:cs="Calibri"/>
        </w:rPr>
        <w:t xml:space="preserve"> in the countryside as many farm labourers were eager to leave the monotony of farm work for a more exciting life in the army. </w:t>
      </w:r>
      <w:r>
        <w:rPr>
          <w:rStyle w:val="eop"/>
          <w:rFonts w:ascii="Calibri" w:hAnsi="Calibri" w:cs="Calibri"/>
        </w:rPr>
        <w:t> </w:t>
      </w:r>
    </w:p>
    <w:p w14:paraId="6467D6A4"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EA249FC"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There were also differences between gender with many young men being in favour of war shown by the number of men who enlisted in the army shortly after. The mood for war among women was divided especially the movement for women’s suffrage was divided as many decided that the nationalistic approach of supporting the war would be followed as they hope to earn some goodwill from the politicians. </w:t>
      </w:r>
      <w:r>
        <w:rPr>
          <w:rStyle w:val="eop"/>
          <w:rFonts w:ascii="Calibri" w:hAnsi="Calibri" w:cs="Calibri"/>
        </w:rPr>
        <w:t> </w:t>
      </w:r>
    </w:p>
    <w:p w14:paraId="32FD44C7"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944666D"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Unfortunately, some women did not support the war those that were part of the Women’s Social and Political Union were unwilling to put their cause on hold and left to form the Independent Women’s Social and Political Union that continued the militancy that the mainline suffragettes had ceased with the beginning of war. </w:t>
      </w:r>
      <w:r>
        <w:rPr>
          <w:rStyle w:val="eop"/>
          <w:rFonts w:ascii="Calibri" w:hAnsi="Calibri" w:cs="Calibri"/>
        </w:rPr>
        <w:t> </w:t>
      </w:r>
    </w:p>
    <w:p w14:paraId="101A3F2A"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9F5E062" w14:textId="1EC65706"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There were also divides between rich and poor. For example, at </w:t>
      </w:r>
      <w:proofErr w:type="spellStart"/>
      <w:r>
        <w:rPr>
          <w:rStyle w:val="normaltextrun"/>
          <w:rFonts w:ascii="Calibri" w:hAnsi="Calibri" w:cs="Calibri"/>
        </w:rPr>
        <w:t>Wintringham</w:t>
      </w:r>
      <w:proofErr w:type="spellEnd"/>
      <w:r>
        <w:rPr>
          <w:rStyle w:val="normaltextrun"/>
          <w:rFonts w:ascii="Calibri" w:hAnsi="Calibri" w:cs="Calibri"/>
        </w:rPr>
        <w:t xml:space="preserve"> Grammar School in Lincolnshire 250 boys formed a company that would later expand into the Grimsby Chums with the support of their headmaster. This shows that the mood in at least some areas of the wealthier classes were in support of the war</w:t>
      </w:r>
      <w:r w:rsidR="003843CF">
        <w:rPr>
          <w:rStyle w:val="FootnoteReference"/>
          <w:rFonts w:ascii="Calibri" w:hAnsi="Calibri" w:cs="Calibri"/>
        </w:rPr>
        <w:footnoteReference w:id="6"/>
      </w:r>
      <w:r>
        <w:rPr>
          <w:rStyle w:val="normaltextrun"/>
          <w:rFonts w:ascii="Calibri" w:hAnsi="Calibri" w:cs="Calibri"/>
        </w:rPr>
        <w:t xml:space="preserve">. </w:t>
      </w:r>
      <w:r>
        <w:rPr>
          <w:rStyle w:val="eop"/>
          <w:rFonts w:ascii="Calibri" w:hAnsi="Calibri" w:cs="Calibri"/>
        </w:rPr>
        <w:t> </w:t>
      </w:r>
    </w:p>
    <w:p w14:paraId="48ADFD4C"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55DB2373"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There were further divides between the age groups. This is best shown by the 250,000 boys who either enlisted or attempted to enlist in the British Army at the outbreak of the war some at the insistence of their fathers such as how John Kipling was pushed into service by his father Rudyard Kipling although this was not limited to just youngsters. </w:t>
      </w:r>
      <w:r>
        <w:rPr>
          <w:rStyle w:val="eop"/>
          <w:rFonts w:ascii="Calibri" w:hAnsi="Calibri" w:cs="Calibri"/>
        </w:rPr>
        <w:t> </w:t>
      </w:r>
    </w:p>
    <w:p w14:paraId="52EBE09F"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E15188A" w14:textId="017E415E"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Brock argues that there were severe political divisions within not just the Cabinet bit also across the political spectrum. The Cabinet of Asquith’s Liberal Government was divided with a constantly shifting majority swinging back and forth between support for war and support for peace. The major discussion was what was the public willing to </w:t>
      </w:r>
      <w:proofErr w:type="gramStart"/>
      <w:r>
        <w:rPr>
          <w:rStyle w:val="normaltextrun"/>
          <w:rFonts w:ascii="Calibri" w:hAnsi="Calibri" w:cs="Calibri"/>
        </w:rPr>
        <w:t>actually do</w:t>
      </w:r>
      <w:proofErr w:type="gramEnd"/>
      <w:r>
        <w:rPr>
          <w:rStyle w:val="normaltextrun"/>
          <w:rFonts w:ascii="Calibri" w:hAnsi="Calibri" w:cs="Calibri"/>
        </w:rPr>
        <w:t xml:space="preserve"> as although they did not have any concrete obligations to France, they did have some to Belgium and the question of whether as a matter of honour they should act on them</w:t>
      </w:r>
      <w:r w:rsidR="00830859">
        <w:rPr>
          <w:rStyle w:val="FootnoteReference"/>
          <w:rFonts w:ascii="Calibri" w:hAnsi="Calibri" w:cs="Calibri"/>
        </w:rPr>
        <w:footnoteReference w:id="7"/>
      </w:r>
      <w:r>
        <w:rPr>
          <w:rStyle w:val="normaltextrun"/>
          <w:rFonts w:ascii="Calibri" w:hAnsi="Calibri" w:cs="Calibri"/>
        </w:rPr>
        <w:t xml:space="preserve">. </w:t>
      </w:r>
      <w:r>
        <w:rPr>
          <w:rStyle w:val="eop"/>
          <w:rFonts w:ascii="Calibri" w:hAnsi="Calibri" w:cs="Calibri"/>
        </w:rPr>
        <w:t> </w:t>
      </w:r>
    </w:p>
    <w:p w14:paraId="4A5B4BBC"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B7550D4"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Overall, I can conclude that the view that the mood in Britain in 1914 was not wholeheartedly in favour of war and that there was significant opposition that sadly was unable to clearly get its message across in a useful and productive way. I am also of the belief that although the mood wasn’t fully in favour of war it was still mostly in favour especially among the groups of society that were more important to making the decision to go to war. </w:t>
      </w:r>
      <w:r>
        <w:rPr>
          <w:rStyle w:val="eop"/>
          <w:rFonts w:ascii="Calibri" w:hAnsi="Calibri" w:cs="Calibri"/>
        </w:rPr>
        <w:t> </w:t>
      </w:r>
    </w:p>
    <w:p w14:paraId="4EAA8D36" w14:textId="77777777" w:rsidR="00FB6963" w:rsidRDefault="00FB6963" w:rsidP="00FB69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82D7CB9" w14:textId="1EFE3772" w:rsidR="00FB6963" w:rsidRDefault="00FB6963" w:rsidP="004A6A6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9A1C22B" w14:textId="6DA2B679" w:rsidR="004A6A63" w:rsidRDefault="004A6A63" w:rsidP="004A6A63">
      <w:pPr>
        <w:pStyle w:val="paragraph"/>
        <w:spacing w:before="0" w:beforeAutospacing="0" w:after="0" w:afterAutospacing="0"/>
        <w:textAlignment w:val="baseline"/>
        <w:rPr>
          <w:rFonts w:ascii="Segoe UI" w:hAnsi="Segoe UI" w:cs="Segoe UI"/>
          <w:sz w:val="18"/>
          <w:szCs w:val="18"/>
        </w:rPr>
      </w:pPr>
    </w:p>
    <w:p w14:paraId="163F2B68" w14:textId="1070FA8B" w:rsidR="004A6A63" w:rsidRDefault="004A6A63" w:rsidP="004A6A63">
      <w:pPr>
        <w:pStyle w:val="paragraph"/>
        <w:spacing w:before="0" w:beforeAutospacing="0" w:after="0" w:afterAutospacing="0"/>
        <w:textAlignment w:val="baseline"/>
        <w:rPr>
          <w:rFonts w:ascii="Segoe UI" w:hAnsi="Segoe UI" w:cs="Segoe UI"/>
          <w:sz w:val="18"/>
          <w:szCs w:val="18"/>
        </w:rPr>
      </w:pPr>
    </w:p>
    <w:p w14:paraId="59485E17" w14:textId="484E9004" w:rsidR="004A6A63" w:rsidRDefault="004A6A63" w:rsidP="004A6A63">
      <w:pPr>
        <w:pStyle w:val="paragraph"/>
        <w:spacing w:before="0" w:beforeAutospacing="0" w:after="0" w:afterAutospacing="0"/>
        <w:textAlignment w:val="baseline"/>
        <w:rPr>
          <w:rFonts w:ascii="Segoe UI" w:hAnsi="Segoe UI" w:cs="Segoe UI"/>
          <w:sz w:val="18"/>
          <w:szCs w:val="18"/>
        </w:rPr>
      </w:pPr>
    </w:p>
    <w:p w14:paraId="08F7C65E" w14:textId="2481C09E" w:rsidR="004A6A63" w:rsidRDefault="004A6A63" w:rsidP="004A6A63">
      <w:pPr>
        <w:pStyle w:val="paragraph"/>
        <w:spacing w:before="0" w:beforeAutospacing="0" w:after="0" w:afterAutospacing="0"/>
        <w:textAlignment w:val="baseline"/>
        <w:rPr>
          <w:rFonts w:ascii="Segoe UI" w:hAnsi="Segoe UI" w:cs="Segoe UI"/>
          <w:sz w:val="18"/>
          <w:szCs w:val="18"/>
        </w:rPr>
      </w:pPr>
    </w:p>
    <w:p w14:paraId="20C73748" w14:textId="15A07C62" w:rsidR="004A6A63" w:rsidRDefault="004A6A63" w:rsidP="004A6A63">
      <w:pPr>
        <w:pStyle w:val="paragraph"/>
        <w:spacing w:before="0" w:beforeAutospacing="0" w:after="0" w:afterAutospacing="0"/>
        <w:textAlignment w:val="baseline"/>
        <w:rPr>
          <w:rFonts w:ascii="Segoe UI" w:hAnsi="Segoe UI" w:cs="Segoe UI"/>
          <w:sz w:val="18"/>
          <w:szCs w:val="18"/>
        </w:rPr>
      </w:pPr>
    </w:p>
    <w:p w14:paraId="48D06A0F" w14:textId="7E818C99" w:rsidR="004A6A63" w:rsidRDefault="004A6A63" w:rsidP="004A6A63">
      <w:pPr>
        <w:pStyle w:val="paragraph"/>
        <w:spacing w:before="0" w:beforeAutospacing="0" w:after="0" w:afterAutospacing="0"/>
        <w:textAlignment w:val="baseline"/>
        <w:rPr>
          <w:rFonts w:ascii="Segoe UI" w:hAnsi="Segoe UI" w:cs="Segoe UI"/>
          <w:sz w:val="18"/>
          <w:szCs w:val="18"/>
        </w:rPr>
      </w:pPr>
    </w:p>
    <w:p w14:paraId="4AFBD0E7" w14:textId="398A098E" w:rsidR="004A6A63" w:rsidRDefault="004A6A63" w:rsidP="004A6A63">
      <w:pPr>
        <w:pStyle w:val="paragraph"/>
        <w:spacing w:before="0" w:beforeAutospacing="0" w:after="0" w:afterAutospacing="0"/>
        <w:textAlignment w:val="baseline"/>
        <w:rPr>
          <w:rFonts w:ascii="Segoe UI" w:hAnsi="Segoe UI" w:cs="Segoe UI"/>
          <w:sz w:val="18"/>
          <w:szCs w:val="18"/>
        </w:rPr>
      </w:pPr>
    </w:p>
    <w:p w14:paraId="7F9D6C0B" w14:textId="5546CB92" w:rsidR="004A6A63" w:rsidRDefault="004A6A63" w:rsidP="004A6A63">
      <w:pPr>
        <w:pStyle w:val="paragraph"/>
        <w:spacing w:before="0" w:beforeAutospacing="0" w:after="0" w:afterAutospacing="0"/>
        <w:textAlignment w:val="baseline"/>
        <w:rPr>
          <w:rFonts w:ascii="Segoe UI" w:hAnsi="Segoe UI" w:cs="Segoe UI"/>
          <w:sz w:val="18"/>
          <w:szCs w:val="18"/>
        </w:rPr>
      </w:pPr>
    </w:p>
    <w:p w14:paraId="17FC7755" w14:textId="4B7AC2CF" w:rsidR="004A6A63" w:rsidRDefault="004A6A63" w:rsidP="004A6A63">
      <w:pPr>
        <w:pStyle w:val="paragraph"/>
        <w:spacing w:before="0" w:beforeAutospacing="0" w:after="0" w:afterAutospacing="0"/>
        <w:textAlignment w:val="baseline"/>
        <w:rPr>
          <w:rFonts w:ascii="Segoe UI" w:hAnsi="Segoe UI" w:cs="Segoe UI"/>
          <w:sz w:val="18"/>
          <w:szCs w:val="18"/>
        </w:rPr>
      </w:pPr>
    </w:p>
    <w:p w14:paraId="3F904B40" w14:textId="1DA3BE1A" w:rsidR="004A6A63" w:rsidRDefault="004A6A63" w:rsidP="004A6A63">
      <w:pPr>
        <w:pStyle w:val="paragraph"/>
        <w:spacing w:before="0" w:beforeAutospacing="0" w:after="0" w:afterAutospacing="0"/>
        <w:textAlignment w:val="baseline"/>
        <w:rPr>
          <w:rFonts w:ascii="Segoe UI" w:hAnsi="Segoe UI" w:cs="Segoe UI"/>
          <w:sz w:val="18"/>
          <w:szCs w:val="18"/>
        </w:rPr>
      </w:pPr>
    </w:p>
    <w:p w14:paraId="2DC0BBD8" w14:textId="55F3237C" w:rsidR="004A6A63" w:rsidRDefault="004A6A63" w:rsidP="004A6A63">
      <w:pPr>
        <w:pStyle w:val="paragraph"/>
        <w:spacing w:before="0" w:beforeAutospacing="0" w:after="0" w:afterAutospacing="0"/>
        <w:textAlignment w:val="baseline"/>
        <w:rPr>
          <w:rFonts w:ascii="Segoe UI" w:hAnsi="Segoe UI" w:cs="Segoe UI"/>
          <w:sz w:val="18"/>
          <w:szCs w:val="18"/>
        </w:rPr>
      </w:pPr>
    </w:p>
    <w:p w14:paraId="6BA539F7" w14:textId="3CADA47A" w:rsidR="004A6A63" w:rsidRDefault="004A6A63" w:rsidP="004A6A63">
      <w:pPr>
        <w:pStyle w:val="paragraph"/>
        <w:spacing w:before="0" w:beforeAutospacing="0" w:after="0" w:afterAutospacing="0"/>
        <w:textAlignment w:val="baseline"/>
        <w:rPr>
          <w:rFonts w:ascii="Segoe UI" w:hAnsi="Segoe UI" w:cs="Segoe UI"/>
          <w:sz w:val="18"/>
          <w:szCs w:val="18"/>
        </w:rPr>
      </w:pPr>
    </w:p>
    <w:p w14:paraId="6C8BBDF3" w14:textId="4803071E" w:rsidR="004A6A63" w:rsidRDefault="004A6A63" w:rsidP="004A6A63">
      <w:pPr>
        <w:pStyle w:val="paragraph"/>
        <w:spacing w:before="0" w:beforeAutospacing="0" w:after="0" w:afterAutospacing="0"/>
        <w:textAlignment w:val="baseline"/>
        <w:rPr>
          <w:rFonts w:ascii="Segoe UI" w:hAnsi="Segoe UI" w:cs="Segoe UI"/>
          <w:sz w:val="18"/>
          <w:szCs w:val="18"/>
        </w:rPr>
      </w:pPr>
    </w:p>
    <w:p w14:paraId="3734DCD8" w14:textId="0209273C" w:rsidR="004A6A63" w:rsidRDefault="004A6A63" w:rsidP="004A6A63">
      <w:pPr>
        <w:pStyle w:val="paragraph"/>
        <w:spacing w:before="0" w:beforeAutospacing="0" w:after="0" w:afterAutospacing="0"/>
        <w:textAlignment w:val="baseline"/>
        <w:rPr>
          <w:rFonts w:ascii="Segoe UI" w:hAnsi="Segoe UI" w:cs="Segoe UI"/>
          <w:sz w:val="18"/>
          <w:szCs w:val="18"/>
        </w:rPr>
      </w:pPr>
    </w:p>
    <w:p w14:paraId="3432D754" w14:textId="1D7B83A4" w:rsidR="004A6A63" w:rsidRDefault="004A6A63" w:rsidP="004A6A63">
      <w:pPr>
        <w:pStyle w:val="paragraph"/>
        <w:spacing w:before="0" w:beforeAutospacing="0" w:after="0" w:afterAutospacing="0"/>
        <w:textAlignment w:val="baseline"/>
        <w:rPr>
          <w:rFonts w:ascii="Segoe UI" w:hAnsi="Segoe UI" w:cs="Segoe UI"/>
          <w:sz w:val="18"/>
          <w:szCs w:val="18"/>
        </w:rPr>
      </w:pPr>
    </w:p>
    <w:p w14:paraId="2675F80E" w14:textId="16BA03E2" w:rsidR="004A6A63" w:rsidRDefault="004A6A63" w:rsidP="004A6A63">
      <w:pPr>
        <w:pStyle w:val="paragraph"/>
        <w:spacing w:before="0" w:beforeAutospacing="0" w:after="0" w:afterAutospacing="0"/>
        <w:textAlignment w:val="baseline"/>
        <w:rPr>
          <w:rFonts w:ascii="Segoe UI" w:hAnsi="Segoe UI" w:cs="Segoe UI"/>
          <w:sz w:val="18"/>
          <w:szCs w:val="18"/>
        </w:rPr>
      </w:pPr>
    </w:p>
    <w:p w14:paraId="7933C3EC" w14:textId="51F0383C" w:rsidR="004A6A63" w:rsidRDefault="004A6A63" w:rsidP="004A6A63">
      <w:pPr>
        <w:pStyle w:val="paragraph"/>
        <w:spacing w:before="0" w:beforeAutospacing="0" w:after="0" w:afterAutospacing="0"/>
        <w:textAlignment w:val="baseline"/>
        <w:rPr>
          <w:rFonts w:ascii="Segoe UI" w:hAnsi="Segoe UI" w:cs="Segoe UI"/>
          <w:sz w:val="18"/>
          <w:szCs w:val="18"/>
        </w:rPr>
      </w:pPr>
    </w:p>
    <w:p w14:paraId="07AA273F" w14:textId="25B06060" w:rsidR="004A6A63" w:rsidRDefault="004A6A63" w:rsidP="004A6A63">
      <w:pPr>
        <w:pStyle w:val="paragraph"/>
        <w:spacing w:before="0" w:beforeAutospacing="0" w:after="0" w:afterAutospacing="0"/>
        <w:textAlignment w:val="baseline"/>
        <w:rPr>
          <w:rFonts w:ascii="Segoe UI" w:hAnsi="Segoe UI" w:cs="Segoe UI"/>
          <w:sz w:val="18"/>
          <w:szCs w:val="18"/>
        </w:rPr>
      </w:pPr>
    </w:p>
    <w:p w14:paraId="7A6DF719" w14:textId="67AD6B12" w:rsidR="004A6A63" w:rsidRDefault="004A6A63" w:rsidP="004A6A63">
      <w:pPr>
        <w:pStyle w:val="paragraph"/>
        <w:spacing w:before="0" w:beforeAutospacing="0" w:after="0" w:afterAutospacing="0"/>
        <w:textAlignment w:val="baseline"/>
        <w:rPr>
          <w:rFonts w:ascii="Segoe UI" w:hAnsi="Segoe UI" w:cs="Segoe UI"/>
          <w:sz w:val="18"/>
          <w:szCs w:val="18"/>
        </w:rPr>
      </w:pPr>
    </w:p>
    <w:p w14:paraId="02F18E73" w14:textId="07F27D64" w:rsidR="004A6A63" w:rsidRDefault="004A6A63" w:rsidP="004A6A63">
      <w:pPr>
        <w:pStyle w:val="paragraph"/>
        <w:spacing w:before="0" w:beforeAutospacing="0" w:after="0" w:afterAutospacing="0"/>
        <w:textAlignment w:val="baseline"/>
        <w:rPr>
          <w:rFonts w:ascii="Segoe UI" w:hAnsi="Segoe UI" w:cs="Segoe UI"/>
          <w:sz w:val="18"/>
          <w:szCs w:val="18"/>
        </w:rPr>
      </w:pPr>
    </w:p>
    <w:p w14:paraId="7CC10DDD" w14:textId="153DD263" w:rsidR="004A6A63" w:rsidRDefault="004A6A63" w:rsidP="004A6A63">
      <w:pPr>
        <w:pStyle w:val="paragraph"/>
        <w:spacing w:before="0" w:beforeAutospacing="0" w:after="0" w:afterAutospacing="0"/>
        <w:textAlignment w:val="baseline"/>
        <w:rPr>
          <w:rFonts w:ascii="Segoe UI" w:hAnsi="Segoe UI" w:cs="Segoe UI"/>
          <w:sz w:val="18"/>
          <w:szCs w:val="18"/>
        </w:rPr>
      </w:pPr>
    </w:p>
    <w:p w14:paraId="7FBCD4F0" w14:textId="0A41E524" w:rsidR="004A6A63" w:rsidRDefault="004A6A63" w:rsidP="004A6A63">
      <w:pPr>
        <w:pStyle w:val="paragraph"/>
        <w:spacing w:before="0" w:beforeAutospacing="0" w:after="0" w:afterAutospacing="0"/>
        <w:textAlignment w:val="baseline"/>
        <w:rPr>
          <w:rFonts w:ascii="Segoe UI" w:hAnsi="Segoe UI" w:cs="Segoe UI"/>
          <w:sz w:val="18"/>
          <w:szCs w:val="18"/>
        </w:rPr>
      </w:pPr>
    </w:p>
    <w:p w14:paraId="1D004390" w14:textId="2E2CA89B" w:rsidR="004A6A63" w:rsidRDefault="004A6A63" w:rsidP="004A6A63">
      <w:pPr>
        <w:pStyle w:val="paragraph"/>
        <w:spacing w:before="0" w:beforeAutospacing="0" w:after="0" w:afterAutospacing="0"/>
        <w:textAlignment w:val="baseline"/>
        <w:rPr>
          <w:rFonts w:ascii="Segoe UI" w:hAnsi="Segoe UI" w:cs="Segoe UI"/>
          <w:sz w:val="18"/>
          <w:szCs w:val="18"/>
        </w:rPr>
      </w:pPr>
    </w:p>
    <w:p w14:paraId="024D0C1E" w14:textId="60D68B27" w:rsidR="004A6A63" w:rsidRDefault="004A6A63" w:rsidP="004A6A63">
      <w:pPr>
        <w:pStyle w:val="paragraph"/>
        <w:spacing w:before="0" w:beforeAutospacing="0" w:after="0" w:afterAutospacing="0"/>
        <w:textAlignment w:val="baseline"/>
        <w:rPr>
          <w:rFonts w:ascii="Segoe UI" w:hAnsi="Segoe UI" w:cs="Segoe UI"/>
          <w:sz w:val="18"/>
          <w:szCs w:val="18"/>
        </w:rPr>
      </w:pPr>
    </w:p>
    <w:p w14:paraId="21A5301D" w14:textId="593383F4" w:rsidR="004A6A63" w:rsidRDefault="004A6A63" w:rsidP="004A6A63">
      <w:pPr>
        <w:pStyle w:val="paragraph"/>
        <w:spacing w:before="0" w:beforeAutospacing="0" w:after="0" w:afterAutospacing="0"/>
        <w:textAlignment w:val="baseline"/>
        <w:rPr>
          <w:rFonts w:ascii="Segoe UI" w:hAnsi="Segoe UI" w:cs="Segoe UI"/>
          <w:sz w:val="18"/>
          <w:szCs w:val="18"/>
        </w:rPr>
      </w:pPr>
    </w:p>
    <w:p w14:paraId="285A030E" w14:textId="2033FAA4" w:rsidR="004A6A63" w:rsidRDefault="004A6A63" w:rsidP="004A6A63">
      <w:pPr>
        <w:pStyle w:val="paragraph"/>
        <w:spacing w:before="0" w:beforeAutospacing="0" w:after="0" w:afterAutospacing="0"/>
        <w:textAlignment w:val="baseline"/>
        <w:rPr>
          <w:rFonts w:ascii="Segoe UI" w:hAnsi="Segoe UI" w:cs="Segoe UI"/>
          <w:sz w:val="18"/>
          <w:szCs w:val="18"/>
        </w:rPr>
      </w:pPr>
    </w:p>
    <w:p w14:paraId="05233528" w14:textId="32BAEF43" w:rsidR="004A6A63" w:rsidRDefault="004A6A63" w:rsidP="004A6A63">
      <w:pPr>
        <w:pStyle w:val="paragraph"/>
        <w:spacing w:before="0" w:beforeAutospacing="0" w:after="0" w:afterAutospacing="0"/>
        <w:textAlignment w:val="baseline"/>
        <w:rPr>
          <w:rFonts w:ascii="Segoe UI" w:hAnsi="Segoe UI" w:cs="Segoe UI"/>
          <w:sz w:val="18"/>
          <w:szCs w:val="18"/>
        </w:rPr>
      </w:pPr>
    </w:p>
    <w:p w14:paraId="4879ABDD" w14:textId="7EC324E8" w:rsidR="004A6A63" w:rsidRDefault="004A6A63" w:rsidP="004A6A63">
      <w:pPr>
        <w:pStyle w:val="paragraph"/>
        <w:spacing w:before="0" w:beforeAutospacing="0" w:after="0" w:afterAutospacing="0"/>
        <w:textAlignment w:val="baseline"/>
        <w:rPr>
          <w:rFonts w:ascii="Segoe UI" w:hAnsi="Segoe UI" w:cs="Segoe UI"/>
          <w:sz w:val="18"/>
          <w:szCs w:val="18"/>
        </w:rPr>
      </w:pPr>
    </w:p>
    <w:p w14:paraId="1F6BE081" w14:textId="08907109" w:rsidR="004A6A63" w:rsidRDefault="004A6A63" w:rsidP="004A6A63">
      <w:pPr>
        <w:pStyle w:val="paragraph"/>
        <w:spacing w:before="0" w:beforeAutospacing="0" w:after="0" w:afterAutospacing="0"/>
        <w:textAlignment w:val="baseline"/>
        <w:rPr>
          <w:rFonts w:ascii="Segoe UI" w:hAnsi="Segoe UI" w:cs="Segoe UI"/>
          <w:sz w:val="18"/>
          <w:szCs w:val="18"/>
        </w:rPr>
      </w:pPr>
    </w:p>
    <w:p w14:paraId="284D1447" w14:textId="300FAF80" w:rsidR="004A6A63" w:rsidRDefault="004A6A63" w:rsidP="004A6A63">
      <w:pPr>
        <w:pStyle w:val="paragraph"/>
        <w:spacing w:before="0" w:beforeAutospacing="0" w:after="0" w:afterAutospacing="0"/>
        <w:textAlignment w:val="baseline"/>
        <w:rPr>
          <w:rFonts w:ascii="Segoe UI" w:hAnsi="Segoe UI" w:cs="Segoe UI"/>
          <w:sz w:val="18"/>
          <w:szCs w:val="18"/>
        </w:rPr>
      </w:pPr>
    </w:p>
    <w:p w14:paraId="64CC94D1" w14:textId="17761588" w:rsidR="004A6A63" w:rsidRDefault="004A6A63" w:rsidP="004A6A63">
      <w:pPr>
        <w:pStyle w:val="paragraph"/>
        <w:spacing w:before="0" w:beforeAutospacing="0" w:after="0" w:afterAutospacing="0"/>
        <w:textAlignment w:val="baseline"/>
        <w:rPr>
          <w:rFonts w:ascii="Segoe UI" w:hAnsi="Segoe UI" w:cs="Segoe UI"/>
          <w:sz w:val="18"/>
          <w:szCs w:val="18"/>
        </w:rPr>
      </w:pPr>
    </w:p>
    <w:p w14:paraId="2824C2B2" w14:textId="04E5198D" w:rsidR="004A6A63" w:rsidRDefault="004A6A63" w:rsidP="004A6A63">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Bibliography</w:t>
      </w:r>
    </w:p>
    <w:p w14:paraId="6411F430" w14:textId="1FD1B799" w:rsidR="004A6A63" w:rsidRDefault="004A6A63" w:rsidP="004A6A63">
      <w:pPr>
        <w:pStyle w:val="paragraph"/>
        <w:spacing w:before="0" w:beforeAutospacing="0" w:after="0" w:afterAutospacing="0"/>
        <w:textAlignment w:val="baseline"/>
        <w:rPr>
          <w:rFonts w:ascii="Segoe UI" w:hAnsi="Segoe UI" w:cs="Segoe UI"/>
          <w:sz w:val="18"/>
          <w:szCs w:val="18"/>
        </w:rPr>
      </w:pPr>
    </w:p>
    <w:p w14:paraId="7DAF5C58"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COOPER, JOHN MILTON, ‘WORLD WAR I: EUROPEAN ORIGINS AND AMERICAN INTERVENTION’, </w:t>
      </w:r>
      <w:r w:rsidRPr="00312506">
        <w:rPr>
          <w:rFonts w:ascii="Times New Roman" w:eastAsia="Times New Roman" w:hAnsi="Times New Roman" w:cs="Times New Roman"/>
          <w:i/>
          <w:iCs/>
          <w:lang w:eastAsia="en-GB"/>
        </w:rPr>
        <w:t>The Virginia Quarterly Review</w:t>
      </w:r>
      <w:r w:rsidRPr="00312506">
        <w:rPr>
          <w:rFonts w:ascii="Times New Roman" w:eastAsia="Times New Roman" w:hAnsi="Times New Roman" w:cs="Times New Roman"/>
          <w:lang w:eastAsia="en-GB"/>
        </w:rPr>
        <w:t>, 56.1 (1980), 1–18</w:t>
      </w:r>
    </w:p>
    <w:p w14:paraId="4B769F3E"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Evans, R. J. W., and Hartmut Pogge von </w:t>
      </w:r>
      <w:proofErr w:type="spellStart"/>
      <w:r w:rsidRPr="00312506">
        <w:rPr>
          <w:rFonts w:ascii="Times New Roman" w:eastAsia="Times New Roman" w:hAnsi="Times New Roman" w:cs="Times New Roman"/>
          <w:lang w:eastAsia="en-GB"/>
        </w:rPr>
        <w:t>Strandmann</w:t>
      </w:r>
      <w:proofErr w:type="spellEnd"/>
      <w:r w:rsidRPr="00312506">
        <w:rPr>
          <w:rFonts w:ascii="Times New Roman" w:eastAsia="Times New Roman" w:hAnsi="Times New Roman" w:cs="Times New Roman"/>
          <w:lang w:eastAsia="en-GB"/>
        </w:rPr>
        <w:t xml:space="preserve">, </w:t>
      </w:r>
      <w:r w:rsidRPr="00312506">
        <w:rPr>
          <w:rFonts w:ascii="Times New Roman" w:eastAsia="Times New Roman" w:hAnsi="Times New Roman" w:cs="Times New Roman"/>
          <w:i/>
          <w:iCs/>
          <w:lang w:eastAsia="en-GB"/>
        </w:rPr>
        <w:t>The Coming of the First World War</w:t>
      </w:r>
      <w:r w:rsidRPr="00312506">
        <w:rPr>
          <w:rFonts w:ascii="Times New Roman" w:eastAsia="Times New Roman" w:hAnsi="Times New Roman" w:cs="Times New Roman"/>
          <w:lang w:eastAsia="en-GB"/>
        </w:rPr>
        <w:t xml:space="preserve"> (Clarendon Press, 1988)</w:t>
      </w:r>
    </w:p>
    <w:p w14:paraId="20C7F05B"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Kennedy, Rosie, ‘Children in Uniform’, in </w:t>
      </w:r>
      <w:r w:rsidRPr="00312506">
        <w:rPr>
          <w:rFonts w:ascii="Times New Roman" w:eastAsia="Times New Roman" w:hAnsi="Times New Roman" w:cs="Times New Roman"/>
          <w:i/>
          <w:iCs/>
          <w:lang w:eastAsia="en-GB"/>
        </w:rPr>
        <w:t>The Children’s War: Britain, 1914–1918</w:t>
      </w:r>
      <w:r w:rsidRPr="00312506">
        <w:rPr>
          <w:rFonts w:ascii="Times New Roman" w:eastAsia="Times New Roman" w:hAnsi="Times New Roman" w:cs="Times New Roman"/>
          <w:lang w:eastAsia="en-GB"/>
        </w:rPr>
        <w:t>, ed. by Rosie Kennedy (London: Palgrave Macmillan UK, 2014), pp. 83–119 &lt;</w:t>
      </w:r>
      <w:hyperlink r:id="rId7" w:history="1">
        <w:r w:rsidRPr="00312506">
          <w:rPr>
            <w:rFonts w:ascii="Times New Roman" w:eastAsia="Times New Roman" w:hAnsi="Times New Roman" w:cs="Times New Roman"/>
            <w:color w:val="0000FF"/>
            <w:u w:val="single"/>
            <w:lang w:eastAsia="en-GB"/>
          </w:rPr>
          <w:t>https://doi.org/10.1057/9781137319357_4</w:t>
        </w:r>
      </w:hyperlink>
      <w:r w:rsidRPr="00312506">
        <w:rPr>
          <w:rFonts w:ascii="Times New Roman" w:eastAsia="Times New Roman" w:hAnsi="Times New Roman" w:cs="Times New Roman"/>
          <w:lang w:eastAsia="en-GB"/>
        </w:rPr>
        <w:t>&gt;</w:t>
      </w:r>
    </w:p>
    <w:p w14:paraId="315C9CF0"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 ‘Conclusion’, in </w:t>
      </w:r>
      <w:r w:rsidRPr="00312506">
        <w:rPr>
          <w:rFonts w:ascii="Times New Roman" w:eastAsia="Times New Roman" w:hAnsi="Times New Roman" w:cs="Times New Roman"/>
          <w:i/>
          <w:iCs/>
          <w:lang w:eastAsia="en-GB"/>
        </w:rPr>
        <w:t>The Children’s War: Britain, 1914–1918</w:t>
      </w:r>
      <w:r w:rsidRPr="00312506">
        <w:rPr>
          <w:rFonts w:ascii="Times New Roman" w:eastAsia="Times New Roman" w:hAnsi="Times New Roman" w:cs="Times New Roman"/>
          <w:lang w:eastAsia="en-GB"/>
        </w:rPr>
        <w:t>, ed. by Rosie Kennedy (London: Palgrave Macmillan UK, 2014), pp. 155–60 &lt;</w:t>
      </w:r>
      <w:hyperlink r:id="rId8" w:history="1">
        <w:r w:rsidRPr="00312506">
          <w:rPr>
            <w:rFonts w:ascii="Times New Roman" w:eastAsia="Times New Roman" w:hAnsi="Times New Roman" w:cs="Times New Roman"/>
            <w:color w:val="0000FF"/>
            <w:u w:val="single"/>
            <w:lang w:eastAsia="en-GB"/>
          </w:rPr>
          <w:t>https://doi.org/10.1057/9781137319357_6</w:t>
        </w:r>
      </w:hyperlink>
      <w:r w:rsidRPr="00312506">
        <w:rPr>
          <w:rFonts w:ascii="Times New Roman" w:eastAsia="Times New Roman" w:hAnsi="Times New Roman" w:cs="Times New Roman"/>
          <w:lang w:eastAsia="en-GB"/>
        </w:rPr>
        <w:t>&gt;</w:t>
      </w:r>
    </w:p>
    <w:p w14:paraId="48FD80C6"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 ‘Families at War’, in </w:t>
      </w:r>
      <w:r w:rsidRPr="00312506">
        <w:rPr>
          <w:rFonts w:ascii="Times New Roman" w:eastAsia="Times New Roman" w:hAnsi="Times New Roman" w:cs="Times New Roman"/>
          <w:i/>
          <w:iCs/>
          <w:lang w:eastAsia="en-GB"/>
        </w:rPr>
        <w:t>The Children’s War: Britain, 1914–1918</w:t>
      </w:r>
      <w:r w:rsidRPr="00312506">
        <w:rPr>
          <w:rFonts w:ascii="Times New Roman" w:eastAsia="Times New Roman" w:hAnsi="Times New Roman" w:cs="Times New Roman"/>
          <w:lang w:eastAsia="en-GB"/>
        </w:rPr>
        <w:t>, ed. by Rosie Kennedy (London: Palgrave Macmillan UK, 2014), pp. 21–50 &lt;</w:t>
      </w:r>
      <w:hyperlink r:id="rId9" w:history="1">
        <w:r w:rsidRPr="00312506">
          <w:rPr>
            <w:rFonts w:ascii="Times New Roman" w:eastAsia="Times New Roman" w:hAnsi="Times New Roman" w:cs="Times New Roman"/>
            <w:color w:val="0000FF"/>
            <w:u w:val="single"/>
            <w:lang w:eastAsia="en-GB"/>
          </w:rPr>
          <w:t>https://doi.org/10.1057/9781137319357_2</w:t>
        </w:r>
      </w:hyperlink>
      <w:r w:rsidRPr="00312506">
        <w:rPr>
          <w:rFonts w:ascii="Times New Roman" w:eastAsia="Times New Roman" w:hAnsi="Times New Roman" w:cs="Times New Roman"/>
          <w:lang w:eastAsia="en-GB"/>
        </w:rPr>
        <w:t>&gt;</w:t>
      </w:r>
    </w:p>
    <w:p w14:paraId="404200C0"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 ‘Introduction’, in </w:t>
      </w:r>
      <w:r w:rsidRPr="00312506">
        <w:rPr>
          <w:rFonts w:ascii="Times New Roman" w:eastAsia="Times New Roman" w:hAnsi="Times New Roman" w:cs="Times New Roman"/>
          <w:i/>
          <w:iCs/>
          <w:lang w:eastAsia="en-GB"/>
        </w:rPr>
        <w:t>The Children’s War: Britain, 1914–1918</w:t>
      </w:r>
      <w:r w:rsidRPr="00312506">
        <w:rPr>
          <w:rFonts w:ascii="Times New Roman" w:eastAsia="Times New Roman" w:hAnsi="Times New Roman" w:cs="Times New Roman"/>
          <w:lang w:eastAsia="en-GB"/>
        </w:rPr>
        <w:t>, ed. by Rosie Kennedy (London: Palgrave Macmillan UK, 2014), pp. 1–20 &lt;</w:t>
      </w:r>
      <w:hyperlink r:id="rId10" w:history="1">
        <w:r w:rsidRPr="00312506">
          <w:rPr>
            <w:rFonts w:ascii="Times New Roman" w:eastAsia="Times New Roman" w:hAnsi="Times New Roman" w:cs="Times New Roman"/>
            <w:color w:val="0000FF"/>
            <w:u w:val="single"/>
            <w:lang w:eastAsia="en-GB"/>
          </w:rPr>
          <w:t>https://doi.org/10.1057/9781137319357_1</w:t>
        </w:r>
      </w:hyperlink>
      <w:r w:rsidRPr="00312506">
        <w:rPr>
          <w:rFonts w:ascii="Times New Roman" w:eastAsia="Times New Roman" w:hAnsi="Times New Roman" w:cs="Times New Roman"/>
          <w:lang w:eastAsia="en-GB"/>
        </w:rPr>
        <w:t>&gt;</w:t>
      </w:r>
    </w:p>
    <w:p w14:paraId="3F2390E7"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 ‘War Imagined’, in </w:t>
      </w:r>
      <w:r w:rsidRPr="00312506">
        <w:rPr>
          <w:rFonts w:ascii="Times New Roman" w:eastAsia="Times New Roman" w:hAnsi="Times New Roman" w:cs="Times New Roman"/>
          <w:i/>
          <w:iCs/>
          <w:lang w:eastAsia="en-GB"/>
        </w:rPr>
        <w:t>The Children’s War: Britain, 1914–1918</w:t>
      </w:r>
      <w:r w:rsidRPr="00312506">
        <w:rPr>
          <w:rFonts w:ascii="Times New Roman" w:eastAsia="Times New Roman" w:hAnsi="Times New Roman" w:cs="Times New Roman"/>
          <w:lang w:eastAsia="en-GB"/>
        </w:rPr>
        <w:t>, ed. by Rosie Kennedy (London: Palgrave Macmillan UK, 2014), pp. 51–82 &lt;</w:t>
      </w:r>
      <w:hyperlink r:id="rId11" w:history="1">
        <w:r w:rsidRPr="00312506">
          <w:rPr>
            <w:rFonts w:ascii="Times New Roman" w:eastAsia="Times New Roman" w:hAnsi="Times New Roman" w:cs="Times New Roman"/>
            <w:color w:val="0000FF"/>
            <w:u w:val="single"/>
            <w:lang w:eastAsia="en-GB"/>
          </w:rPr>
          <w:t>https://doi.org/10.1057/9781137319357_3</w:t>
        </w:r>
      </w:hyperlink>
      <w:r w:rsidRPr="00312506">
        <w:rPr>
          <w:rFonts w:ascii="Times New Roman" w:eastAsia="Times New Roman" w:hAnsi="Times New Roman" w:cs="Times New Roman"/>
          <w:lang w:eastAsia="en-GB"/>
        </w:rPr>
        <w:t>&gt;</w:t>
      </w:r>
    </w:p>
    <w:p w14:paraId="527ACEE0"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 ‘War in the Classroom’, in </w:t>
      </w:r>
      <w:r w:rsidRPr="00312506">
        <w:rPr>
          <w:rFonts w:ascii="Times New Roman" w:eastAsia="Times New Roman" w:hAnsi="Times New Roman" w:cs="Times New Roman"/>
          <w:i/>
          <w:iCs/>
          <w:lang w:eastAsia="en-GB"/>
        </w:rPr>
        <w:t>The Children’s War: Britain, 1914–1918</w:t>
      </w:r>
      <w:r w:rsidRPr="00312506">
        <w:rPr>
          <w:rFonts w:ascii="Times New Roman" w:eastAsia="Times New Roman" w:hAnsi="Times New Roman" w:cs="Times New Roman"/>
          <w:lang w:eastAsia="en-GB"/>
        </w:rPr>
        <w:t>, ed. by Rosie Kennedy (London: Palgrave Macmillan UK, 2014), pp. 120–54 &lt;</w:t>
      </w:r>
      <w:hyperlink r:id="rId12" w:history="1">
        <w:r w:rsidRPr="00312506">
          <w:rPr>
            <w:rFonts w:ascii="Times New Roman" w:eastAsia="Times New Roman" w:hAnsi="Times New Roman" w:cs="Times New Roman"/>
            <w:color w:val="0000FF"/>
            <w:u w:val="single"/>
            <w:lang w:eastAsia="en-GB"/>
          </w:rPr>
          <w:t>https://doi.org/10.1057/9781137319357_5</w:t>
        </w:r>
      </w:hyperlink>
      <w:r w:rsidRPr="00312506">
        <w:rPr>
          <w:rFonts w:ascii="Times New Roman" w:eastAsia="Times New Roman" w:hAnsi="Times New Roman" w:cs="Times New Roman"/>
          <w:lang w:eastAsia="en-GB"/>
        </w:rPr>
        <w:t>&gt;</w:t>
      </w:r>
    </w:p>
    <w:p w14:paraId="4C5F42DD"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Kent, Susan Kingsley, </w:t>
      </w:r>
      <w:r w:rsidRPr="00312506">
        <w:rPr>
          <w:rFonts w:ascii="Times New Roman" w:eastAsia="Times New Roman" w:hAnsi="Times New Roman" w:cs="Times New Roman"/>
          <w:i/>
          <w:iCs/>
          <w:lang w:eastAsia="en-GB"/>
        </w:rPr>
        <w:t>Sex and Suffrage in Britain, 1860-1914</w:t>
      </w:r>
      <w:r w:rsidRPr="00312506">
        <w:rPr>
          <w:rFonts w:ascii="Times New Roman" w:eastAsia="Times New Roman" w:hAnsi="Times New Roman" w:cs="Times New Roman"/>
          <w:lang w:eastAsia="en-GB"/>
        </w:rPr>
        <w:t xml:space="preserve">, </w:t>
      </w:r>
      <w:r w:rsidRPr="00312506">
        <w:rPr>
          <w:rFonts w:ascii="Times New Roman" w:eastAsia="Times New Roman" w:hAnsi="Times New Roman" w:cs="Times New Roman"/>
          <w:i/>
          <w:iCs/>
          <w:lang w:eastAsia="en-GB"/>
        </w:rPr>
        <w:t>Sex and Suffrage in Britain, 1860-1914</w:t>
      </w:r>
      <w:r w:rsidRPr="00312506">
        <w:rPr>
          <w:rFonts w:ascii="Times New Roman" w:eastAsia="Times New Roman" w:hAnsi="Times New Roman" w:cs="Times New Roman"/>
          <w:lang w:eastAsia="en-GB"/>
        </w:rPr>
        <w:t xml:space="preserve"> (Princeton University Press, 2014) &lt;</w:t>
      </w:r>
      <w:hyperlink r:id="rId13" w:history="1">
        <w:r w:rsidRPr="00312506">
          <w:rPr>
            <w:rFonts w:ascii="Times New Roman" w:eastAsia="Times New Roman" w:hAnsi="Times New Roman" w:cs="Times New Roman"/>
            <w:color w:val="0000FF"/>
            <w:u w:val="single"/>
            <w:lang w:eastAsia="en-GB"/>
          </w:rPr>
          <w:t>https://doi.org/10.1515/9781400858637</w:t>
        </w:r>
      </w:hyperlink>
      <w:r w:rsidRPr="00312506">
        <w:rPr>
          <w:rFonts w:ascii="Times New Roman" w:eastAsia="Times New Roman" w:hAnsi="Times New Roman" w:cs="Times New Roman"/>
          <w:lang w:eastAsia="en-GB"/>
        </w:rPr>
        <w:t>&gt;</w:t>
      </w:r>
    </w:p>
    <w:p w14:paraId="7D94E9CE" w14:textId="77777777" w:rsidR="00312506" w:rsidRPr="00312506" w:rsidRDefault="00312506" w:rsidP="00312506">
      <w:pPr>
        <w:ind w:hanging="480"/>
        <w:rPr>
          <w:rFonts w:ascii="Times New Roman" w:eastAsia="Times New Roman" w:hAnsi="Times New Roman" w:cs="Times New Roman"/>
          <w:lang w:eastAsia="en-GB"/>
        </w:rPr>
      </w:pPr>
      <w:proofErr w:type="spellStart"/>
      <w:r w:rsidRPr="00312506">
        <w:rPr>
          <w:rFonts w:ascii="Times New Roman" w:eastAsia="Times New Roman" w:hAnsi="Times New Roman" w:cs="Times New Roman"/>
          <w:lang w:eastAsia="en-GB"/>
        </w:rPr>
        <w:t>Kettenacker</w:t>
      </w:r>
      <w:proofErr w:type="spellEnd"/>
      <w:r w:rsidRPr="00312506">
        <w:rPr>
          <w:rFonts w:ascii="Times New Roman" w:eastAsia="Times New Roman" w:hAnsi="Times New Roman" w:cs="Times New Roman"/>
          <w:lang w:eastAsia="en-GB"/>
        </w:rPr>
        <w:t xml:space="preserve">, Lothar, and </w:t>
      </w:r>
      <w:proofErr w:type="spellStart"/>
      <w:r w:rsidRPr="00312506">
        <w:rPr>
          <w:rFonts w:ascii="Times New Roman" w:eastAsia="Times New Roman" w:hAnsi="Times New Roman" w:cs="Times New Roman"/>
          <w:lang w:eastAsia="en-GB"/>
        </w:rPr>
        <w:t>Torsten</w:t>
      </w:r>
      <w:proofErr w:type="spellEnd"/>
      <w:r w:rsidRPr="00312506">
        <w:rPr>
          <w:rFonts w:ascii="Times New Roman" w:eastAsia="Times New Roman" w:hAnsi="Times New Roman" w:cs="Times New Roman"/>
          <w:lang w:eastAsia="en-GB"/>
        </w:rPr>
        <w:t xml:space="preserve"> </w:t>
      </w:r>
      <w:proofErr w:type="spellStart"/>
      <w:r w:rsidRPr="00312506">
        <w:rPr>
          <w:rFonts w:ascii="Times New Roman" w:eastAsia="Times New Roman" w:hAnsi="Times New Roman" w:cs="Times New Roman"/>
          <w:lang w:eastAsia="en-GB"/>
        </w:rPr>
        <w:t>Riotte</w:t>
      </w:r>
      <w:proofErr w:type="spellEnd"/>
      <w:r w:rsidRPr="00312506">
        <w:rPr>
          <w:rFonts w:ascii="Times New Roman" w:eastAsia="Times New Roman" w:hAnsi="Times New Roman" w:cs="Times New Roman"/>
          <w:lang w:eastAsia="en-GB"/>
        </w:rPr>
        <w:t xml:space="preserve">, </w:t>
      </w:r>
      <w:r w:rsidRPr="00312506">
        <w:rPr>
          <w:rFonts w:ascii="Times New Roman" w:eastAsia="Times New Roman" w:hAnsi="Times New Roman" w:cs="Times New Roman"/>
          <w:i/>
          <w:iCs/>
          <w:lang w:eastAsia="en-GB"/>
        </w:rPr>
        <w:t>The Legacies of Two World Wars: European Societies in the Twentieth Century</w:t>
      </w:r>
      <w:r w:rsidRPr="00312506">
        <w:rPr>
          <w:rFonts w:ascii="Times New Roman" w:eastAsia="Times New Roman" w:hAnsi="Times New Roman" w:cs="Times New Roman"/>
          <w:lang w:eastAsia="en-GB"/>
        </w:rPr>
        <w:t xml:space="preserve"> (</w:t>
      </w:r>
      <w:proofErr w:type="spellStart"/>
      <w:r w:rsidRPr="00312506">
        <w:rPr>
          <w:rFonts w:ascii="Times New Roman" w:eastAsia="Times New Roman" w:hAnsi="Times New Roman" w:cs="Times New Roman"/>
          <w:lang w:eastAsia="en-GB"/>
        </w:rPr>
        <w:t>Berghahn</w:t>
      </w:r>
      <w:proofErr w:type="spellEnd"/>
      <w:r w:rsidRPr="00312506">
        <w:rPr>
          <w:rFonts w:ascii="Times New Roman" w:eastAsia="Times New Roman" w:hAnsi="Times New Roman" w:cs="Times New Roman"/>
          <w:lang w:eastAsia="en-GB"/>
        </w:rPr>
        <w:t xml:space="preserve"> Books, 2011)</w:t>
      </w:r>
    </w:p>
    <w:p w14:paraId="54DA75A7"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 </w:t>
      </w:r>
      <w:r w:rsidRPr="00312506">
        <w:rPr>
          <w:rFonts w:ascii="Times New Roman" w:eastAsia="Times New Roman" w:hAnsi="Times New Roman" w:cs="Times New Roman"/>
          <w:i/>
          <w:iCs/>
          <w:lang w:eastAsia="en-GB"/>
        </w:rPr>
        <w:t>The Legacies of Two World Wars: European Societies in the Twentieth Century</w:t>
      </w:r>
      <w:r w:rsidRPr="00312506">
        <w:rPr>
          <w:rFonts w:ascii="Times New Roman" w:eastAsia="Times New Roman" w:hAnsi="Times New Roman" w:cs="Times New Roman"/>
          <w:lang w:eastAsia="en-GB"/>
        </w:rPr>
        <w:t xml:space="preserve"> (</w:t>
      </w:r>
      <w:proofErr w:type="spellStart"/>
      <w:r w:rsidRPr="00312506">
        <w:rPr>
          <w:rFonts w:ascii="Times New Roman" w:eastAsia="Times New Roman" w:hAnsi="Times New Roman" w:cs="Times New Roman"/>
          <w:lang w:eastAsia="en-GB"/>
        </w:rPr>
        <w:t>Berghahn</w:t>
      </w:r>
      <w:proofErr w:type="spellEnd"/>
      <w:r w:rsidRPr="00312506">
        <w:rPr>
          <w:rFonts w:ascii="Times New Roman" w:eastAsia="Times New Roman" w:hAnsi="Times New Roman" w:cs="Times New Roman"/>
          <w:lang w:eastAsia="en-GB"/>
        </w:rPr>
        <w:t xml:space="preserve"> Books, 2011)</w:t>
      </w:r>
    </w:p>
    <w:p w14:paraId="5BE05E35"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OFFER, AVNER, ‘Going to War in 1914: A Matter of </w:t>
      </w:r>
      <w:proofErr w:type="spellStart"/>
      <w:r w:rsidRPr="00312506">
        <w:rPr>
          <w:rFonts w:ascii="Times New Roman" w:eastAsia="Times New Roman" w:hAnsi="Times New Roman" w:cs="Times New Roman"/>
          <w:lang w:eastAsia="en-GB"/>
        </w:rPr>
        <w:t>Honor</w:t>
      </w:r>
      <w:proofErr w:type="spellEnd"/>
      <w:r w:rsidRPr="00312506">
        <w:rPr>
          <w:rFonts w:ascii="Times New Roman" w:eastAsia="Times New Roman" w:hAnsi="Times New Roman" w:cs="Times New Roman"/>
          <w:lang w:eastAsia="en-GB"/>
        </w:rPr>
        <w:t xml:space="preserve">?’, </w:t>
      </w:r>
      <w:r w:rsidRPr="00312506">
        <w:rPr>
          <w:rFonts w:ascii="Times New Roman" w:eastAsia="Times New Roman" w:hAnsi="Times New Roman" w:cs="Times New Roman"/>
          <w:i/>
          <w:iCs/>
          <w:lang w:eastAsia="en-GB"/>
        </w:rPr>
        <w:t>Politics &amp; Society</w:t>
      </w:r>
      <w:r w:rsidRPr="00312506">
        <w:rPr>
          <w:rFonts w:ascii="Times New Roman" w:eastAsia="Times New Roman" w:hAnsi="Times New Roman" w:cs="Times New Roman"/>
          <w:lang w:eastAsia="en-GB"/>
        </w:rPr>
        <w:t>, 23.2 (1995), 213–41 &lt;</w:t>
      </w:r>
      <w:hyperlink r:id="rId14" w:history="1">
        <w:r w:rsidRPr="00312506">
          <w:rPr>
            <w:rFonts w:ascii="Times New Roman" w:eastAsia="Times New Roman" w:hAnsi="Times New Roman" w:cs="Times New Roman"/>
            <w:color w:val="0000FF"/>
            <w:u w:val="single"/>
            <w:lang w:eastAsia="en-GB"/>
          </w:rPr>
          <w:t>https://doi.org/10.1177/0032329295023002004</w:t>
        </w:r>
      </w:hyperlink>
      <w:r w:rsidRPr="00312506">
        <w:rPr>
          <w:rFonts w:ascii="Times New Roman" w:eastAsia="Times New Roman" w:hAnsi="Times New Roman" w:cs="Times New Roman"/>
          <w:lang w:eastAsia="en-GB"/>
        </w:rPr>
        <w:t>&gt;</w:t>
      </w:r>
    </w:p>
    <w:p w14:paraId="498B0F97"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Pennell, Catriona, </w:t>
      </w:r>
      <w:r w:rsidRPr="00312506">
        <w:rPr>
          <w:rFonts w:ascii="Times New Roman" w:eastAsia="Times New Roman" w:hAnsi="Times New Roman" w:cs="Times New Roman"/>
          <w:i/>
          <w:iCs/>
          <w:lang w:eastAsia="en-GB"/>
        </w:rPr>
        <w:t>A Kingdom United: Popular Responses to the Outbreak of the First World War in Britain and Ireland</w:t>
      </w:r>
      <w:r w:rsidRPr="00312506">
        <w:rPr>
          <w:rFonts w:ascii="Times New Roman" w:eastAsia="Times New Roman" w:hAnsi="Times New Roman" w:cs="Times New Roman"/>
          <w:lang w:eastAsia="en-GB"/>
        </w:rPr>
        <w:t xml:space="preserve"> (Oxford University Press, 2012)</w:t>
      </w:r>
    </w:p>
    <w:p w14:paraId="76E1E2C0"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Richardson, Lewis F., ‘War-Moods: I’, </w:t>
      </w:r>
      <w:r w:rsidRPr="00312506">
        <w:rPr>
          <w:rFonts w:ascii="Times New Roman" w:eastAsia="Times New Roman" w:hAnsi="Times New Roman" w:cs="Times New Roman"/>
          <w:i/>
          <w:iCs/>
          <w:lang w:eastAsia="en-GB"/>
        </w:rPr>
        <w:t>Psychometrika</w:t>
      </w:r>
      <w:r w:rsidRPr="00312506">
        <w:rPr>
          <w:rFonts w:ascii="Times New Roman" w:eastAsia="Times New Roman" w:hAnsi="Times New Roman" w:cs="Times New Roman"/>
          <w:lang w:eastAsia="en-GB"/>
        </w:rPr>
        <w:t>, 13.3 (1948), 147–74 &lt;</w:t>
      </w:r>
      <w:hyperlink r:id="rId15" w:history="1">
        <w:r w:rsidRPr="00312506">
          <w:rPr>
            <w:rFonts w:ascii="Times New Roman" w:eastAsia="Times New Roman" w:hAnsi="Times New Roman" w:cs="Times New Roman"/>
            <w:color w:val="0000FF"/>
            <w:u w:val="single"/>
            <w:lang w:eastAsia="en-GB"/>
          </w:rPr>
          <w:t>https://doi.org/10.1007/BF02289258</w:t>
        </w:r>
      </w:hyperlink>
      <w:r w:rsidRPr="00312506">
        <w:rPr>
          <w:rFonts w:ascii="Times New Roman" w:eastAsia="Times New Roman" w:hAnsi="Times New Roman" w:cs="Times New Roman"/>
          <w:lang w:eastAsia="en-GB"/>
        </w:rPr>
        <w:t>&gt;</w:t>
      </w:r>
    </w:p>
    <w:p w14:paraId="52C4EA37"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RJW Evans, Lothar, and Hartmut Pogge von </w:t>
      </w:r>
      <w:proofErr w:type="spellStart"/>
      <w:r w:rsidRPr="00312506">
        <w:rPr>
          <w:rFonts w:ascii="Times New Roman" w:eastAsia="Times New Roman" w:hAnsi="Times New Roman" w:cs="Times New Roman"/>
          <w:lang w:eastAsia="en-GB"/>
        </w:rPr>
        <w:t>Strandmann</w:t>
      </w:r>
      <w:proofErr w:type="spellEnd"/>
      <w:r w:rsidRPr="00312506">
        <w:rPr>
          <w:rFonts w:ascii="Times New Roman" w:eastAsia="Times New Roman" w:hAnsi="Times New Roman" w:cs="Times New Roman"/>
          <w:lang w:eastAsia="en-GB"/>
        </w:rPr>
        <w:t xml:space="preserve">, </w:t>
      </w:r>
      <w:r w:rsidRPr="00312506">
        <w:rPr>
          <w:rFonts w:ascii="Times New Roman" w:eastAsia="Times New Roman" w:hAnsi="Times New Roman" w:cs="Times New Roman"/>
          <w:i/>
          <w:iCs/>
          <w:lang w:eastAsia="en-GB"/>
        </w:rPr>
        <w:t>The Coming of the First World War</w:t>
      </w:r>
      <w:r w:rsidRPr="00312506">
        <w:rPr>
          <w:rFonts w:ascii="Times New Roman" w:eastAsia="Times New Roman" w:hAnsi="Times New Roman" w:cs="Times New Roman"/>
          <w:lang w:eastAsia="en-GB"/>
        </w:rPr>
        <w:t xml:space="preserve"> (Oxford: Oxford University Press, 2001)</w:t>
      </w:r>
    </w:p>
    <w:p w14:paraId="675A3398"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Roberts, Stephen, ‘Did the British People Welcome the Declaration of War in August 1914?’, </w:t>
      </w:r>
      <w:r w:rsidRPr="00312506">
        <w:rPr>
          <w:rFonts w:ascii="Times New Roman" w:eastAsia="Times New Roman" w:hAnsi="Times New Roman" w:cs="Times New Roman"/>
          <w:i/>
          <w:iCs/>
          <w:lang w:eastAsia="en-GB"/>
        </w:rPr>
        <w:t>History Review</w:t>
      </w:r>
      <w:r w:rsidRPr="00312506">
        <w:rPr>
          <w:rFonts w:ascii="Times New Roman" w:eastAsia="Times New Roman" w:hAnsi="Times New Roman" w:cs="Times New Roman"/>
          <w:lang w:eastAsia="en-GB"/>
        </w:rPr>
        <w:t xml:space="preserve"> (London, United Kingdom: History Today Ltd., September 2005), pp. 48–52</w:t>
      </w:r>
    </w:p>
    <w:p w14:paraId="0A7A327A"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Steiner, Zara, ‘Views of War: Britain Before the “Great War” – and After’, </w:t>
      </w:r>
      <w:r w:rsidRPr="00312506">
        <w:rPr>
          <w:rFonts w:ascii="Times New Roman" w:eastAsia="Times New Roman" w:hAnsi="Times New Roman" w:cs="Times New Roman"/>
          <w:i/>
          <w:iCs/>
          <w:lang w:eastAsia="en-GB"/>
        </w:rPr>
        <w:t>International Relations</w:t>
      </w:r>
      <w:r w:rsidRPr="00312506">
        <w:rPr>
          <w:rFonts w:ascii="Times New Roman" w:eastAsia="Times New Roman" w:hAnsi="Times New Roman" w:cs="Times New Roman"/>
          <w:lang w:eastAsia="en-GB"/>
        </w:rPr>
        <w:t>, 17.1 (2003), 7–33 &lt;</w:t>
      </w:r>
      <w:hyperlink r:id="rId16" w:history="1">
        <w:r w:rsidRPr="00312506">
          <w:rPr>
            <w:rFonts w:ascii="Times New Roman" w:eastAsia="Times New Roman" w:hAnsi="Times New Roman" w:cs="Times New Roman"/>
            <w:color w:val="0000FF"/>
            <w:u w:val="single"/>
            <w:lang w:eastAsia="en-GB"/>
          </w:rPr>
          <w:t>https://doi.org/10.1177/00471178030171002</w:t>
        </w:r>
      </w:hyperlink>
      <w:r w:rsidRPr="00312506">
        <w:rPr>
          <w:rFonts w:ascii="Times New Roman" w:eastAsia="Times New Roman" w:hAnsi="Times New Roman" w:cs="Times New Roman"/>
          <w:lang w:eastAsia="en-GB"/>
        </w:rPr>
        <w:t>&gt;</w:t>
      </w:r>
    </w:p>
    <w:p w14:paraId="0CEF2726" w14:textId="77777777" w:rsidR="00312506" w:rsidRPr="00312506" w:rsidRDefault="00312506" w:rsidP="00312506">
      <w:pPr>
        <w:ind w:hanging="480"/>
        <w:rPr>
          <w:rFonts w:ascii="Times New Roman" w:eastAsia="Times New Roman" w:hAnsi="Times New Roman" w:cs="Times New Roman"/>
          <w:lang w:eastAsia="en-GB"/>
        </w:rPr>
      </w:pPr>
      <w:r w:rsidRPr="00312506">
        <w:rPr>
          <w:rFonts w:ascii="Times New Roman" w:eastAsia="Times New Roman" w:hAnsi="Times New Roman" w:cs="Times New Roman"/>
          <w:lang w:eastAsia="en-GB"/>
        </w:rPr>
        <w:t xml:space="preserve">‘“The Spirit of 1914”: A Redefinition and a Defence - Erik </w:t>
      </w:r>
      <w:proofErr w:type="spellStart"/>
      <w:r w:rsidRPr="00312506">
        <w:rPr>
          <w:rFonts w:ascii="Times New Roman" w:eastAsia="Times New Roman" w:hAnsi="Times New Roman" w:cs="Times New Roman"/>
          <w:lang w:eastAsia="en-GB"/>
        </w:rPr>
        <w:t>Ringmar</w:t>
      </w:r>
      <w:proofErr w:type="spellEnd"/>
      <w:r w:rsidRPr="00312506">
        <w:rPr>
          <w:rFonts w:ascii="Times New Roman" w:eastAsia="Times New Roman" w:hAnsi="Times New Roman" w:cs="Times New Roman"/>
          <w:lang w:eastAsia="en-GB"/>
        </w:rPr>
        <w:t>, 2018’ &lt;</w:t>
      </w:r>
      <w:hyperlink r:id="rId17" w:history="1">
        <w:r w:rsidRPr="00312506">
          <w:rPr>
            <w:rFonts w:ascii="Times New Roman" w:eastAsia="Times New Roman" w:hAnsi="Times New Roman" w:cs="Times New Roman"/>
            <w:color w:val="0000FF"/>
            <w:u w:val="single"/>
            <w:lang w:eastAsia="en-GB"/>
          </w:rPr>
          <w:t>https://journals.sagepub.com/doi/abs/10.1177/0968344516650476</w:t>
        </w:r>
      </w:hyperlink>
      <w:r w:rsidRPr="00312506">
        <w:rPr>
          <w:rFonts w:ascii="Times New Roman" w:eastAsia="Times New Roman" w:hAnsi="Times New Roman" w:cs="Times New Roman"/>
          <w:lang w:eastAsia="en-GB"/>
        </w:rPr>
        <w:t>&gt; [accessed 6 February 2022]</w:t>
      </w:r>
    </w:p>
    <w:p w14:paraId="4B7D1A1C" w14:textId="77777777" w:rsidR="004A6A63" w:rsidRPr="004A6A63" w:rsidRDefault="004A6A63" w:rsidP="004A6A63">
      <w:pPr>
        <w:pStyle w:val="paragraph"/>
        <w:spacing w:before="0" w:beforeAutospacing="0" w:after="0" w:afterAutospacing="0"/>
        <w:textAlignment w:val="baseline"/>
        <w:rPr>
          <w:rFonts w:ascii="Segoe UI" w:hAnsi="Segoe UI" w:cs="Segoe UI"/>
          <w:sz w:val="18"/>
          <w:szCs w:val="18"/>
        </w:rPr>
      </w:pPr>
    </w:p>
    <w:sectPr w:rsidR="004A6A63" w:rsidRPr="004A6A63"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A1002" w14:textId="77777777" w:rsidR="00055CD3" w:rsidRDefault="00055CD3" w:rsidP="00312506">
      <w:r>
        <w:separator/>
      </w:r>
    </w:p>
  </w:endnote>
  <w:endnote w:type="continuationSeparator" w:id="0">
    <w:p w14:paraId="3004C826" w14:textId="77777777" w:rsidR="00055CD3" w:rsidRDefault="00055CD3" w:rsidP="003125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74E27" w14:textId="77777777" w:rsidR="00055CD3" w:rsidRDefault="00055CD3" w:rsidP="00312506">
      <w:r>
        <w:separator/>
      </w:r>
    </w:p>
  </w:footnote>
  <w:footnote w:type="continuationSeparator" w:id="0">
    <w:p w14:paraId="4D155E82" w14:textId="77777777" w:rsidR="00055CD3" w:rsidRDefault="00055CD3" w:rsidP="00312506">
      <w:r>
        <w:continuationSeparator/>
      </w:r>
    </w:p>
  </w:footnote>
  <w:footnote w:id="1">
    <w:p w14:paraId="12B1989B" w14:textId="3ECA8991" w:rsidR="00857D99" w:rsidRPr="00857D99" w:rsidRDefault="00857D99">
      <w:pPr>
        <w:pStyle w:val="FootnoteText"/>
      </w:pPr>
      <w:r>
        <w:rPr>
          <w:rStyle w:val="FootnoteReference"/>
        </w:rPr>
        <w:footnoteRef/>
      </w:r>
      <w:r>
        <w:t xml:space="preserve"> Pennell, Catriona, </w:t>
      </w:r>
      <w:r>
        <w:rPr>
          <w:i/>
          <w:iCs/>
        </w:rPr>
        <w:t xml:space="preserve">A Kingdom United: Popular Responses to the Outbreak of the First World War in Britain and Ireland, </w:t>
      </w:r>
      <w:r>
        <w:t>2012, Oxford University Press</w:t>
      </w:r>
    </w:p>
  </w:footnote>
  <w:footnote w:id="2">
    <w:p w14:paraId="19F39EDF" w14:textId="37BAB98A" w:rsidR="00312506" w:rsidRPr="003F4924" w:rsidRDefault="00312506">
      <w:pPr>
        <w:pStyle w:val="FootnoteText"/>
      </w:pPr>
      <w:r>
        <w:rPr>
          <w:rStyle w:val="FootnoteReference"/>
        </w:rPr>
        <w:footnoteRef/>
      </w:r>
      <w:r>
        <w:t xml:space="preserve"> Von </w:t>
      </w:r>
      <w:proofErr w:type="spellStart"/>
      <w:r>
        <w:t>Strandmann</w:t>
      </w:r>
      <w:proofErr w:type="spellEnd"/>
      <w:r>
        <w:t xml:space="preserve">, Helmut Pogge, </w:t>
      </w:r>
      <w:r w:rsidR="003F4924">
        <w:rPr>
          <w:i/>
          <w:iCs/>
        </w:rPr>
        <w:t xml:space="preserve">The Legacies of Two World Wars: European Societies in the Twentieth Century, </w:t>
      </w:r>
      <w:r w:rsidR="00857D99">
        <w:t xml:space="preserve">2011, </w:t>
      </w:r>
      <w:proofErr w:type="spellStart"/>
      <w:r w:rsidR="003F4924">
        <w:t>Berghahn</w:t>
      </w:r>
      <w:proofErr w:type="spellEnd"/>
      <w:r w:rsidR="003F4924">
        <w:t xml:space="preserve"> Books</w:t>
      </w:r>
      <w:r w:rsidR="00857D99">
        <w:t xml:space="preserve">. </w:t>
      </w:r>
    </w:p>
  </w:footnote>
  <w:footnote w:id="3">
    <w:p w14:paraId="3C500A4B" w14:textId="6659DD6D" w:rsidR="00FF6D64" w:rsidRDefault="00FF6D64">
      <w:pPr>
        <w:pStyle w:val="FootnoteText"/>
      </w:pPr>
      <w:r>
        <w:rPr>
          <w:rStyle w:val="FootnoteReference"/>
        </w:rPr>
        <w:footnoteRef/>
      </w:r>
      <w:r>
        <w:t xml:space="preserve"> Angell, Norman, 1914, Letter to the Times, Accessed from the Module Page. </w:t>
      </w:r>
    </w:p>
  </w:footnote>
  <w:footnote w:id="4">
    <w:p w14:paraId="50630045" w14:textId="0E6A569D" w:rsidR="003843CF" w:rsidRPr="003843CF" w:rsidRDefault="003843CF">
      <w:pPr>
        <w:pStyle w:val="FootnoteText"/>
      </w:pPr>
      <w:r>
        <w:rPr>
          <w:rStyle w:val="FootnoteReference"/>
        </w:rPr>
        <w:footnoteRef/>
      </w:r>
      <w:r>
        <w:t xml:space="preserve"> Chandler, David, (1994), </w:t>
      </w:r>
      <w:r>
        <w:rPr>
          <w:i/>
          <w:iCs/>
        </w:rPr>
        <w:t xml:space="preserve">The Oxford History of the British Army, </w:t>
      </w:r>
      <w:r>
        <w:t xml:space="preserve">pp-241, Oxford University Press </w:t>
      </w:r>
    </w:p>
  </w:footnote>
  <w:footnote w:id="5">
    <w:p w14:paraId="7DA21353" w14:textId="65EBB043" w:rsidR="002810C2" w:rsidRPr="002810C2" w:rsidRDefault="002810C2">
      <w:pPr>
        <w:pStyle w:val="FootnoteText"/>
      </w:pPr>
      <w:r>
        <w:rPr>
          <w:rStyle w:val="FootnoteReference"/>
        </w:rPr>
        <w:footnoteRef/>
      </w:r>
      <w:r>
        <w:t xml:space="preserve"> </w:t>
      </w:r>
      <w:r>
        <w:rPr>
          <w:i/>
          <w:iCs/>
        </w:rPr>
        <w:t xml:space="preserve">Scotland’s People and the First World War, </w:t>
      </w:r>
      <w:r>
        <w:t xml:space="preserve">National Records of Scotland. </w:t>
      </w:r>
    </w:p>
  </w:footnote>
  <w:footnote w:id="6">
    <w:p w14:paraId="3A0547D6" w14:textId="0E773268" w:rsidR="003843CF" w:rsidRDefault="003843CF">
      <w:pPr>
        <w:pStyle w:val="FootnoteText"/>
      </w:pPr>
      <w:r>
        <w:rPr>
          <w:rStyle w:val="FootnoteReference"/>
        </w:rPr>
        <w:footnoteRef/>
      </w:r>
      <w:r>
        <w:t xml:space="preserve"> Robinson, Bruce, (2011), </w:t>
      </w:r>
      <w:r w:rsidRPr="003843CF">
        <w:rPr>
          <w:i/>
          <w:iCs/>
        </w:rPr>
        <w:t>The Pals Battalions in World War One</w:t>
      </w:r>
      <w:r>
        <w:t>, BBC</w:t>
      </w:r>
    </w:p>
  </w:footnote>
  <w:footnote w:id="7">
    <w:p w14:paraId="639E66FF" w14:textId="10DEDEE7" w:rsidR="00830859" w:rsidRPr="00830859" w:rsidRDefault="00830859">
      <w:pPr>
        <w:pStyle w:val="FootnoteText"/>
      </w:pPr>
      <w:r>
        <w:rPr>
          <w:rStyle w:val="FootnoteReference"/>
        </w:rPr>
        <w:footnoteRef/>
      </w:r>
      <w:r>
        <w:t xml:space="preserve"> Brock, Michael, (1998), </w:t>
      </w:r>
      <w:r>
        <w:rPr>
          <w:i/>
          <w:iCs/>
        </w:rPr>
        <w:t xml:space="preserve">The Coming of the Great War, </w:t>
      </w:r>
      <w:r>
        <w:t xml:space="preserve">chapter 7, Oxford University Press.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963"/>
    <w:rsid w:val="00055CD3"/>
    <w:rsid w:val="002004DC"/>
    <w:rsid w:val="002810C2"/>
    <w:rsid w:val="0031060A"/>
    <w:rsid w:val="00312506"/>
    <w:rsid w:val="003843CF"/>
    <w:rsid w:val="003F4924"/>
    <w:rsid w:val="004A6A63"/>
    <w:rsid w:val="00762F6C"/>
    <w:rsid w:val="007D613C"/>
    <w:rsid w:val="00830859"/>
    <w:rsid w:val="00857D99"/>
    <w:rsid w:val="00A461BD"/>
    <w:rsid w:val="00C11B1A"/>
    <w:rsid w:val="00D14A75"/>
    <w:rsid w:val="00E82F07"/>
    <w:rsid w:val="00FB6963"/>
    <w:rsid w:val="00FF6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058E71"/>
  <w14:defaultImageDpi w14:val="32767"/>
  <w15:chartTrackingRefBased/>
  <w15:docId w15:val="{0B81FFE0-1CE7-944C-8A27-8BA64CA59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B6963"/>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B6963"/>
  </w:style>
  <w:style w:type="character" w:customStyle="1" w:styleId="eop">
    <w:name w:val="eop"/>
    <w:basedOn w:val="DefaultParagraphFont"/>
    <w:rsid w:val="00FB6963"/>
  </w:style>
  <w:style w:type="character" w:customStyle="1" w:styleId="spellingerrorsuperscript">
    <w:name w:val="spellingerrorsuperscript"/>
    <w:basedOn w:val="DefaultParagraphFont"/>
    <w:rsid w:val="00FB6963"/>
  </w:style>
  <w:style w:type="character" w:styleId="Hyperlink">
    <w:name w:val="Hyperlink"/>
    <w:basedOn w:val="DefaultParagraphFont"/>
    <w:uiPriority w:val="99"/>
    <w:semiHidden/>
    <w:unhideWhenUsed/>
    <w:rsid w:val="00312506"/>
    <w:rPr>
      <w:color w:val="0000FF"/>
      <w:u w:val="single"/>
    </w:rPr>
  </w:style>
  <w:style w:type="paragraph" w:styleId="FootnoteText">
    <w:name w:val="footnote text"/>
    <w:basedOn w:val="Normal"/>
    <w:link w:val="FootnoteTextChar"/>
    <w:uiPriority w:val="99"/>
    <w:semiHidden/>
    <w:unhideWhenUsed/>
    <w:rsid w:val="00312506"/>
    <w:rPr>
      <w:sz w:val="20"/>
      <w:szCs w:val="20"/>
    </w:rPr>
  </w:style>
  <w:style w:type="character" w:customStyle="1" w:styleId="FootnoteTextChar">
    <w:name w:val="Footnote Text Char"/>
    <w:basedOn w:val="DefaultParagraphFont"/>
    <w:link w:val="FootnoteText"/>
    <w:uiPriority w:val="99"/>
    <w:semiHidden/>
    <w:rsid w:val="00312506"/>
    <w:rPr>
      <w:sz w:val="20"/>
      <w:szCs w:val="20"/>
    </w:rPr>
  </w:style>
  <w:style w:type="character" w:styleId="FootnoteReference">
    <w:name w:val="footnote reference"/>
    <w:basedOn w:val="DefaultParagraphFont"/>
    <w:uiPriority w:val="99"/>
    <w:semiHidden/>
    <w:unhideWhenUsed/>
    <w:rsid w:val="0031250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728851">
      <w:bodyDiv w:val="1"/>
      <w:marLeft w:val="0"/>
      <w:marRight w:val="0"/>
      <w:marTop w:val="0"/>
      <w:marBottom w:val="0"/>
      <w:divBdr>
        <w:top w:val="none" w:sz="0" w:space="0" w:color="auto"/>
        <w:left w:val="none" w:sz="0" w:space="0" w:color="auto"/>
        <w:bottom w:val="none" w:sz="0" w:space="0" w:color="auto"/>
        <w:right w:val="none" w:sz="0" w:space="0" w:color="auto"/>
      </w:divBdr>
      <w:divsChild>
        <w:div w:id="808473128">
          <w:marLeft w:val="0"/>
          <w:marRight w:val="0"/>
          <w:marTop w:val="0"/>
          <w:marBottom w:val="0"/>
          <w:divBdr>
            <w:top w:val="none" w:sz="0" w:space="0" w:color="auto"/>
            <w:left w:val="none" w:sz="0" w:space="0" w:color="auto"/>
            <w:bottom w:val="none" w:sz="0" w:space="0" w:color="auto"/>
            <w:right w:val="none" w:sz="0" w:space="0" w:color="auto"/>
          </w:divBdr>
        </w:div>
        <w:div w:id="1816145076">
          <w:marLeft w:val="0"/>
          <w:marRight w:val="0"/>
          <w:marTop w:val="0"/>
          <w:marBottom w:val="0"/>
          <w:divBdr>
            <w:top w:val="none" w:sz="0" w:space="0" w:color="auto"/>
            <w:left w:val="none" w:sz="0" w:space="0" w:color="auto"/>
            <w:bottom w:val="none" w:sz="0" w:space="0" w:color="auto"/>
            <w:right w:val="none" w:sz="0" w:space="0" w:color="auto"/>
          </w:divBdr>
        </w:div>
        <w:div w:id="241565954">
          <w:marLeft w:val="0"/>
          <w:marRight w:val="0"/>
          <w:marTop w:val="0"/>
          <w:marBottom w:val="0"/>
          <w:divBdr>
            <w:top w:val="none" w:sz="0" w:space="0" w:color="auto"/>
            <w:left w:val="none" w:sz="0" w:space="0" w:color="auto"/>
            <w:bottom w:val="none" w:sz="0" w:space="0" w:color="auto"/>
            <w:right w:val="none" w:sz="0" w:space="0" w:color="auto"/>
          </w:divBdr>
        </w:div>
        <w:div w:id="991636599">
          <w:marLeft w:val="0"/>
          <w:marRight w:val="0"/>
          <w:marTop w:val="0"/>
          <w:marBottom w:val="0"/>
          <w:divBdr>
            <w:top w:val="none" w:sz="0" w:space="0" w:color="auto"/>
            <w:left w:val="none" w:sz="0" w:space="0" w:color="auto"/>
            <w:bottom w:val="none" w:sz="0" w:space="0" w:color="auto"/>
            <w:right w:val="none" w:sz="0" w:space="0" w:color="auto"/>
          </w:divBdr>
        </w:div>
        <w:div w:id="1597978268">
          <w:marLeft w:val="0"/>
          <w:marRight w:val="0"/>
          <w:marTop w:val="0"/>
          <w:marBottom w:val="0"/>
          <w:divBdr>
            <w:top w:val="none" w:sz="0" w:space="0" w:color="auto"/>
            <w:left w:val="none" w:sz="0" w:space="0" w:color="auto"/>
            <w:bottom w:val="none" w:sz="0" w:space="0" w:color="auto"/>
            <w:right w:val="none" w:sz="0" w:space="0" w:color="auto"/>
          </w:divBdr>
        </w:div>
        <w:div w:id="173763936">
          <w:marLeft w:val="0"/>
          <w:marRight w:val="0"/>
          <w:marTop w:val="0"/>
          <w:marBottom w:val="0"/>
          <w:divBdr>
            <w:top w:val="none" w:sz="0" w:space="0" w:color="auto"/>
            <w:left w:val="none" w:sz="0" w:space="0" w:color="auto"/>
            <w:bottom w:val="none" w:sz="0" w:space="0" w:color="auto"/>
            <w:right w:val="none" w:sz="0" w:space="0" w:color="auto"/>
          </w:divBdr>
        </w:div>
        <w:div w:id="356732507">
          <w:marLeft w:val="0"/>
          <w:marRight w:val="0"/>
          <w:marTop w:val="0"/>
          <w:marBottom w:val="0"/>
          <w:divBdr>
            <w:top w:val="none" w:sz="0" w:space="0" w:color="auto"/>
            <w:left w:val="none" w:sz="0" w:space="0" w:color="auto"/>
            <w:bottom w:val="none" w:sz="0" w:space="0" w:color="auto"/>
            <w:right w:val="none" w:sz="0" w:space="0" w:color="auto"/>
          </w:divBdr>
        </w:div>
        <w:div w:id="436560301">
          <w:marLeft w:val="0"/>
          <w:marRight w:val="0"/>
          <w:marTop w:val="0"/>
          <w:marBottom w:val="0"/>
          <w:divBdr>
            <w:top w:val="none" w:sz="0" w:space="0" w:color="auto"/>
            <w:left w:val="none" w:sz="0" w:space="0" w:color="auto"/>
            <w:bottom w:val="none" w:sz="0" w:space="0" w:color="auto"/>
            <w:right w:val="none" w:sz="0" w:space="0" w:color="auto"/>
          </w:divBdr>
        </w:div>
        <w:div w:id="1394499943">
          <w:marLeft w:val="0"/>
          <w:marRight w:val="0"/>
          <w:marTop w:val="0"/>
          <w:marBottom w:val="0"/>
          <w:divBdr>
            <w:top w:val="none" w:sz="0" w:space="0" w:color="auto"/>
            <w:left w:val="none" w:sz="0" w:space="0" w:color="auto"/>
            <w:bottom w:val="none" w:sz="0" w:space="0" w:color="auto"/>
            <w:right w:val="none" w:sz="0" w:space="0" w:color="auto"/>
          </w:divBdr>
        </w:div>
        <w:div w:id="1459494126">
          <w:marLeft w:val="0"/>
          <w:marRight w:val="0"/>
          <w:marTop w:val="0"/>
          <w:marBottom w:val="0"/>
          <w:divBdr>
            <w:top w:val="none" w:sz="0" w:space="0" w:color="auto"/>
            <w:left w:val="none" w:sz="0" w:space="0" w:color="auto"/>
            <w:bottom w:val="none" w:sz="0" w:space="0" w:color="auto"/>
            <w:right w:val="none" w:sz="0" w:space="0" w:color="auto"/>
          </w:divBdr>
        </w:div>
        <w:div w:id="1782532606">
          <w:marLeft w:val="0"/>
          <w:marRight w:val="0"/>
          <w:marTop w:val="0"/>
          <w:marBottom w:val="0"/>
          <w:divBdr>
            <w:top w:val="none" w:sz="0" w:space="0" w:color="auto"/>
            <w:left w:val="none" w:sz="0" w:space="0" w:color="auto"/>
            <w:bottom w:val="none" w:sz="0" w:space="0" w:color="auto"/>
            <w:right w:val="none" w:sz="0" w:space="0" w:color="auto"/>
          </w:divBdr>
        </w:div>
        <w:div w:id="577322035">
          <w:marLeft w:val="0"/>
          <w:marRight w:val="0"/>
          <w:marTop w:val="0"/>
          <w:marBottom w:val="0"/>
          <w:divBdr>
            <w:top w:val="none" w:sz="0" w:space="0" w:color="auto"/>
            <w:left w:val="none" w:sz="0" w:space="0" w:color="auto"/>
            <w:bottom w:val="none" w:sz="0" w:space="0" w:color="auto"/>
            <w:right w:val="none" w:sz="0" w:space="0" w:color="auto"/>
          </w:divBdr>
        </w:div>
        <w:div w:id="347484561">
          <w:marLeft w:val="0"/>
          <w:marRight w:val="0"/>
          <w:marTop w:val="0"/>
          <w:marBottom w:val="0"/>
          <w:divBdr>
            <w:top w:val="none" w:sz="0" w:space="0" w:color="auto"/>
            <w:left w:val="none" w:sz="0" w:space="0" w:color="auto"/>
            <w:bottom w:val="none" w:sz="0" w:space="0" w:color="auto"/>
            <w:right w:val="none" w:sz="0" w:space="0" w:color="auto"/>
          </w:divBdr>
        </w:div>
        <w:div w:id="294919952">
          <w:marLeft w:val="0"/>
          <w:marRight w:val="0"/>
          <w:marTop w:val="0"/>
          <w:marBottom w:val="0"/>
          <w:divBdr>
            <w:top w:val="none" w:sz="0" w:space="0" w:color="auto"/>
            <w:left w:val="none" w:sz="0" w:space="0" w:color="auto"/>
            <w:bottom w:val="none" w:sz="0" w:space="0" w:color="auto"/>
            <w:right w:val="none" w:sz="0" w:space="0" w:color="auto"/>
          </w:divBdr>
        </w:div>
        <w:div w:id="817838913">
          <w:marLeft w:val="0"/>
          <w:marRight w:val="0"/>
          <w:marTop w:val="0"/>
          <w:marBottom w:val="0"/>
          <w:divBdr>
            <w:top w:val="none" w:sz="0" w:space="0" w:color="auto"/>
            <w:left w:val="none" w:sz="0" w:space="0" w:color="auto"/>
            <w:bottom w:val="none" w:sz="0" w:space="0" w:color="auto"/>
            <w:right w:val="none" w:sz="0" w:space="0" w:color="auto"/>
          </w:divBdr>
        </w:div>
        <w:div w:id="1364673096">
          <w:marLeft w:val="0"/>
          <w:marRight w:val="0"/>
          <w:marTop w:val="0"/>
          <w:marBottom w:val="0"/>
          <w:divBdr>
            <w:top w:val="none" w:sz="0" w:space="0" w:color="auto"/>
            <w:left w:val="none" w:sz="0" w:space="0" w:color="auto"/>
            <w:bottom w:val="none" w:sz="0" w:space="0" w:color="auto"/>
            <w:right w:val="none" w:sz="0" w:space="0" w:color="auto"/>
          </w:divBdr>
        </w:div>
        <w:div w:id="1764450473">
          <w:marLeft w:val="0"/>
          <w:marRight w:val="0"/>
          <w:marTop w:val="0"/>
          <w:marBottom w:val="0"/>
          <w:divBdr>
            <w:top w:val="none" w:sz="0" w:space="0" w:color="auto"/>
            <w:left w:val="none" w:sz="0" w:space="0" w:color="auto"/>
            <w:bottom w:val="none" w:sz="0" w:space="0" w:color="auto"/>
            <w:right w:val="none" w:sz="0" w:space="0" w:color="auto"/>
          </w:divBdr>
        </w:div>
        <w:div w:id="1371227717">
          <w:marLeft w:val="0"/>
          <w:marRight w:val="0"/>
          <w:marTop w:val="0"/>
          <w:marBottom w:val="0"/>
          <w:divBdr>
            <w:top w:val="none" w:sz="0" w:space="0" w:color="auto"/>
            <w:left w:val="none" w:sz="0" w:space="0" w:color="auto"/>
            <w:bottom w:val="none" w:sz="0" w:space="0" w:color="auto"/>
            <w:right w:val="none" w:sz="0" w:space="0" w:color="auto"/>
          </w:divBdr>
        </w:div>
        <w:div w:id="1704864091">
          <w:marLeft w:val="0"/>
          <w:marRight w:val="0"/>
          <w:marTop w:val="0"/>
          <w:marBottom w:val="0"/>
          <w:divBdr>
            <w:top w:val="none" w:sz="0" w:space="0" w:color="auto"/>
            <w:left w:val="none" w:sz="0" w:space="0" w:color="auto"/>
            <w:bottom w:val="none" w:sz="0" w:space="0" w:color="auto"/>
            <w:right w:val="none" w:sz="0" w:space="0" w:color="auto"/>
          </w:divBdr>
        </w:div>
        <w:div w:id="351617510">
          <w:marLeft w:val="0"/>
          <w:marRight w:val="0"/>
          <w:marTop w:val="0"/>
          <w:marBottom w:val="0"/>
          <w:divBdr>
            <w:top w:val="none" w:sz="0" w:space="0" w:color="auto"/>
            <w:left w:val="none" w:sz="0" w:space="0" w:color="auto"/>
            <w:bottom w:val="none" w:sz="0" w:space="0" w:color="auto"/>
            <w:right w:val="none" w:sz="0" w:space="0" w:color="auto"/>
          </w:divBdr>
        </w:div>
        <w:div w:id="828448708">
          <w:marLeft w:val="0"/>
          <w:marRight w:val="0"/>
          <w:marTop w:val="0"/>
          <w:marBottom w:val="0"/>
          <w:divBdr>
            <w:top w:val="none" w:sz="0" w:space="0" w:color="auto"/>
            <w:left w:val="none" w:sz="0" w:space="0" w:color="auto"/>
            <w:bottom w:val="none" w:sz="0" w:space="0" w:color="auto"/>
            <w:right w:val="none" w:sz="0" w:space="0" w:color="auto"/>
          </w:divBdr>
        </w:div>
        <w:div w:id="895703867">
          <w:marLeft w:val="0"/>
          <w:marRight w:val="0"/>
          <w:marTop w:val="0"/>
          <w:marBottom w:val="0"/>
          <w:divBdr>
            <w:top w:val="none" w:sz="0" w:space="0" w:color="auto"/>
            <w:left w:val="none" w:sz="0" w:space="0" w:color="auto"/>
            <w:bottom w:val="none" w:sz="0" w:space="0" w:color="auto"/>
            <w:right w:val="none" w:sz="0" w:space="0" w:color="auto"/>
          </w:divBdr>
        </w:div>
        <w:div w:id="371226171">
          <w:marLeft w:val="0"/>
          <w:marRight w:val="0"/>
          <w:marTop w:val="0"/>
          <w:marBottom w:val="0"/>
          <w:divBdr>
            <w:top w:val="none" w:sz="0" w:space="0" w:color="auto"/>
            <w:left w:val="none" w:sz="0" w:space="0" w:color="auto"/>
            <w:bottom w:val="none" w:sz="0" w:space="0" w:color="auto"/>
            <w:right w:val="none" w:sz="0" w:space="0" w:color="auto"/>
          </w:divBdr>
        </w:div>
        <w:div w:id="1375234235">
          <w:marLeft w:val="0"/>
          <w:marRight w:val="0"/>
          <w:marTop w:val="0"/>
          <w:marBottom w:val="0"/>
          <w:divBdr>
            <w:top w:val="none" w:sz="0" w:space="0" w:color="auto"/>
            <w:left w:val="none" w:sz="0" w:space="0" w:color="auto"/>
            <w:bottom w:val="none" w:sz="0" w:space="0" w:color="auto"/>
            <w:right w:val="none" w:sz="0" w:space="0" w:color="auto"/>
          </w:divBdr>
        </w:div>
        <w:div w:id="2021471663">
          <w:marLeft w:val="0"/>
          <w:marRight w:val="0"/>
          <w:marTop w:val="0"/>
          <w:marBottom w:val="0"/>
          <w:divBdr>
            <w:top w:val="none" w:sz="0" w:space="0" w:color="auto"/>
            <w:left w:val="none" w:sz="0" w:space="0" w:color="auto"/>
            <w:bottom w:val="none" w:sz="0" w:space="0" w:color="auto"/>
            <w:right w:val="none" w:sz="0" w:space="0" w:color="auto"/>
          </w:divBdr>
        </w:div>
        <w:div w:id="78478831">
          <w:marLeft w:val="0"/>
          <w:marRight w:val="0"/>
          <w:marTop w:val="0"/>
          <w:marBottom w:val="0"/>
          <w:divBdr>
            <w:top w:val="none" w:sz="0" w:space="0" w:color="auto"/>
            <w:left w:val="none" w:sz="0" w:space="0" w:color="auto"/>
            <w:bottom w:val="none" w:sz="0" w:space="0" w:color="auto"/>
            <w:right w:val="none" w:sz="0" w:space="0" w:color="auto"/>
          </w:divBdr>
        </w:div>
        <w:div w:id="1980500124">
          <w:marLeft w:val="0"/>
          <w:marRight w:val="0"/>
          <w:marTop w:val="0"/>
          <w:marBottom w:val="0"/>
          <w:divBdr>
            <w:top w:val="none" w:sz="0" w:space="0" w:color="auto"/>
            <w:left w:val="none" w:sz="0" w:space="0" w:color="auto"/>
            <w:bottom w:val="none" w:sz="0" w:space="0" w:color="auto"/>
            <w:right w:val="none" w:sz="0" w:space="0" w:color="auto"/>
          </w:divBdr>
        </w:div>
        <w:div w:id="1311129861">
          <w:marLeft w:val="0"/>
          <w:marRight w:val="0"/>
          <w:marTop w:val="0"/>
          <w:marBottom w:val="0"/>
          <w:divBdr>
            <w:top w:val="none" w:sz="0" w:space="0" w:color="auto"/>
            <w:left w:val="none" w:sz="0" w:space="0" w:color="auto"/>
            <w:bottom w:val="none" w:sz="0" w:space="0" w:color="auto"/>
            <w:right w:val="none" w:sz="0" w:space="0" w:color="auto"/>
          </w:divBdr>
        </w:div>
        <w:div w:id="1964575279">
          <w:marLeft w:val="0"/>
          <w:marRight w:val="0"/>
          <w:marTop w:val="0"/>
          <w:marBottom w:val="0"/>
          <w:divBdr>
            <w:top w:val="none" w:sz="0" w:space="0" w:color="auto"/>
            <w:left w:val="none" w:sz="0" w:space="0" w:color="auto"/>
            <w:bottom w:val="none" w:sz="0" w:space="0" w:color="auto"/>
            <w:right w:val="none" w:sz="0" w:space="0" w:color="auto"/>
          </w:divBdr>
        </w:div>
        <w:div w:id="1195003235">
          <w:marLeft w:val="0"/>
          <w:marRight w:val="0"/>
          <w:marTop w:val="0"/>
          <w:marBottom w:val="0"/>
          <w:divBdr>
            <w:top w:val="none" w:sz="0" w:space="0" w:color="auto"/>
            <w:left w:val="none" w:sz="0" w:space="0" w:color="auto"/>
            <w:bottom w:val="none" w:sz="0" w:space="0" w:color="auto"/>
            <w:right w:val="none" w:sz="0" w:space="0" w:color="auto"/>
          </w:divBdr>
        </w:div>
        <w:div w:id="1553611325">
          <w:marLeft w:val="0"/>
          <w:marRight w:val="0"/>
          <w:marTop w:val="0"/>
          <w:marBottom w:val="0"/>
          <w:divBdr>
            <w:top w:val="none" w:sz="0" w:space="0" w:color="auto"/>
            <w:left w:val="none" w:sz="0" w:space="0" w:color="auto"/>
            <w:bottom w:val="none" w:sz="0" w:space="0" w:color="auto"/>
            <w:right w:val="none" w:sz="0" w:space="0" w:color="auto"/>
          </w:divBdr>
        </w:div>
        <w:div w:id="1056929344">
          <w:marLeft w:val="0"/>
          <w:marRight w:val="0"/>
          <w:marTop w:val="0"/>
          <w:marBottom w:val="0"/>
          <w:divBdr>
            <w:top w:val="none" w:sz="0" w:space="0" w:color="auto"/>
            <w:left w:val="none" w:sz="0" w:space="0" w:color="auto"/>
            <w:bottom w:val="none" w:sz="0" w:space="0" w:color="auto"/>
            <w:right w:val="none" w:sz="0" w:space="0" w:color="auto"/>
          </w:divBdr>
        </w:div>
        <w:div w:id="629944550">
          <w:marLeft w:val="0"/>
          <w:marRight w:val="0"/>
          <w:marTop w:val="0"/>
          <w:marBottom w:val="0"/>
          <w:divBdr>
            <w:top w:val="none" w:sz="0" w:space="0" w:color="auto"/>
            <w:left w:val="none" w:sz="0" w:space="0" w:color="auto"/>
            <w:bottom w:val="none" w:sz="0" w:space="0" w:color="auto"/>
            <w:right w:val="none" w:sz="0" w:space="0" w:color="auto"/>
          </w:divBdr>
        </w:div>
        <w:div w:id="2053114324">
          <w:marLeft w:val="0"/>
          <w:marRight w:val="0"/>
          <w:marTop w:val="0"/>
          <w:marBottom w:val="0"/>
          <w:divBdr>
            <w:top w:val="none" w:sz="0" w:space="0" w:color="auto"/>
            <w:left w:val="none" w:sz="0" w:space="0" w:color="auto"/>
            <w:bottom w:val="none" w:sz="0" w:space="0" w:color="auto"/>
            <w:right w:val="none" w:sz="0" w:space="0" w:color="auto"/>
          </w:divBdr>
        </w:div>
        <w:div w:id="335427295">
          <w:marLeft w:val="0"/>
          <w:marRight w:val="0"/>
          <w:marTop w:val="0"/>
          <w:marBottom w:val="0"/>
          <w:divBdr>
            <w:top w:val="none" w:sz="0" w:space="0" w:color="auto"/>
            <w:left w:val="none" w:sz="0" w:space="0" w:color="auto"/>
            <w:bottom w:val="none" w:sz="0" w:space="0" w:color="auto"/>
            <w:right w:val="none" w:sz="0" w:space="0" w:color="auto"/>
          </w:divBdr>
        </w:div>
        <w:div w:id="472525935">
          <w:marLeft w:val="0"/>
          <w:marRight w:val="0"/>
          <w:marTop w:val="0"/>
          <w:marBottom w:val="0"/>
          <w:divBdr>
            <w:top w:val="none" w:sz="0" w:space="0" w:color="auto"/>
            <w:left w:val="none" w:sz="0" w:space="0" w:color="auto"/>
            <w:bottom w:val="none" w:sz="0" w:space="0" w:color="auto"/>
            <w:right w:val="none" w:sz="0" w:space="0" w:color="auto"/>
          </w:divBdr>
        </w:div>
        <w:div w:id="737361074">
          <w:marLeft w:val="0"/>
          <w:marRight w:val="0"/>
          <w:marTop w:val="0"/>
          <w:marBottom w:val="0"/>
          <w:divBdr>
            <w:top w:val="none" w:sz="0" w:space="0" w:color="auto"/>
            <w:left w:val="none" w:sz="0" w:space="0" w:color="auto"/>
            <w:bottom w:val="none" w:sz="0" w:space="0" w:color="auto"/>
            <w:right w:val="none" w:sz="0" w:space="0" w:color="auto"/>
          </w:divBdr>
        </w:div>
        <w:div w:id="177894169">
          <w:marLeft w:val="0"/>
          <w:marRight w:val="0"/>
          <w:marTop w:val="0"/>
          <w:marBottom w:val="0"/>
          <w:divBdr>
            <w:top w:val="none" w:sz="0" w:space="0" w:color="auto"/>
            <w:left w:val="none" w:sz="0" w:space="0" w:color="auto"/>
            <w:bottom w:val="none" w:sz="0" w:space="0" w:color="auto"/>
            <w:right w:val="none" w:sz="0" w:space="0" w:color="auto"/>
          </w:divBdr>
        </w:div>
        <w:div w:id="926307879">
          <w:marLeft w:val="0"/>
          <w:marRight w:val="0"/>
          <w:marTop w:val="0"/>
          <w:marBottom w:val="0"/>
          <w:divBdr>
            <w:top w:val="none" w:sz="0" w:space="0" w:color="auto"/>
            <w:left w:val="none" w:sz="0" w:space="0" w:color="auto"/>
            <w:bottom w:val="none" w:sz="0" w:space="0" w:color="auto"/>
            <w:right w:val="none" w:sz="0" w:space="0" w:color="auto"/>
          </w:divBdr>
        </w:div>
        <w:div w:id="804003141">
          <w:marLeft w:val="0"/>
          <w:marRight w:val="0"/>
          <w:marTop w:val="0"/>
          <w:marBottom w:val="0"/>
          <w:divBdr>
            <w:top w:val="none" w:sz="0" w:space="0" w:color="auto"/>
            <w:left w:val="none" w:sz="0" w:space="0" w:color="auto"/>
            <w:bottom w:val="none" w:sz="0" w:space="0" w:color="auto"/>
            <w:right w:val="none" w:sz="0" w:space="0" w:color="auto"/>
          </w:divBdr>
        </w:div>
        <w:div w:id="1731927754">
          <w:marLeft w:val="0"/>
          <w:marRight w:val="0"/>
          <w:marTop w:val="0"/>
          <w:marBottom w:val="0"/>
          <w:divBdr>
            <w:top w:val="none" w:sz="0" w:space="0" w:color="auto"/>
            <w:left w:val="none" w:sz="0" w:space="0" w:color="auto"/>
            <w:bottom w:val="none" w:sz="0" w:space="0" w:color="auto"/>
            <w:right w:val="none" w:sz="0" w:space="0" w:color="auto"/>
          </w:divBdr>
        </w:div>
        <w:div w:id="1240822882">
          <w:marLeft w:val="0"/>
          <w:marRight w:val="0"/>
          <w:marTop w:val="0"/>
          <w:marBottom w:val="0"/>
          <w:divBdr>
            <w:top w:val="none" w:sz="0" w:space="0" w:color="auto"/>
            <w:left w:val="none" w:sz="0" w:space="0" w:color="auto"/>
            <w:bottom w:val="none" w:sz="0" w:space="0" w:color="auto"/>
            <w:right w:val="none" w:sz="0" w:space="0" w:color="auto"/>
          </w:divBdr>
        </w:div>
        <w:div w:id="76169530">
          <w:marLeft w:val="0"/>
          <w:marRight w:val="0"/>
          <w:marTop w:val="0"/>
          <w:marBottom w:val="0"/>
          <w:divBdr>
            <w:top w:val="none" w:sz="0" w:space="0" w:color="auto"/>
            <w:left w:val="none" w:sz="0" w:space="0" w:color="auto"/>
            <w:bottom w:val="none" w:sz="0" w:space="0" w:color="auto"/>
            <w:right w:val="none" w:sz="0" w:space="0" w:color="auto"/>
          </w:divBdr>
        </w:div>
        <w:div w:id="1476753497">
          <w:marLeft w:val="0"/>
          <w:marRight w:val="0"/>
          <w:marTop w:val="0"/>
          <w:marBottom w:val="0"/>
          <w:divBdr>
            <w:top w:val="none" w:sz="0" w:space="0" w:color="auto"/>
            <w:left w:val="none" w:sz="0" w:space="0" w:color="auto"/>
            <w:bottom w:val="none" w:sz="0" w:space="0" w:color="auto"/>
            <w:right w:val="none" w:sz="0" w:space="0" w:color="auto"/>
          </w:divBdr>
        </w:div>
        <w:div w:id="131097886">
          <w:marLeft w:val="0"/>
          <w:marRight w:val="0"/>
          <w:marTop w:val="0"/>
          <w:marBottom w:val="0"/>
          <w:divBdr>
            <w:top w:val="none" w:sz="0" w:space="0" w:color="auto"/>
            <w:left w:val="none" w:sz="0" w:space="0" w:color="auto"/>
            <w:bottom w:val="none" w:sz="0" w:space="0" w:color="auto"/>
            <w:right w:val="none" w:sz="0" w:space="0" w:color="auto"/>
          </w:divBdr>
        </w:div>
        <w:div w:id="1231965533">
          <w:marLeft w:val="0"/>
          <w:marRight w:val="0"/>
          <w:marTop w:val="0"/>
          <w:marBottom w:val="0"/>
          <w:divBdr>
            <w:top w:val="none" w:sz="0" w:space="0" w:color="auto"/>
            <w:left w:val="none" w:sz="0" w:space="0" w:color="auto"/>
            <w:bottom w:val="none" w:sz="0" w:space="0" w:color="auto"/>
            <w:right w:val="none" w:sz="0" w:space="0" w:color="auto"/>
          </w:divBdr>
        </w:div>
        <w:div w:id="19092454">
          <w:marLeft w:val="0"/>
          <w:marRight w:val="0"/>
          <w:marTop w:val="0"/>
          <w:marBottom w:val="0"/>
          <w:divBdr>
            <w:top w:val="none" w:sz="0" w:space="0" w:color="auto"/>
            <w:left w:val="none" w:sz="0" w:space="0" w:color="auto"/>
            <w:bottom w:val="none" w:sz="0" w:space="0" w:color="auto"/>
            <w:right w:val="none" w:sz="0" w:space="0" w:color="auto"/>
          </w:divBdr>
        </w:div>
        <w:div w:id="863438654">
          <w:marLeft w:val="0"/>
          <w:marRight w:val="0"/>
          <w:marTop w:val="0"/>
          <w:marBottom w:val="0"/>
          <w:divBdr>
            <w:top w:val="none" w:sz="0" w:space="0" w:color="auto"/>
            <w:left w:val="none" w:sz="0" w:space="0" w:color="auto"/>
            <w:bottom w:val="none" w:sz="0" w:space="0" w:color="auto"/>
            <w:right w:val="none" w:sz="0" w:space="0" w:color="auto"/>
          </w:divBdr>
        </w:div>
        <w:div w:id="1778714540">
          <w:marLeft w:val="0"/>
          <w:marRight w:val="0"/>
          <w:marTop w:val="0"/>
          <w:marBottom w:val="0"/>
          <w:divBdr>
            <w:top w:val="none" w:sz="0" w:space="0" w:color="auto"/>
            <w:left w:val="none" w:sz="0" w:space="0" w:color="auto"/>
            <w:bottom w:val="none" w:sz="0" w:space="0" w:color="auto"/>
            <w:right w:val="none" w:sz="0" w:space="0" w:color="auto"/>
          </w:divBdr>
        </w:div>
        <w:div w:id="1600288953">
          <w:marLeft w:val="0"/>
          <w:marRight w:val="0"/>
          <w:marTop w:val="0"/>
          <w:marBottom w:val="0"/>
          <w:divBdr>
            <w:top w:val="none" w:sz="0" w:space="0" w:color="auto"/>
            <w:left w:val="none" w:sz="0" w:space="0" w:color="auto"/>
            <w:bottom w:val="none" w:sz="0" w:space="0" w:color="auto"/>
            <w:right w:val="none" w:sz="0" w:space="0" w:color="auto"/>
          </w:divBdr>
        </w:div>
        <w:div w:id="55713136">
          <w:marLeft w:val="0"/>
          <w:marRight w:val="0"/>
          <w:marTop w:val="0"/>
          <w:marBottom w:val="0"/>
          <w:divBdr>
            <w:top w:val="none" w:sz="0" w:space="0" w:color="auto"/>
            <w:left w:val="none" w:sz="0" w:space="0" w:color="auto"/>
            <w:bottom w:val="none" w:sz="0" w:space="0" w:color="auto"/>
            <w:right w:val="none" w:sz="0" w:space="0" w:color="auto"/>
          </w:divBdr>
        </w:div>
        <w:div w:id="1872717351">
          <w:marLeft w:val="0"/>
          <w:marRight w:val="0"/>
          <w:marTop w:val="0"/>
          <w:marBottom w:val="0"/>
          <w:divBdr>
            <w:top w:val="none" w:sz="0" w:space="0" w:color="auto"/>
            <w:left w:val="none" w:sz="0" w:space="0" w:color="auto"/>
            <w:bottom w:val="none" w:sz="0" w:space="0" w:color="auto"/>
            <w:right w:val="none" w:sz="0" w:space="0" w:color="auto"/>
          </w:divBdr>
        </w:div>
        <w:div w:id="444038121">
          <w:marLeft w:val="0"/>
          <w:marRight w:val="0"/>
          <w:marTop w:val="0"/>
          <w:marBottom w:val="0"/>
          <w:divBdr>
            <w:top w:val="none" w:sz="0" w:space="0" w:color="auto"/>
            <w:left w:val="none" w:sz="0" w:space="0" w:color="auto"/>
            <w:bottom w:val="none" w:sz="0" w:space="0" w:color="auto"/>
            <w:right w:val="none" w:sz="0" w:space="0" w:color="auto"/>
          </w:divBdr>
        </w:div>
        <w:div w:id="1110591479">
          <w:marLeft w:val="0"/>
          <w:marRight w:val="0"/>
          <w:marTop w:val="0"/>
          <w:marBottom w:val="0"/>
          <w:divBdr>
            <w:top w:val="none" w:sz="0" w:space="0" w:color="auto"/>
            <w:left w:val="none" w:sz="0" w:space="0" w:color="auto"/>
            <w:bottom w:val="none" w:sz="0" w:space="0" w:color="auto"/>
            <w:right w:val="none" w:sz="0" w:space="0" w:color="auto"/>
          </w:divBdr>
        </w:div>
        <w:div w:id="1742556890">
          <w:marLeft w:val="0"/>
          <w:marRight w:val="0"/>
          <w:marTop w:val="0"/>
          <w:marBottom w:val="0"/>
          <w:divBdr>
            <w:top w:val="none" w:sz="0" w:space="0" w:color="auto"/>
            <w:left w:val="none" w:sz="0" w:space="0" w:color="auto"/>
            <w:bottom w:val="none" w:sz="0" w:space="0" w:color="auto"/>
            <w:right w:val="none" w:sz="0" w:space="0" w:color="auto"/>
          </w:divBdr>
        </w:div>
        <w:div w:id="498813228">
          <w:marLeft w:val="0"/>
          <w:marRight w:val="0"/>
          <w:marTop w:val="0"/>
          <w:marBottom w:val="0"/>
          <w:divBdr>
            <w:top w:val="none" w:sz="0" w:space="0" w:color="auto"/>
            <w:left w:val="none" w:sz="0" w:space="0" w:color="auto"/>
            <w:bottom w:val="none" w:sz="0" w:space="0" w:color="auto"/>
            <w:right w:val="none" w:sz="0" w:space="0" w:color="auto"/>
          </w:divBdr>
        </w:div>
        <w:div w:id="912085684">
          <w:marLeft w:val="0"/>
          <w:marRight w:val="0"/>
          <w:marTop w:val="0"/>
          <w:marBottom w:val="0"/>
          <w:divBdr>
            <w:top w:val="none" w:sz="0" w:space="0" w:color="auto"/>
            <w:left w:val="none" w:sz="0" w:space="0" w:color="auto"/>
            <w:bottom w:val="none" w:sz="0" w:space="0" w:color="auto"/>
            <w:right w:val="none" w:sz="0" w:space="0" w:color="auto"/>
          </w:divBdr>
        </w:div>
        <w:div w:id="1475176377">
          <w:marLeft w:val="0"/>
          <w:marRight w:val="0"/>
          <w:marTop w:val="0"/>
          <w:marBottom w:val="0"/>
          <w:divBdr>
            <w:top w:val="none" w:sz="0" w:space="0" w:color="auto"/>
            <w:left w:val="none" w:sz="0" w:space="0" w:color="auto"/>
            <w:bottom w:val="none" w:sz="0" w:space="0" w:color="auto"/>
            <w:right w:val="none" w:sz="0" w:space="0" w:color="auto"/>
          </w:divBdr>
        </w:div>
        <w:div w:id="1477994377">
          <w:marLeft w:val="0"/>
          <w:marRight w:val="0"/>
          <w:marTop w:val="0"/>
          <w:marBottom w:val="0"/>
          <w:divBdr>
            <w:top w:val="none" w:sz="0" w:space="0" w:color="auto"/>
            <w:left w:val="none" w:sz="0" w:space="0" w:color="auto"/>
            <w:bottom w:val="none" w:sz="0" w:space="0" w:color="auto"/>
            <w:right w:val="none" w:sz="0" w:space="0" w:color="auto"/>
          </w:divBdr>
        </w:div>
        <w:div w:id="180827782">
          <w:marLeft w:val="0"/>
          <w:marRight w:val="0"/>
          <w:marTop w:val="0"/>
          <w:marBottom w:val="0"/>
          <w:divBdr>
            <w:top w:val="none" w:sz="0" w:space="0" w:color="auto"/>
            <w:left w:val="none" w:sz="0" w:space="0" w:color="auto"/>
            <w:bottom w:val="none" w:sz="0" w:space="0" w:color="auto"/>
            <w:right w:val="none" w:sz="0" w:space="0" w:color="auto"/>
          </w:divBdr>
        </w:div>
        <w:div w:id="1320429384">
          <w:marLeft w:val="0"/>
          <w:marRight w:val="0"/>
          <w:marTop w:val="0"/>
          <w:marBottom w:val="0"/>
          <w:divBdr>
            <w:top w:val="none" w:sz="0" w:space="0" w:color="auto"/>
            <w:left w:val="none" w:sz="0" w:space="0" w:color="auto"/>
            <w:bottom w:val="none" w:sz="0" w:space="0" w:color="auto"/>
            <w:right w:val="none" w:sz="0" w:space="0" w:color="auto"/>
          </w:divBdr>
        </w:div>
        <w:div w:id="2083290581">
          <w:marLeft w:val="0"/>
          <w:marRight w:val="0"/>
          <w:marTop w:val="0"/>
          <w:marBottom w:val="0"/>
          <w:divBdr>
            <w:top w:val="none" w:sz="0" w:space="0" w:color="auto"/>
            <w:left w:val="none" w:sz="0" w:space="0" w:color="auto"/>
            <w:bottom w:val="none" w:sz="0" w:space="0" w:color="auto"/>
            <w:right w:val="none" w:sz="0" w:space="0" w:color="auto"/>
          </w:divBdr>
        </w:div>
        <w:div w:id="71127783">
          <w:marLeft w:val="0"/>
          <w:marRight w:val="0"/>
          <w:marTop w:val="0"/>
          <w:marBottom w:val="0"/>
          <w:divBdr>
            <w:top w:val="none" w:sz="0" w:space="0" w:color="auto"/>
            <w:left w:val="none" w:sz="0" w:space="0" w:color="auto"/>
            <w:bottom w:val="none" w:sz="0" w:space="0" w:color="auto"/>
            <w:right w:val="none" w:sz="0" w:space="0" w:color="auto"/>
          </w:divBdr>
        </w:div>
        <w:div w:id="410353133">
          <w:marLeft w:val="0"/>
          <w:marRight w:val="0"/>
          <w:marTop w:val="0"/>
          <w:marBottom w:val="0"/>
          <w:divBdr>
            <w:top w:val="none" w:sz="0" w:space="0" w:color="auto"/>
            <w:left w:val="none" w:sz="0" w:space="0" w:color="auto"/>
            <w:bottom w:val="none" w:sz="0" w:space="0" w:color="auto"/>
            <w:right w:val="none" w:sz="0" w:space="0" w:color="auto"/>
          </w:divBdr>
        </w:div>
        <w:div w:id="291978688">
          <w:marLeft w:val="0"/>
          <w:marRight w:val="0"/>
          <w:marTop w:val="0"/>
          <w:marBottom w:val="0"/>
          <w:divBdr>
            <w:top w:val="none" w:sz="0" w:space="0" w:color="auto"/>
            <w:left w:val="none" w:sz="0" w:space="0" w:color="auto"/>
            <w:bottom w:val="none" w:sz="0" w:space="0" w:color="auto"/>
            <w:right w:val="none" w:sz="0" w:space="0" w:color="auto"/>
          </w:divBdr>
        </w:div>
        <w:div w:id="211385121">
          <w:marLeft w:val="0"/>
          <w:marRight w:val="0"/>
          <w:marTop w:val="0"/>
          <w:marBottom w:val="0"/>
          <w:divBdr>
            <w:top w:val="none" w:sz="0" w:space="0" w:color="auto"/>
            <w:left w:val="none" w:sz="0" w:space="0" w:color="auto"/>
            <w:bottom w:val="none" w:sz="0" w:space="0" w:color="auto"/>
            <w:right w:val="none" w:sz="0" w:space="0" w:color="auto"/>
          </w:divBdr>
        </w:div>
        <w:div w:id="1594822300">
          <w:marLeft w:val="0"/>
          <w:marRight w:val="0"/>
          <w:marTop w:val="0"/>
          <w:marBottom w:val="0"/>
          <w:divBdr>
            <w:top w:val="none" w:sz="0" w:space="0" w:color="auto"/>
            <w:left w:val="none" w:sz="0" w:space="0" w:color="auto"/>
            <w:bottom w:val="none" w:sz="0" w:space="0" w:color="auto"/>
            <w:right w:val="none" w:sz="0" w:space="0" w:color="auto"/>
          </w:divBdr>
        </w:div>
        <w:div w:id="123818105">
          <w:marLeft w:val="0"/>
          <w:marRight w:val="0"/>
          <w:marTop w:val="0"/>
          <w:marBottom w:val="0"/>
          <w:divBdr>
            <w:top w:val="none" w:sz="0" w:space="0" w:color="auto"/>
            <w:left w:val="none" w:sz="0" w:space="0" w:color="auto"/>
            <w:bottom w:val="none" w:sz="0" w:space="0" w:color="auto"/>
            <w:right w:val="none" w:sz="0" w:space="0" w:color="auto"/>
          </w:divBdr>
        </w:div>
        <w:div w:id="1408108590">
          <w:marLeft w:val="0"/>
          <w:marRight w:val="0"/>
          <w:marTop w:val="0"/>
          <w:marBottom w:val="0"/>
          <w:divBdr>
            <w:top w:val="none" w:sz="0" w:space="0" w:color="auto"/>
            <w:left w:val="none" w:sz="0" w:space="0" w:color="auto"/>
            <w:bottom w:val="none" w:sz="0" w:space="0" w:color="auto"/>
            <w:right w:val="none" w:sz="0" w:space="0" w:color="auto"/>
          </w:divBdr>
        </w:div>
        <w:div w:id="1277059420">
          <w:marLeft w:val="0"/>
          <w:marRight w:val="0"/>
          <w:marTop w:val="0"/>
          <w:marBottom w:val="0"/>
          <w:divBdr>
            <w:top w:val="none" w:sz="0" w:space="0" w:color="auto"/>
            <w:left w:val="none" w:sz="0" w:space="0" w:color="auto"/>
            <w:bottom w:val="none" w:sz="0" w:space="0" w:color="auto"/>
            <w:right w:val="none" w:sz="0" w:space="0" w:color="auto"/>
          </w:divBdr>
        </w:div>
        <w:div w:id="982195783">
          <w:marLeft w:val="0"/>
          <w:marRight w:val="0"/>
          <w:marTop w:val="0"/>
          <w:marBottom w:val="0"/>
          <w:divBdr>
            <w:top w:val="none" w:sz="0" w:space="0" w:color="auto"/>
            <w:left w:val="none" w:sz="0" w:space="0" w:color="auto"/>
            <w:bottom w:val="none" w:sz="0" w:space="0" w:color="auto"/>
            <w:right w:val="none" w:sz="0" w:space="0" w:color="auto"/>
          </w:divBdr>
        </w:div>
        <w:div w:id="461995702">
          <w:marLeft w:val="0"/>
          <w:marRight w:val="0"/>
          <w:marTop w:val="0"/>
          <w:marBottom w:val="0"/>
          <w:divBdr>
            <w:top w:val="none" w:sz="0" w:space="0" w:color="auto"/>
            <w:left w:val="none" w:sz="0" w:space="0" w:color="auto"/>
            <w:bottom w:val="none" w:sz="0" w:space="0" w:color="auto"/>
            <w:right w:val="none" w:sz="0" w:space="0" w:color="auto"/>
          </w:divBdr>
        </w:div>
        <w:div w:id="1110591352">
          <w:marLeft w:val="0"/>
          <w:marRight w:val="0"/>
          <w:marTop w:val="0"/>
          <w:marBottom w:val="0"/>
          <w:divBdr>
            <w:top w:val="none" w:sz="0" w:space="0" w:color="auto"/>
            <w:left w:val="none" w:sz="0" w:space="0" w:color="auto"/>
            <w:bottom w:val="none" w:sz="0" w:space="0" w:color="auto"/>
            <w:right w:val="none" w:sz="0" w:space="0" w:color="auto"/>
          </w:divBdr>
        </w:div>
        <w:div w:id="1943997565">
          <w:marLeft w:val="0"/>
          <w:marRight w:val="0"/>
          <w:marTop w:val="0"/>
          <w:marBottom w:val="0"/>
          <w:divBdr>
            <w:top w:val="none" w:sz="0" w:space="0" w:color="auto"/>
            <w:left w:val="none" w:sz="0" w:space="0" w:color="auto"/>
            <w:bottom w:val="none" w:sz="0" w:space="0" w:color="auto"/>
            <w:right w:val="none" w:sz="0" w:space="0" w:color="auto"/>
          </w:divBdr>
        </w:div>
        <w:div w:id="454105572">
          <w:marLeft w:val="0"/>
          <w:marRight w:val="0"/>
          <w:marTop w:val="0"/>
          <w:marBottom w:val="0"/>
          <w:divBdr>
            <w:top w:val="none" w:sz="0" w:space="0" w:color="auto"/>
            <w:left w:val="none" w:sz="0" w:space="0" w:color="auto"/>
            <w:bottom w:val="none" w:sz="0" w:space="0" w:color="auto"/>
            <w:right w:val="none" w:sz="0" w:space="0" w:color="auto"/>
          </w:divBdr>
        </w:div>
        <w:div w:id="1360084510">
          <w:marLeft w:val="0"/>
          <w:marRight w:val="0"/>
          <w:marTop w:val="0"/>
          <w:marBottom w:val="0"/>
          <w:divBdr>
            <w:top w:val="none" w:sz="0" w:space="0" w:color="auto"/>
            <w:left w:val="none" w:sz="0" w:space="0" w:color="auto"/>
            <w:bottom w:val="none" w:sz="0" w:space="0" w:color="auto"/>
            <w:right w:val="none" w:sz="0" w:space="0" w:color="auto"/>
          </w:divBdr>
        </w:div>
        <w:div w:id="489978361">
          <w:marLeft w:val="0"/>
          <w:marRight w:val="0"/>
          <w:marTop w:val="0"/>
          <w:marBottom w:val="0"/>
          <w:divBdr>
            <w:top w:val="none" w:sz="0" w:space="0" w:color="auto"/>
            <w:left w:val="none" w:sz="0" w:space="0" w:color="auto"/>
            <w:bottom w:val="none" w:sz="0" w:space="0" w:color="auto"/>
            <w:right w:val="none" w:sz="0" w:space="0" w:color="auto"/>
          </w:divBdr>
        </w:div>
        <w:div w:id="2096120965">
          <w:marLeft w:val="0"/>
          <w:marRight w:val="0"/>
          <w:marTop w:val="0"/>
          <w:marBottom w:val="0"/>
          <w:divBdr>
            <w:top w:val="none" w:sz="0" w:space="0" w:color="auto"/>
            <w:left w:val="none" w:sz="0" w:space="0" w:color="auto"/>
            <w:bottom w:val="none" w:sz="0" w:space="0" w:color="auto"/>
            <w:right w:val="none" w:sz="0" w:space="0" w:color="auto"/>
          </w:divBdr>
        </w:div>
        <w:div w:id="1091898215">
          <w:marLeft w:val="0"/>
          <w:marRight w:val="0"/>
          <w:marTop w:val="0"/>
          <w:marBottom w:val="0"/>
          <w:divBdr>
            <w:top w:val="none" w:sz="0" w:space="0" w:color="auto"/>
            <w:left w:val="none" w:sz="0" w:space="0" w:color="auto"/>
            <w:bottom w:val="none" w:sz="0" w:space="0" w:color="auto"/>
            <w:right w:val="none" w:sz="0" w:space="0" w:color="auto"/>
          </w:divBdr>
        </w:div>
        <w:div w:id="1749183419">
          <w:marLeft w:val="0"/>
          <w:marRight w:val="0"/>
          <w:marTop w:val="0"/>
          <w:marBottom w:val="0"/>
          <w:divBdr>
            <w:top w:val="none" w:sz="0" w:space="0" w:color="auto"/>
            <w:left w:val="none" w:sz="0" w:space="0" w:color="auto"/>
            <w:bottom w:val="none" w:sz="0" w:space="0" w:color="auto"/>
            <w:right w:val="none" w:sz="0" w:space="0" w:color="auto"/>
          </w:divBdr>
        </w:div>
        <w:div w:id="79372634">
          <w:marLeft w:val="0"/>
          <w:marRight w:val="0"/>
          <w:marTop w:val="0"/>
          <w:marBottom w:val="0"/>
          <w:divBdr>
            <w:top w:val="none" w:sz="0" w:space="0" w:color="auto"/>
            <w:left w:val="none" w:sz="0" w:space="0" w:color="auto"/>
            <w:bottom w:val="none" w:sz="0" w:space="0" w:color="auto"/>
            <w:right w:val="none" w:sz="0" w:space="0" w:color="auto"/>
          </w:divBdr>
        </w:div>
        <w:div w:id="8600957">
          <w:marLeft w:val="0"/>
          <w:marRight w:val="0"/>
          <w:marTop w:val="0"/>
          <w:marBottom w:val="0"/>
          <w:divBdr>
            <w:top w:val="none" w:sz="0" w:space="0" w:color="auto"/>
            <w:left w:val="none" w:sz="0" w:space="0" w:color="auto"/>
            <w:bottom w:val="none" w:sz="0" w:space="0" w:color="auto"/>
            <w:right w:val="none" w:sz="0" w:space="0" w:color="auto"/>
          </w:divBdr>
        </w:div>
        <w:div w:id="2045397544">
          <w:marLeft w:val="0"/>
          <w:marRight w:val="0"/>
          <w:marTop w:val="0"/>
          <w:marBottom w:val="0"/>
          <w:divBdr>
            <w:top w:val="none" w:sz="0" w:space="0" w:color="auto"/>
            <w:left w:val="none" w:sz="0" w:space="0" w:color="auto"/>
            <w:bottom w:val="none" w:sz="0" w:space="0" w:color="auto"/>
            <w:right w:val="none" w:sz="0" w:space="0" w:color="auto"/>
          </w:divBdr>
        </w:div>
        <w:div w:id="2135711732">
          <w:marLeft w:val="0"/>
          <w:marRight w:val="0"/>
          <w:marTop w:val="0"/>
          <w:marBottom w:val="0"/>
          <w:divBdr>
            <w:top w:val="none" w:sz="0" w:space="0" w:color="auto"/>
            <w:left w:val="none" w:sz="0" w:space="0" w:color="auto"/>
            <w:bottom w:val="none" w:sz="0" w:space="0" w:color="auto"/>
            <w:right w:val="none" w:sz="0" w:space="0" w:color="auto"/>
          </w:divBdr>
        </w:div>
      </w:divsChild>
    </w:div>
    <w:div w:id="741609789">
      <w:bodyDiv w:val="1"/>
      <w:marLeft w:val="0"/>
      <w:marRight w:val="0"/>
      <w:marTop w:val="0"/>
      <w:marBottom w:val="0"/>
      <w:divBdr>
        <w:top w:val="none" w:sz="0" w:space="0" w:color="auto"/>
        <w:left w:val="none" w:sz="0" w:space="0" w:color="auto"/>
        <w:bottom w:val="none" w:sz="0" w:space="0" w:color="auto"/>
        <w:right w:val="none" w:sz="0" w:space="0" w:color="auto"/>
      </w:divBdr>
      <w:divsChild>
        <w:div w:id="424805521">
          <w:marLeft w:val="480"/>
          <w:marRight w:val="0"/>
          <w:marTop w:val="0"/>
          <w:marBottom w:val="0"/>
          <w:divBdr>
            <w:top w:val="none" w:sz="0" w:space="0" w:color="auto"/>
            <w:left w:val="none" w:sz="0" w:space="0" w:color="auto"/>
            <w:bottom w:val="none" w:sz="0" w:space="0" w:color="auto"/>
            <w:right w:val="none" w:sz="0" w:space="0" w:color="auto"/>
          </w:divBdr>
          <w:divsChild>
            <w:div w:id="2086411632">
              <w:marLeft w:val="0"/>
              <w:marRight w:val="0"/>
              <w:marTop w:val="0"/>
              <w:marBottom w:val="240"/>
              <w:divBdr>
                <w:top w:val="none" w:sz="0" w:space="0" w:color="auto"/>
                <w:left w:val="none" w:sz="0" w:space="0" w:color="auto"/>
                <w:bottom w:val="none" w:sz="0" w:space="0" w:color="auto"/>
                <w:right w:val="none" w:sz="0" w:space="0" w:color="auto"/>
              </w:divBdr>
            </w:div>
            <w:div w:id="1446801779">
              <w:marLeft w:val="0"/>
              <w:marRight w:val="0"/>
              <w:marTop w:val="0"/>
              <w:marBottom w:val="240"/>
              <w:divBdr>
                <w:top w:val="none" w:sz="0" w:space="0" w:color="auto"/>
                <w:left w:val="none" w:sz="0" w:space="0" w:color="auto"/>
                <w:bottom w:val="none" w:sz="0" w:space="0" w:color="auto"/>
                <w:right w:val="none" w:sz="0" w:space="0" w:color="auto"/>
              </w:divBdr>
            </w:div>
            <w:div w:id="1916159342">
              <w:marLeft w:val="0"/>
              <w:marRight w:val="0"/>
              <w:marTop w:val="0"/>
              <w:marBottom w:val="240"/>
              <w:divBdr>
                <w:top w:val="none" w:sz="0" w:space="0" w:color="auto"/>
                <w:left w:val="none" w:sz="0" w:space="0" w:color="auto"/>
                <w:bottom w:val="none" w:sz="0" w:space="0" w:color="auto"/>
                <w:right w:val="none" w:sz="0" w:space="0" w:color="auto"/>
              </w:divBdr>
            </w:div>
            <w:div w:id="616255933">
              <w:marLeft w:val="0"/>
              <w:marRight w:val="0"/>
              <w:marTop w:val="0"/>
              <w:marBottom w:val="240"/>
              <w:divBdr>
                <w:top w:val="none" w:sz="0" w:space="0" w:color="auto"/>
                <w:left w:val="none" w:sz="0" w:space="0" w:color="auto"/>
                <w:bottom w:val="none" w:sz="0" w:space="0" w:color="auto"/>
                <w:right w:val="none" w:sz="0" w:space="0" w:color="auto"/>
              </w:divBdr>
            </w:div>
            <w:div w:id="1782609647">
              <w:marLeft w:val="0"/>
              <w:marRight w:val="0"/>
              <w:marTop w:val="0"/>
              <w:marBottom w:val="240"/>
              <w:divBdr>
                <w:top w:val="none" w:sz="0" w:space="0" w:color="auto"/>
                <w:left w:val="none" w:sz="0" w:space="0" w:color="auto"/>
                <w:bottom w:val="none" w:sz="0" w:space="0" w:color="auto"/>
                <w:right w:val="none" w:sz="0" w:space="0" w:color="auto"/>
              </w:divBdr>
            </w:div>
            <w:div w:id="1629121068">
              <w:marLeft w:val="0"/>
              <w:marRight w:val="0"/>
              <w:marTop w:val="0"/>
              <w:marBottom w:val="240"/>
              <w:divBdr>
                <w:top w:val="none" w:sz="0" w:space="0" w:color="auto"/>
                <w:left w:val="none" w:sz="0" w:space="0" w:color="auto"/>
                <w:bottom w:val="none" w:sz="0" w:space="0" w:color="auto"/>
                <w:right w:val="none" w:sz="0" w:space="0" w:color="auto"/>
              </w:divBdr>
            </w:div>
            <w:div w:id="1266226368">
              <w:marLeft w:val="0"/>
              <w:marRight w:val="0"/>
              <w:marTop w:val="0"/>
              <w:marBottom w:val="240"/>
              <w:divBdr>
                <w:top w:val="none" w:sz="0" w:space="0" w:color="auto"/>
                <w:left w:val="none" w:sz="0" w:space="0" w:color="auto"/>
                <w:bottom w:val="none" w:sz="0" w:space="0" w:color="auto"/>
                <w:right w:val="none" w:sz="0" w:space="0" w:color="auto"/>
              </w:divBdr>
            </w:div>
            <w:div w:id="139658258">
              <w:marLeft w:val="0"/>
              <w:marRight w:val="0"/>
              <w:marTop w:val="0"/>
              <w:marBottom w:val="240"/>
              <w:divBdr>
                <w:top w:val="none" w:sz="0" w:space="0" w:color="auto"/>
                <w:left w:val="none" w:sz="0" w:space="0" w:color="auto"/>
                <w:bottom w:val="none" w:sz="0" w:space="0" w:color="auto"/>
                <w:right w:val="none" w:sz="0" w:space="0" w:color="auto"/>
              </w:divBdr>
            </w:div>
            <w:div w:id="1090656651">
              <w:marLeft w:val="0"/>
              <w:marRight w:val="0"/>
              <w:marTop w:val="0"/>
              <w:marBottom w:val="240"/>
              <w:divBdr>
                <w:top w:val="none" w:sz="0" w:space="0" w:color="auto"/>
                <w:left w:val="none" w:sz="0" w:space="0" w:color="auto"/>
                <w:bottom w:val="none" w:sz="0" w:space="0" w:color="auto"/>
                <w:right w:val="none" w:sz="0" w:space="0" w:color="auto"/>
              </w:divBdr>
            </w:div>
            <w:div w:id="1726250082">
              <w:marLeft w:val="0"/>
              <w:marRight w:val="0"/>
              <w:marTop w:val="0"/>
              <w:marBottom w:val="240"/>
              <w:divBdr>
                <w:top w:val="none" w:sz="0" w:space="0" w:color="auto"/>
                <w:left w:val="none" w:sz="0" w:space="0" w:color="auto"/>
                <w:bottom w:val="none" w:sz="0" w:space="0" w:color="auto"/>
                <w:right w:val="none" w:sz="0" w:space="0" w:color="auto"/>
              </w:divBdr>
            </w:div>
            <w:div w:id="1886142862">
              <w:marLeft w:val="0"/>
              <w:marRight w:val="0"/>
              <w:marTop w:val="0"/>
              <w:marBottom w:val="240"/>
              <w:divBdr>
                <w:top w:val="none" w:sz="0" w:space="0" w:color="auto"/>
                <w:left w:val="none" w:sz="0" w:space="0" w:color="auto"/>
                <w:bottom w:val="none" w:sz="0" w:space="0" w:color="auto"/>
                <w:right w:val="none" w:sz="0" w:space="0" w:color="auto"/>
              </w:divBdr>
            </w:div>
            <w:div w:id="2070759091">
              <w:marLeft w:val="0"/>
              <w:marRight w:val="0"/>
              <w:marTop w:val="0"/>
              <w:marBottom w:val="240"/>
              <w:divBdr>
                <w:top w:val="none" w:sz="0" w:space="0" w:color="auto"/>
                <w:left w:val="none" w:sz="0" w:space="0" w:color="auto"/>
                <w:bottom w:val="none" w:sz="0" w:space="0" w:color="auto"/>
                <w:right w:val="none" w:sz="0" w:space="0" w:color="auto"/>
              </w:divBdr>
            </w:div>
            <w:div w:id="1531183387">
              <w:marLeft w:val="0"/>
              <w:marRight w:val="0"/>
              <w:marTop w:val="0"/>
              <w:marBottom w:val="240"/>
              <w:divBdr>
                <w:top w:val="none" w:sz="0" w:space="0" w:color="auto"/>
                <w:left w:val="none" w:sz="0" w:space="0" w:color="auto"/>
                <w:bottom w:val="none" w:sz="0" w:space="0" w:color="auto"/>
                <w:right w:val="none" w:sz="0" w:space="0" w:color="auto"/>
              </w:divBdr>
            </w:div>
            <w:div w:id="2144229937">
              <w:marLeft w:val="0"/>
              <w:marRight w:val="0"/>
              <w:marTop w:val="0"/>
              <w:marBottom w:val="240"/>
              <w:divBdr>
                <w:top w:val="none" w:sz="0" w:space="0" w:color="auto"/>
                <w:left w:val="none" w:sz="0" w:space="0" w:color="auto"/>
                <w:bottom w:val="none" w:sz="0" w:space="0" w:color="auto"/>
                <w:right w:val="none" w:sz="0" w:space="0" w:color="auto"/>
              </w:divBdr>
            </w:div>
            <w:div w:id="739136545">
              <w:marLeft w:val="0"/>
              <w:marRight w:val="0"/>
              <w:marTop w:val="0"/>
              <w:marBottom w:val="240"/>
              <w:divBdr>
                <w:top w:val="none" w:sz="0" w:space="0" w:color="auto"/>
                <w:left w:val="none" w:sz="0" w:space="0" w:color="auto"/>
                <w:bottom w:val="none" w:sz="0" w:space="0" w:color="auto"/>
                <w:right w:val="none" w:sz="0" w:space="0" w:color="auto"/>
              </w:divBdr>
            </w:div>
            <w:div w:id="612899734">
              <w:marLeft w:val="0"/>
              <w:marRight w:val="0"/>
              <w:marTop w:val="0"/>
              <w:marBottom w:val="240"/>
              <w:divBdr>
                <w:top w:val="none" w:sz="0" w:space="0" w:color="auto"/>
                <w:left w:val="none" w:sz="0" w:space="0" w:color="auto"/>
                <w:bottom w:val="none" w:sz="0" w:space="0" w:color="auto"/>
                <w:right w:val="none" w:sz="0" w:space="0" w:color="auto"/>
              </w:divBdr>
            </w:div>
            <w:div w:id="1297832554">
              <w:marLeft w:val="0"/>
              <w:marRight w:val="0"/>
              <w:marTop w:val="0"/>
              <w:marBottom w:val="240"/>
              <w:divBdr>
                <w:top w:val="none" w:sz="0" w:space="0" w:color="auto"/>
                <w:left w:val="none" w:sz="0" w:space="0" w:color="auto"/>
                <w:bottom w:val="none" w:sz="0" w:space="0" w:color="auto"/>
                <w:right w:val="none" w:sz="0" w:space="0" w:color="auto"/>
              </w:divBdr>
            </w:div>
            <w:div w:id="97977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9781137319357_6" TargetMode="External"/><Relationship Id="rId13" Type="http://schemas.openxmlformats.org/officeDocument/2006/relationships/hyperlink" Target="https://doi.org/10.1515/978140085863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57/9781137319357_4" TargetMode="External"/><Relationship Id="rId12" Type="http://schemas.openxmlformats.org/officeDocument/2006/relationships/hyperlink" Target="https://doi.org/10.1057/9781137319357_5" TargetMode="External"/><Relationship Id="rId17" Type="http://schemas.openxmlformats.org/officeDocument/2006/relationships/hyperlink" Target="https://journals.sagepub.com/doi/abs/10.1177/0968344516650476" TargetMode="External"/><Relationship Id="rId2" Type="http://schemas.openxmlformats.org/officeDocument/2006/relationships/styles" Target="styles.xml"/><Relationship Id="rId16" Type="http://schemas.openxmlformats.org/officeDocument/2006/relationships/hyperlink" Target="https://doi.org/10.1177/0047117803017100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57/9781137319357_3" TargetMode="External"/><Relationship Id="rId5" Type="http://schemas.openxmlformats.org/officeDocument/2006/relationships/footnotes" Target="footnotes.xml"/><Relationship Id="rId15" Type="http://schemas.openxmlformats.org/officeDocument/2006/relationships/hyperlink" Target="https://doi.org/10.1007/BF02289258" TargetMode="External"/><Relationship Id="rId10" Type="http://schemas.openxmlformats.org/officeDocument/2006/relationships/hyperlink" Target="https://doi.org/10.1057/9781137319357_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57/9781137319357_2" TargetMode="External"/><Relationship Id="rId14" Type="http://schemas.openxmlformats.org/officeDocument/2006/relationships/hyperlink" Target="https://doi.org/10.1177/003232929502300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6B771-A7D6-8B4E-BE33-633052716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6</Pages>
  <Words>2528</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cp:revision>
  <dcterms:created xsi:type="dcterms:W3CDTF">2022-02-06T20:56:00Z</dcterms:created>
  <dcterms:modified xsi:type="dcterms:W3CDTF">2022-02-06T23:01:00Z</dcterms:modified>
</cp:coreProperties>
</file>