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Cambria" w:hAnsi="Cambria"/>
          <w:sz w:val="22"/>
          <w:szCs w:val="22"/>
        </w:rPr>
      </w:pPr>
    </w:p>
    <w:p>
      <w:pPr>
        <w:rPr>
          <w:rFonts w:ascii="Cambria" w:hAnsi="Cambria"/>
          <w:sz w:val="22"/>
          <w:szCs w:val="22"/>
        </w:rPr>
      </w:pPr>
    </w:p>
    <w:p>
      <w:pPr>
        <w:pStyle w:val="14"/>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M3X9089 International Business Communication</w:t>
      </w:r>
    </w:p>
    <w:p>
      <w:pPr>
        <w:pStyle w:val="14"/>
        <w:rPr>
          <w:rFonts w:hint="default" w:ascii="Times New Roman Regular" w:hAnsi="Times New Roman Regular" w:cs="Times New Roman Regular"/>
          <w:b w:val="0"/>
          <w:sz w:val="28"/>
          <w:szCs w:val="28"/>
        </w:rPr>
      </w:pPr>
      <w:r>
        <w:rPr>
          <w:rFonts w:hint="default" w:ascii="Times New Roman Regular" w:hAnsi="Times New Roman Regular" w:cs="Times New Roman Regular"/>
          <w:b w:val="0"/>
          <w:sz w:val="28"/>
          <w:szCs w:val="28"/>
        </w:rPr>
        <w:t>British doing business in Colombia: a discussion of culture challenges and sensitives</w:t>
      </w:r>
    </w:p>
    <w:p>
      <w:pPr>
        <w:spacing w:after="163" w:afterLines="50"/>
        <w:rPr>
          <w:rFonts w:ascii="Cambria" w:hAnsi="Cambria" w:eastAsiaTheme="majorEastAsia"/>
          <w:b/>
          <w:bCs/>
          <w:kern w:val="28"/>
          <w:sz w:val="28"/>
          <w:szCs w:val="28"/>
        </w:rPr>
      </w:pPr>
      <w:r>
        <w:rPr>
          <w:rFonts w:ascii="Cambria" w:hAnsi="Cambria"/>
          <w:sz w:val="22"/>
          <w:szCs w:val="22"/>
        </w:rPr>
        <w:br w:type="page"/>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Communication can be described as a process of interaction, and it is under the influence of a wide range of factors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{"citationItems":[{"id":"ITEM-1","itemData":{"DOI":"10.1007/s10869-010-9172-7","ISSN":"0889-3268","author":[{"dropping-particle":"","family":"Myers","given":"Karen K.","non-dropping-particle":"","parse-names":false,"suffix":""},{"dropping-particle":"","family":"Sadaghiani","given":"Kamyab","non-dropping-particle":"","parse-names":false,"suffix":""}],"container-title":"Journal of Business and Psychology","id":"ITEM-1","issue":"2","issued":{"date-parts":[["2010","6","5"]]},"page":"225-238","publisher":"Springer US","title":"Millennials in the Workplace: A Communication Perspective on Millennials’ Organizational Relationships and Performance","type":"article-journal","volume":"25"},"uris":["http://www.mendeley.com/documents/?uuid=978d0dcc-a6b1-3913-9683-6b250252dfd4"]}],"mendeley":{"formattedCitation":"(Myers and Sadaghiani, 2010)","plainTextFormattedCitation":"(Myers and Sadaghiani, 2010)","previouslyFormattedCitation":"(Myers and Sadaghiani, 2010)"},"properties":{"noteIndex":0},"schema":"https://github.com/citation-style-language/schema/raw/master/csl-citation.json"}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(Myers and Sadaghiani, 2010)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Among those in the international marketplace, a prominent one that leads to communication failures are cultural differences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1750-4813","author":[{"dropping-particle":"","family":"Holmes","given":"Janet","non-dropping-particle":"","parse-names":false,"suffix":""},{"dropping-particle":"","family":"Schnurr","given":"Stephanie","non-dropping-particle":"","parse-names":false,"suffix":""},{"dropping-particle":"","family":"Marra","given":"Meredith","non-dropping-particle":"","parse-names":false,"suffix":""}],"container-title":"Discourse &amp; Communication","id":"ITEM-1","issue":"4","issued":{"date-parts":[["2007"]]},"page":"433-451","publisher":"Sage Publications Sage UK: London, England","title":"Leadership and communication: discursive evidence of a workplace culture change","type":"article-journal","volume":"1"},"uris":["http://www.mendeley.com/documents/?uuid=ca1fee20-57b1-4b54-b1b1-627e3f784075"]},{"id":"ITEM-2","itemData":{"ISSN":"1065-9129","author":[{"dropping-particle":"","family":"Langbein","given":"Laura","non-dropping-particle":"","parse-names":false,"suffix":""},{"dropping-particle":"","family":"Jorstad","given":"Connie","non-dropping-particle":"","parse-names":false,"suffix":""}],"container-title":"Political Research Quarterly","id":"ITEM-2","issue":"1","issued":{"date-parts":[["2004"]]},"page":"65-79","publisher":"Sage Publications Sage CA: Thousand Oaks, CA","title":"Productivity in the workplace: Cops, culture, communication, cooperation, and collusion","type":"article-journal","volume":"57"},"uris":["http://www.mendeley.com/documents/?uuid=7d5be310-4710-4697-8b72-6dfc25aefead"]},{"id":"ITEM-3","itemData":{"ISSN":"1470-8477","author":[{"dropping-particle":"","family":"Ladegaard","given":"Hans J","non-dropping-particle":"","parse-names":false,"suffix":""},{"dropping-particle":"","family":"Jenks","given":"Christopher J","non-dropping-particle":"","parse-names":false,"suffix":""}],"container-title":"Language and Intercultural Communication","id":"ITEM-3","issue":"1","issued":{"date-parts":[["2015"]]},"page":"1-12","publisher":"Taylor &amp; Francis","title":"Language and intercultural communication in the workplace: Critical approaches to theory and practice","type":"article-journal","volume":"15"},"uris":["http://www.mendeley.com/documents/?uuid=a59ccb39-50e0-4006-82a2-b25f3326913e"]}],"mendeley":{"formattedCitation":"(Langbein and Jorstad, 2004; Holmes, Schnurr and Marra, 2007; Ladegaard and Jenks, 2015)","plainTextFormattedCitation":"(Langbein and Jorstad, 2004; Holmes, Schnurr and Marra, 2007; Ladegaard and Jenks, 2015)","previouslyFormattedCitation":"(Langbein and Jorstad, 2004; Holmes, Schnurr and Marra, 2007; Ladegaard and Jenks, 2015)"},"properties":{"noteIndex":0},"schema":"https://github.com/citation-style-language/schema/raw/master/csl-citation.json"}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(Langbein and Jorstad, 2004; Holmes, Schnurr and Marra, 2007; Ladegaard and Jenks, 2015)</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Denoted by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1462536484","author":[{"dropping-particle":"","family":"Ting-Toomey","given":"Stella","non-dropping-particle":"","parse-names":false,"suffix":""},{"dropping-particle":"","family":"Dorjee","given":"Tenzin","non-dropping-particle":"","parse-names":false,"suffix":""}],"id":"ITEM-1","issued":{"date-parts":[["2018"]]},"publisher":"Guilford Publications","title":"Communicating across cultures","type":"book"},"uris":["http://www.mendeley.com/documents/?uuid=8c723f84-25fb-4525-bc77-5a8e20348ee3"]}],"mendeley":{"formattedCitation":"(Ting-Toomey and Dorjee, 2018)","manualFormatting":"Ting-Toomey &amp; Dorjee (2018)","plainTextFormattedCitation":"(Ting-Toomey and Dorjee, 2018)","previouslyFormattedCitation":"(Ting-Toomey and Dorjee, 2018)"},"properties":{"noteIndex":0},"schema":"https://github.com/citation-style-language/schema/raw/master/csl-citation.json"}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Ting-Toomey &amp; Dorjee (2018)</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intercultural communication is a process of symbolic exchange where individuals of different cultural backgrounds negotiate shared meanings through verbal &amp; non-verbal communication and space relationships in an interactive situation that enables contacts and communication.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{"citationItems":[{"id":"ITEM-1","itemData":{"ISBN":"1285965981","author":[{"dropping-particle":"","family":"Samovar","given":"Larry A","non-dropping-particle":"","parse-names":false,"suffix":""},{"dropping-particle":"","family":"Porter","given":"Richard E","non-dropping-particle":"","parse-names":false,"suffix":""},{"dropping-particle":"","family":"McDaniel","given":"Edwin R","non-dropping-particle":"","parse-names":false,"suffix":""},{"dropping-particle":"","family":"Roy","given":"Carolyn Sexton","non-dropping-particle":"","parse-names":false,"suffix":""}],"id":"ITEM-1","issued":{"date-parts":[["2014"]]},"publisher":"Cengage Learning","title":"Intercultural communication: A reader","type":"book"},"uris":["http://www.mendeley.com/documents/?uuid=476fec19-b1f2-4ba0-acd4-7967e27bea91"]}],"mendeley":{"formattedCitation":"(Samovar &lt;i&gt;et al.&lt;/i&gt;, 2014)","manualFormatting":"Samovar et al. (2014)","plainTextFormattedCitation":"(Samovar et al., 2014)","previouslyFormattedCitation":"(Samovar &lt;i&gt;et al.&lt;/i&gt;, 2014)"},"properties":{"noteIndex":0},"schema":"https://github.com/citation-style-language/schema/raw/master/csl-citation.json"}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Samovar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xml:space="preserve"> (2014)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highlighted that intercultural communication is developed based on gathering information and developing reflection about own and other cultures, appreciating similarities and differences using cultural resources. Along with the rapid economic globalization in the international marketplace, businesses are no longer satisfied solely serving a specific domestic community but proactively seeking internationalization through entering other overseas market with uncultivated potentialities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0826446078","author":[{"dropping-particle":"","family":"Forey","given":"Gail","non-dropping-particle":"","parse-names":false,"suffix":""},{"dropping-particle":"","family":"Lockwood","given":"Jane","non-dropping-particle":"","parse-names":false,"suffix":""}],"id":"ITEM-1","issued":{"date-parts":[["2010"]]},"publisher":"A&amp;C Black","title":"Globalization, communication and the workplace: Talking across the world","type":"book"},"uris":["http://www.mendeley.com/documents/?uuid=0a29ac65-03ec-44f6-9283-df69c598f4a9"]}],"mendeley":{"formattedCitation":"(Forey and Lockwood, 2010)","plainTextFormattedCitation":"(Forey and Lockwood, 2010)","previouslyFormattedCitation":"(Forey and Lockwood, 2010)"},"properties":{"noteIndex":0},"schema":"https://github.com/citation-style-language/schema/raw/master/csl-citation.json"}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(Forey and Lockwood, 2010)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Therefore, intercultural communication is now of greater significance and importance for businesses than it ever was. Especially with increasing political stability and strategic priority in legality, entrepreneurship, cross-cutting themes of infrastructure and innovation, Colombia’s economy has grown uninterrupted since 2000, making it an attractive destination for international businesses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{"citationItems":[{"id":"ITEM-1","itemData":{"URL":"https://www.worldbank.org/en/country/colombia/overview#1","accessed":{"date-parts":[["2021","12","31"]]},"author":[{"dropping-particle":"","family":"World Bank","given":"","non-dropping-particle":"","parse-names":false,"suffix":""}],"id":"ITEM-1","issued":{"date-parts":[["2021"]]},"title":"Colombia Overview: Development news, research, data ","type":"webpage"},"uris":["http://www.mendeley.com/documents/?uuid=67d274d9-812d-39a0-9f3c-6189e6d95404"]}],"mendeley":{"formattedCitation":"(World Bank, 2021)","plainTextFormattedCitation":"(World Bank, 2021)","previouslyFormattedCitation":"(World Bank, 2021)"},"properties":{"noteIndex":0},"schema":"https://github.com/citation-style-language/schema/raw/master/csl-citation.json"}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(World Bank, 2021)</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Yet, the effective intercultural communication needed for business success in another cultural setting is empirically proved to be hard to achieve. The understanding and appreciation of cultural differences and sensitivities are required to facilitate smooth intercultural communication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0826446078","author":[{"dropping-particle":"","family":"Forey","given":"Gail","non-dropping-particle":"","parse-names":false,"suffix":""},{"dropping-particle":"","family":"Lockwood","given":"Jane","non-dropping-particle":"","parse-names":false,"suffix":""}],"id":"ITEM-1","issued":{"date-parts":[["2010"]]},"publisher":"A&amp;C Black","title":"Globalization, communication and the workplace: Talking across the world","type":"book"},"uris":["http://www.mendeley.com/documents/?uuid=0a29ac65-03ec-44f6-9283-df69c598f4a9"]}],"mendeley":{"formattedCitation":"(Forey and Lockwood, 2010)","plainTextFormattedCitation":"(Forey and Lockwood, 2010)","previouslyFormattedCitation":"(Forey and Lockwood, 2010)"},"properties":{"noteIndex":0},"schema":"https://github.com/citation-style-language/schema/raw/master/csl-citation.json"}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(Forey and Lockwood, 2010)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present essay, therefore, will discuss and evaluate the challenges and sensitivities from a British perspective of doing business in Colombia. </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drawing>
          <wp:inline distT="0" distB="0" distL="0" distR="0">
            <wp:extent cx="4528820" cy="1823085"/>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4536756" cy="1826410"/>
                    </a:xfrm>
                    <a:prstGeom prst="rect">
                      <a:avLst/>
                    </a:prstGeom>
                    <a:noFill/>
                  </pic:spPr>
                </pic:pic>
              </a:graphicData>
            </a:graphic>
          </wp:inline>
        </w:drawing>
      </w:r>
    </w:p>
    <w:p>
      <w:pPr>
        <w:spacing w:after="163" w:afterLines="50"/>
        <w:jc w:val="both"/>
        <w:rPr>
          <w:rFonts w:hint="default" w:ascii="Times New Roman Regular" w:hAnsi="Times New Roman Regular" w:cs="Times New Roman Regular"/>
          <w:b/>
          <w:bCs/>
          <w:i/>
          <w:iCs/>
          <w:sz w:val="22"/>
          <w:szCs w:val="22"/>
        </w:rPr>
      </w:pPr>
      <w:r>
        <w:rPr>
          <w:rFonts w:hint="default" w:ascii="Times New Roman Regular" w:hAnsi="Times New Roman Regular" w:cs="Times New Roman Regular"/>
          <w:b/>
          <w:bCs/>
          <w:i/>
          <w:iCs/>
          <w:sz w:val="22"/>
          <w:szCs w:val="22"/>
        </w:rPr>
        <w:t>Figure 1. Cultural differences based on Hofstede’s six cultural dimensions (with blue to be Colombia; with purple to be the United Kingdom)</w:t>
      </w:r>
    </w:p>
    <w:p>
      <w:pPr>
        <w:spacing w:after="163" w:afterLines="50"/>
        <w:jc w:val="both"/>
        <w:rPr>
          <w:rFonts w:hint="default" w:ascii="Times New Roman Regular" w:hAnsi="Times New Roman Regular" w:cs="Times New Roman Regular"/>
          <w:b/>
          <w:bCs/>
          <w:i/>
          <w:iCs/>
          <w:sz w:val="22"/>
          <w:szCs w:val="22"/>
        </w:rPr>
      </w:pPr>
      <w:r>
        <w:rPr>
          <w:rFonts w:hint="default" w:ascii="Times New Roman Regular" w:hAnsi="Times New Roman Regular" w:cs="Times New Roman Regular"/>
          <w:b/>
          <w:bCs/>
          <w:i/>
          <w:iCs/>
          <w:sz w:val="22"/>
          <w:szCs w:val="22"/>
        </w:rPr>
        <w:t xml:space="preserve">Source: </w:t>
      </w:r>
      <w:r>
        <w:rPr>
          <w:rFonts w:hint="default" w:ascii="Times New Roman Regular" w:hAnsi="Times New Roman Regular" w:cs="Times New Roman Regular"/>
          <w:b/>
          <w:bCs/>
          <w:i/>
          <w:iCs/>
          <w:sz w:val="22"/>
          <w:szCs w:val="22"/>
        </w:rPr>
        <w:fldChar w:fldCharType="begin" w:fldLock="1"/>
      </w:r>
      <w:r>
        <w:rPr>
          <w:rFonts w:hint="default" w:ascii="Times New Roman Regular" w:hAnsi="Times New Roman Regular" w:cs="Times New Roman Regular"/>
          <w:b/>
          <w:bCs/>
          <w:i/>
          <w:iCs/>
          <w:sz w:val="22"/>
          <w:szCs w:val="22"/>
        </w:rPr>
        <w:instrText xml:space="preserve">ADDIN CSL_CITATION {"citationItems":[{"id":"ITEM-1","itemData":{"URL":"https://www.hofstede-insights.com/","accessed":{"date-parts":[["2021","12","30"]]},"author":[{"dropping-particle":"","family":"Hofstede Insights","given":"","non-dropping-particle":"","parse-names":false,"suffix":""}],"id":"ITEM-1","issued":{"date-parts":[["2021"]]},"title":"Home - Hofstede Insights Organisational Culture Consulting","type":"webpage"},"uris":["http://www.mendeley.com/documents/?uuid=4bb73c4a-a0cf-3753-802e-1c2de5e575c2"]}],"mendeley":{"formattedCitation":"(Hofstede Insights, 2021)","plainTextFormattedCitation":"(Hofstede Insights, 2021)","previouslyFormattedCitation":"(Hofstede Insights, 2021)"},"properties":{"noteIndex":0},"schema":"https://github.com/citation-style-language/schema/raw/master/csl-citation.json"}</w:instrText>
      </w:r>
      <w:r>
        <w:rPr>
          <w:rFonts w:hint="default" w:ascii="Times New Roman Regular" w:hAnsi="Times New Roman Regular" w:cs="Times New Roman Regular"/>
          <w:b/>
          <w:bCs/>
          <w:i/>
          <w:iCs/>
          <w:sz w:val="22"/>
          <w:szCs w:val="22"/>
        </w:rPr>
        <w:fldChar w:fldCharType="separate"/>
      </w:r>
      <w:r>
        <w:rPr>
          <w:rFonts w:hint="default" w:ascii="Times New Roman Regular" w:hAnsi="Times New Roman Regular" w:cs="Times New Roman Regular"/>
          <w:b/>
          <w:bCs/>
          <w:i/>
          <w:iCs/>
          <w:sz w:val="22"/>
          <w:szCs w:val="22"/>
        </w:rPr>
        <w:t>(Hofstede Insights, 2021)</w:t>
      </w:r>
      <w:r>
        <w:rPr>
          <w:rFonts w:hint="default" w:ascii="Times New Roman Regular" w:hAnsi="Times New Roman Regular" w:cs="Times New Roman Regular"/>
          <w:b/>
          <w:bCs/>
          <w:i/>
          <w:iCs/>
          <w:sz w:val="22"/>
          <w:szCs w:val="22"/>
        </w:rPr>
        <w:fldChar w:fldCharType="end"/>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The very step to eliminate the communication difficulties in an intercultural setting is to understand how Colombian culture differs from the British culture in the business context. The power distance testifies to the existence of authority and inequality in the workplace. Colombian culture indicates it has come to terms with the unleveled distribution of power compared to the British culture, indicating the British culture is featured with a more widely dispersed power ambience. A typical difference here is that Colombian employees tend to follow the instructions of the senior leadership and defer to seniors with more power concerning decision-makings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{"citationItems":[{"id":"ITEM-1","itemData":{"ISBN":"2049-3983","author":[{"dropping-particle":"","family":"Roman-Calderon","given":"Juan Pablo","non-dropping-particle":"","parse-names":false,"suffix":""},{"dropping-particle":"","family":"Gonzales-Miranda","given":"Diego Ren��","non-dropping-particle":"","parse-names":false,"suffix":""},{"dropping-particle":"","family":"Garc��a","given":"Gustavo A","non-dropping-particle":"","parse-names":false,"suffix":""},{"dropping-particle":"","family":"Gallo","given":"Oscar","non-dropping-particle":"","parse-names":false,"suffix":""}],"container-title":"Evidence-Based HRM: A Global Forum for Empirical Scholarship","id":"ITEM-1","issued":{"date-parts":[["2019"]]},"publisher":"Emerald Publishing Limited","title":"Colombian millennials at the workplace","type":"paper-conference"},"uris":["http://www.mendeley.com/documents/?uuid=1c86f934-7eda-4e71-9665-35e64219c9fa"]}],"mendeley":{"formattedCitation":"(Roman-Calderon &lt;i&gt;et al.&lt;/i&gt;, 2019)","plainTextFormattedCitation":"(Roman-Calderon et al., 2019)","previouslyFormattedCitation":"(Roman-Calderon &lt;i&gt;et al.&lt;/i&gt;, 2019)"},"properties":{"noteIndex":0},"schema":"https://github.com/citation-style-language/schema/raw/master/csl-citation.json"}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(Roman-Calderon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2019)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While British people tend to be more active in this term, they prefer collectively negotiation and communication with senior leadership to decide what should be done. The voices from employees are encouraged and valued by managers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{"citationItems":[{"id":"ITEM-1","itemData":{"ISSN":"0019-8692","author":[{"dropping-particle":"","family":"Walsh","given":"Janet","non-dropping-particle":"","parse-names":false,"suffix":""}],"container-title":"Industrial Relations Journal","id":"ITEM-1","issue":"4","issued":{"date-parts":[["2007"]]},"page":"303-319","publisher":"Wiley Online Library","title":"Equality and diversity in British workplaces: the 2004 workplace employment relations survey","type":"article-journal","volume":"38"},"uris":["http://www.mendeley.com/documents/?uuid=bba2e166-e4fd-41d4-8919-2c109bb4c542"]}],"mendeley":{"formattedCitation":"(Walsh, 2007)","plainTextFormattedCitation":"(Walsh, 2007)","previouslyFormattedCitation":"(Walsh, 2007)"},"properties":{"noteIndex":0},"schema":"https://github.com/citation-style-language/schema/raw/master/csl-citation.json"}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(Walsh, 2007)</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Individualism pertains to societies such as Britain, in which the interpersonal ties between employees are loose and less cohesively. British employees are perceived as independent workers, as they tend to separate their work from their personal life and would not use their own spare time to commit any corporate-related tasks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0263-2373","author":[{"dropping-particle":"","family":"Dulk","given":"Laura","non-dropping-particle":"Den","parse-names":false,"suffix":""},{"dropping-particle":"","family":"Groeneveld","given":"Sandra","non-dropping-particle":"","parse-names":false,"suffix":""},{"dropping-particle":"","family":"Ollier-Malaterre","given":"Ariane","non-dropping-particle":"","parse-names":false,"suffix":""},{"dropping-particle":"","family":"Valcour","given":"Monique","non-dropping-particle":"","parse-names":false,"suffix":""}],"container-title":"European Management Journal","id":"ITEM-1","issue":"5","issued":{"date-parts":[["2013"]]},"page":"478-494","publisher":"Elsevier","title":"National context in work-life research: A multi-level cross-national analysis of the adoption of workplace work-life arrangements in Europe","type":"article-journal","volume":"31"},"uris":["http://www.mendeley.com/documents/?uuid=e8785b6b-f8da-4248-bd5c-22e97553d272"]}],"mendeley":{"formattedCitation":"(Den Dulk &lt;i&gt;et al.&lt;/i&gt;, 2013)","plainTextFormattedCitation":"(Den Dulk et al., 2013)","previouslyFormattedCitation":"(Den Dulk &lt;i&gt;et al.&lt;/i&gt;, 2013)"},"properties":{"noteIndex":0},"schema":"https://github.com/citation-style-language/schema/raw/master/csl-citation.json"}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(Den Dulk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2013)</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Colombian employees, on the opposite, are more team-focused, as they keep close bonds to the group they participate in, and collective harmony and interests prevail over the personal benefits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2071-789X","author":[{"dropping-particle":"","family":"Martínez-Buelvas","given":"Laura","non-dropping-particle":"","parse-names":false,"suffix":""},{"dropping-particle":"","family":"Jaramillo-Naranjo","given":"Olga","non-dropping-particle":"","parse-names":false,"suffix":""},{"dropping-particle":"","family":"La Hoz-Dominguez","given":"Enrique","non-dropping-particle":"De","parse-names":false,"suffix":""}],"container-title":"Economics &amp; Sociology","id":"ITEM-1","issue":"2","issued":{"date-parts":[["2021"]]},"page":"71-84","publisher":"Centre of Sociological Research (NGO)","title":"Factors that affect quality of work life of the millennials linked to the commercial sector in Colombia","type":"article-journal","volume":"14"},"uris":["http://www.mendeley.com/documents/?uuid=31116482-1092-458c-9e3d-c1e87e08a635"]}],"mendeley":{"formattedCitation":"(Martínez-Buelvas, Jaramillo-Naranjo and De La Hoz-Dominguez, 2021)","plainTextFormattedCitation":"(Martínez-Buelvas, Jaramillo-Naranjo and De La Hoz-Dominguez, 2021)","previouslyFormattedCitation":"(Martínez-Buelvas, Jaramillo-Naranjo and De La Hoz-Dominguez, 2021)"},"properties":{"noteIndex":0},"schema":"https://github.com/citation-style-language/schema/raw/master/csl-citation.json"}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(Martínez-Buelvas, Jaramillo-Naranjo and De La Hoz-Dominguez, 2021)</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masculinity dimension measures the status of males and females across distinct cultures. Britain and Colombia share many similarities in this dimension with almost the same scores, and they are both slightly masculine societies. Therefore, for both British and Colombian workplace, males are expected to exert more power and take on the leading roles, and their presence in the senior management teams are more common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{"citationItems":[{"id":"ITEM-1","itemData":{"ISSN":"0022-4537","author":[{"dropping-particle":"","family":"Glick","given":"Peter","non-dropping-particle":"","parse-names":false,"suffix":""},{"dropping-particle":"","family":"Berdahl","given":"Jennifer L","non-dropping-particle":"","parse-names":false,"suffix":""},{"dropping-particle":"","family":"Alonso","given":"Natalya M","non-dropping-particle":"","parse-names":false,"suffix":""}],"container-title":"Journal of Social Issues","id":"ITEM-1","issue":"3","issued":{"date-parts":[["2018"]]},"page":"449-476","title":"Development and validation of the masculinity contest culture scale","type":"article-journal","volume":"74"},"uris":["http://www.mendeley.com/documents/?uuid=5dd08d35-b1ec-4951-8c51-89f426707a35"]}],"mendeley":{"formattedCitation":"(Glick, Berdahl and Alonso, 2018)","plainTextFormattedCitation":"(Glick, Berdahl and Alonso, 2018)","previouslyFormattedCitation":"(Glick, Berdahl and Alonso, 2018)"},"properties":{"noteIndex":0},"schema":"https://github.com/citation-style-language/schema/raw/master/csl-citation.json"}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(Glick, Berdahl and Alonso, 2018)</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the spirit of competitiveness against each other and finding their own places within the company are encouraged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{"citationItems":[{"id":"ITEM-1","itemData":{"DOI":"10.1111/josi.12290","ISSN":"15404560","abstract":"We consider how the research featured in this special issue reveals the deeply emotional nature of men's gender-identity constructions at work: men qua men feeling threatened and insecure and thus compelled to prove their manliness in survival-of-the-fittest competitions. These papers locate this behavior not in individual bad actors nor in men's supposed biological drives, but rather in the organizational norms and practices that foster masculinity contests. We offer possible ways forward for organizational practice and policy aimed at eliminating masculinity contest cultures and their negative effects.","author":[{"dropping-particle":"","family":"Ely","given":"Robin J.","non-dropping-particle":"","parse-names":false,"suffix":""},{"dropping-particle":"","family":"Kimmel","given":"Michael","non-dropping-particle":"","parse-names":false,"suffix":""}],"container-title":"Journal of Social Issues","id":"ITEM-1","issue":"3","issued":{"date-parts":[["2018","9","1"]]},"page":"628-634","publisher":"Blackwell Publishing Inc.","title":"Thoughts on the Workplace as a Masculinity Contest","type":"article-journal","volume":"74"},"uris":["http://www.mendeley.com/documents/?uuid=1b22d387-a3d0-3f50-a2aa-446601532c00"]}],"mendeley":{"formattedCitation":"(Ely and Kimmel, 2018)","plainTextFormattedCitation":"(Ely and Kimmel, 2018)"},"properties":{"noteIndex":0},"schema":"https://github.com/citation-style-language/schema/raw/master/csl-citation.json"}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(Ely and Kimmel, 2018)</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workplaces tend to be deferential and excessively patriarchal in both Colombian and British workplaces. Uncertainty avoidance measures the extent to how people can tolerate anxiety, uncertainties and ambiguities. Colombian workplace is featured with very explicit, detailed and transparent procedures, instructions, regulations and plans, as they dislike of any unprecedented changes on their plans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{"citationItems":[{"id":"ITEM-1","itemData":{"ISSN":"1941-336X","author":[{"dropping-particle":"","family":"Perez-Alvarez","given":"Cesar","non-dropping-particle":"","parse-names":false,"suffix":""}],"container-title":"Journal of Academic and Business Ethics","id":"ITEM-1","issued":{"date-parts":[["2014"]]},"page":"1","publisher":"Citeseer","title":"Uncertainty avoidance, IT perceptions, use and adoption: distributed teams in two cultures","type":"article-journal","volume":"8"},"uris":["http://www.mendeley.com/documents/?uuid=7b7492b4-6978-4261-abf9-08060a0fee16"]}],"mendeley":{"formattedCitation":"(Perez-Alvarez, 2014)","plainTextFormattedCitation":"(Perez-Alvarez, 2014)","previouslyFormattedCitation":"(Perez-Alvarez, 2014)"},"properties":{"noteIndex":0},"schema":"https://github.com/citation-style-language/schema/raw/master/csl-citation.json"}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(Perez-Alvarez, 2014)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British do not really follow structured rules or instructions, and they can tolerate and even embrace the unknown and unpredictable void of making spontaneous innovations and being generally inclusive, and British people seem inclined to open-minded decision making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{"citationItems":[{"id":"ITEM-1","itemData":{"ISSN":"0025-1909","author":[{"dropping-particle":"","family":"Hardisty","given":"David J","non-dropping-particle":"","parse-names":false,"suffix":""},{"dropping-particle":"","family":"Pfeffer","given":"Jeffrey","non-dropping-particle":"","parse-names":false,"suffix":""}],"container-title":"Management Science","id":"ITEM-1","issue":"2","issued":{"date-parts":[["2017"]]},"page":"519-527","publisher":"INFORMS","title":"Intertemporal uncertainty avoidance: When the future is uncertain, people prefer the present, and when the present is uncertain, people prefer the future","type":"article-journal","volume":"63"},"uris":["http://www.mendeley.com/documents/?uuid=2c7b7f17-67a4-4118-9790-3b917de5c742"]}],"mendeley":{"formattedCitation":"(Hardisty and Pfeffer, 2017)","plainTextFormattedCitation":"(Hardisty and Pfeffer, 2017)","previouslyFormattedCitation":"(Hardisty and Pfeffer, 2017)"},"properties":{"noteIndex":0},"schema":"https://github.com/citation-style-language/schema/raw/master/csl-citation.json"}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(Hardisty and Pfeffer, 2017)</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Long term orientation describes the fostering of virtues oriented toward future rewards, in particular, perseverance and thrift. British workplace is more long-term oriented, indicating they are more likely to comprise in their own way in exchange of future rewards. Colombian workplace is much more short-term oriented, indicating their emphasis on principles, truth and consistency. Higher indulgence score of Colombian culture indicates their greater appreciation of personal desires and their mentality of enjoying life, which in turn comings more positive vibes, freedom of speech, workplace and schedule flexibility, and job autonomy; British workplace, in turn, places a little bit more attention on suppressing gratification and more restrained on personal conducts and behaviours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{"citationItems":[{"id":"ITEM-1","itemData":{"ISSN":"0144-6665","author":[{"dropping-particle":"","family":"Taylor","given":"Cat","non-dropping-particle":"","parse-names":false,"suffix":""},{"dropping-particle":"","family":"Webb","given":"Thomas L","non-dropping-particle":"","parse-names":false,"suffix":""},{"dropping-particle":"","family":"Sheeran","given":"Paschal","non-dropping-particle":"","parse-names":false,"suffix":""}],"container-title":"British Journal of Social Psychology","id":"ITEM-1","issue":"3","issued":{"date-parts":[["2014"]]},"page":"501-520","publisher":"Wiley Online Library","title":"��I deserve a treat!��: Justifications for indulgence undermine the translation of intentions into action","type":"article-journal","volume":"53"},"uris":["http://www.mendeley.com/documents/?uuid=dbd74227-2539-4c36-8bca-c0a920d40bc6"]},{"id":"ITEM-2","itemData":{"author":[{"dropping-particle":"","family":"Thakur","given":"Anusha","non-dropping-particle":"","parse-names":false,"suffix":""}],"container-title":"Handbook of Research on the Empirical Aspects of Strategic Trade Negotiations and Management","id":"ITEM-2","issued":{"date-parts":[["2021"]]},"page":"196-210","publisher":"IGI Global","title":"Cultural Impact on Global Trade","type":"chapter"},"uris":["http://www.mendeley.com/documents/?uuid=9dd00126-b363-455a-a48e-5c2747a21bc6"]}],"mendeley":{"formattedCitation":"(Taylor, Webb and Sheeran, 2014; Thakur, 2021)","plainTextFormattedCitation":"(Taylor, Webb and Sheeran, 2014; Thakur, 2021)","previouslyFormattedCitation":"(Taylor, Webb and Sheeran, 2014; Thakur, 2021)"},"properties":{"noteIndex":0},"schema":"https://github.com/citation-style-language/schema/raw/master/csl-citation.json"}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(Taylor, Webb and Sheeran, 2014; Thakur, 2021)</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differences embedded in cultures directly result in the differences in the values, perceptions, norms, conducts and behaviours of employees in the workplace, and the British way of doing businesses are not universally applicable in the Colombian workplace. </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Another tool that can facilitate and enhance the differences and sensitivities of Colombian cultures when British doing business in Colombia is the cultural context. Typically, in a high culture context such as Colombia, communication in the workplace is largely implicit, meaning that information can be conveyed in a non-verbal, non-confrontational and in-direct manner through the specific context or relationship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{"citationItems":[{"id":"ITEM-1","itemData":{"ISSN":"0882-4096","author":[{"dropping-particle":"","family":"Croucher","given":"Stephen M","non-dropping-particle":"","parse-names":false,"suffix":""},{"dropping-particle":"","family":"Bruno","given":"Ann","non-dropping-particle":"","parse-names":false,"suffix":""},{"dropping-particle":"","family":"McGrath","given":"Paul","non-dropping-particle":"","parse-names":false,"suffix":""},{"dropping-particle":"","family":"Adams","given":"Caroline","non-dropping-particle":"","parse-names":false,"suffix":""},{"dropping-particle":"","family":"McGahan","given":"Cassandra","non-dropping-particle":"","parse-names":false,"suffix":""},{"dropping-particle":"","family":"Suits","given":"Angela","non-dropping-particle":"","parse-names":false,"suffix":""},{"dropping-particle":"","family":"Huckins","given":"Ashleigh","non-dropping-particle":"","parse-names":false,"suffix":""}],"container-title":"Communication Research Reports","id":"ITEM-1","issue":"1","issued":{"date-parts":[["2012"]]},"page":"64-73","publisher":"Taylor &amp; Francis","title":"Conflict styles and high�Clow context cultures: A cross-cultural extension","type":"article-journal","volume":"29"},"uris":["http://www.mendeley.com/documents/?uuid=5301ab4c-9247-4ee4-a319-96a36edb89ce"]}],"mendeley":{"formattedCitation":"(Croucher &lt;i&gt;et al.&lt;/i&gt;, 2012)","plainTextFormattedCitation":"(Croucher et al., 2012)","previouslyFormattedCitation":"(Croucher &lt;i&gt;et al.&lt;/i&gt;, 2012)"},"properties":{"noteIndex":0},"schema":"https://github.com/citation-style-language/schema/raw/master/csl-citation.json"}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(Croucher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2012)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In other words, the perception of messages significantly rests on contextual cues beyond the language, including body language, facial expressions, voice tones, etc.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{"citationItems":[{"id":"ITEM-1","itemData":{"ISBN":"9027273960","author":[{"dropping-particle":"","family":"Niemeier","given":"Susanne","non-dropping-particle":"","parse-names":false,"suffix":""},{"dropping-particle":"","family":"Campbell","given":"Charles P","non-dropping-particle":"","parse-names":false,"suffix":""},{"dropping-particle":"","family":"Dirven","given":"Ren��","non-dropping-particle":"","parse-names":false,"suffix":""}],"id":"ITEM-1","issued":{"date-parts":[["1998"]]},"publisher":"John Benjamins Publishing","title":"The cultural context in business communication","type":"book"},"uris":["http://www.mendeley.com/documents/?uuid=d4d20a42-7cfb-4d0d-8976-ad120c5f09f0"]}],"mendeley":{"formattedCitation":"(Niemeier, Campbell and Dirven, 1998)","plainTextFormattedCitation":"(Niemeier, Campbell and Dirven, 1998)","previouslyFormattedCitation":"(Niemeier, Campbell and Dirven, 1998)"},"properties":{"noteIndex":0},"schema":"https://github.com/citation-style-language/schema/raw/master/csl-citation.json"}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(Niemeier, Campbell and Dirven, 1998)</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Therefore, employees in the Colombian workplace generally attempt to become well-informed about facts and situations by acquiring information from personal information networks. On the other hand, in a low culture context such as Britain, the information in the workplace is communicated significantly by explicit, confrontational and direct verbal words, and less contextual clues and guesswork are involved. British employees, therefore, tend to gather information from a research base through reports, databases, internet, etc.</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Besides the differences and sensitivities that have been captured by the above two models, there are some other intercultural issues worthy of great attention of the British in doing business in Colombia. Trust is defined by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{"citationItems":[{"id":"ITEM-1","itemData":{"ISSN":"0148-2963","author":[{"dropping-particle":"","family":"Boersma","given":"Margreet F","non-dropping-particle":"","parse-names":false,"suffix":""},{"dropping-particle":"","family":"Buckley","given":"Peter J","non-dropping-particle":"","parse-names":false,"suffix":""},{"dropping-particle":"","family":"Ghauri","given":"Pervez N","non-dropping-particle":"","parse-names":false,"suffix":""}],"container-title":"Journal of Business Research","id":"ITEM-1","issue":"12","issued":{"date-parts":[["2003"]]},"page":"1031-1042","publisher":"Elsevier","title":"Trust in international joint venture relationships","type":"article-journal","volume":"56"},"uris":["http://www.mendeley.com/documents/?uuid=60847e95-4505-4d3b-994c-4981f1cf9d54"]}],"mendeley":{"formattedCitation":"(Boersma, Buckley and Ghauri, 2003)","manualFormatting":"Boersma, Buckley and Ghauri (2003)","plainTextFormattedCitation":"(Boersma, Buckley and Ghauri, 2003)","previouslyFormattedCitation":"(Boersma, Buckley and Ghauri, 2003)"},"properties":{"noteIndex":0},"schema":"https://github.com/citation-style-language/schema/raw/master/csl-citation.json"}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Boersma, Buckley and Ghauri (2003)</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as a typical expectation that employees can be relied on to keep to obligations and agreements through performing their roles competently and honourably even without any exploit promises or performance guarantees. Trust is, therefore, embedded in cultures and acts as a sanctioning mechanism or an informal institution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{"citationItems":[{"id":"ITEM-1","itemData":{"ISSN":"0022-4545","author":[{"dropping-particle":"","family":"Spector","given":"Michele D","non-dropping-particle":"","parse-names":false,"suffix":""},{"dropping-particle":"","family":"Jones","given":"Gwen E","non-dropping-particle":"","parse-names":false,"suffix":""}],"container-title":"The Journal of social psychology","id":"ITEM-1","issue":"3","issued":{"date-parts":[["2004"]]},"page":"311-321","publisher":"Taylor &amp; Francis","title":"Trust in the workplace: Factors affecting trust formation between team members","type":"article-journal","volume":"144"},"uris":["http://www.mendeley.com/documents/?uuid=2018fe93-2e7d-4402-bcdb-8cfea1f021a2"]}],"mendeley":{"formattedCitation":"(Spector and Jones, 2004)","plainTextFormattedCitation":"(Spector and Jones, 2004)","previouslyFormattedCitation":"(Spector and Jones, 2004)"},"properties":{"noteIndex":0},"schema":"https://github.com/citation-style-language/schema/raw/master/csl-citation.json"}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(Spector and Jones, 2004)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How trust can be nurtured and maintained differs from the British workplace to the Colombian workplace. Specifically, the British employees base their trust on rules and regulations which are applied to all, such as legal systems, contracts, codes of conduct; this is actually an echo to their low-context culture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{"citationItems":[{"id":"ITEM-1","itemData":{"ISSN":"0143-831X","author":[{"dropping-particle":"","family":"Stuart","given":"Mark","non-dropping-particle":"","parse-names":false,"suffix":""},{"dropping-particle":"","family":"Lucio","given":"Miguel Martinez","non-dropping-particle":"","parse-names":false,"suffix":""}],"container-title":"Economic and Industrial Democracy","id":"ITEM-1","issue":"2","issued":{"date-parts":[["2002"]]},"page":"177-200","publisher":"Sage Publications Sage CA: Thousand Oaks, CA","title":"Social partnership and the mutual gains organization: Remaking involvement and trust at the British workplace","type":"article-journal","volume":"23"},"uris":["http://www.mendeley.com/documents/?uuid=127c5f6a-d72c-44c5-83e8-0859236259ee"]}],"mendeley":{"formattedCitation":"(Stuart and Lucio, 2002)","plainTextFormattedCitation":"(Stuart and Lucio, 2002)","previouslyFormattedCitation":"(Stuart and Lucio, 2002)"},"properties":{"noteIndex":0},"schema":"https://github.com/citation-style-language/schema/raw/master/csl-citation.json"}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(Stuart and Lucio, 2002)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However, Colombian employees nurture and maintain their relationships in their informal deals that are not explicitly written and strictly enforced by any authorities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1753-3627","author":[{"dropping-particle":"","family":"Thoene","given":"Ulf","non-dropping-particle":"","parse-names":false,"suffix":""},{"dropping-particle":"","family":"Turriago-Hoyos","given":"Alvaro","non-dropping-particle":"","parse-names":false,"suffix":""}],"container-title":"International Journal of Business and Globalisation","id":"ITEM-1","issue":"2","issued":{"date-parts":[["2019"]]},"page":"232-249","publisher":"Inderscience Publishers (IEL)","title":"Trust, business, and society in a post-conflict scenario-the case of managing workplace practices in Colombia","type":"article-journal","volume":"23"},"uris":["http://www.mendeley.com/documents/?uuid=f5f30454-24c9-4cd3-be6d-8443cc13ac5b"]}],"mendeley":{"formattedCitation":"(Thoene and Turriago-Hoyos, 2019)","plainTextFormattedCitation":"(Thoene and Turriago-Hoyos, 2019)","previouslyFormattedCitation":"(Thoene and Turriago-Hoyos, 2019)"},"properties":{"noteIndex":0},"schema":"https://github.com/citation-style-language/schema/raw/master/csl-citation.json"}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(Thoene and Turriago-Hoyos, 2019)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institutionalized means of controlling is more reliable to develop trust for British trust. Moreover, the human relationships, based on personal honour, personal integrity, sense of responsibilities, filial duties, friendship, families or mutually beneficial favours, are exploited by Colombian employees to nurture trust, and thereby have a significant influence on decision making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{"citationItems":[{"id":"ITEM-1","itemData":{"ISSN":"0893-3189","author":[{"dropping-particle":"","family":"Botero","given":"Isabel C","non-dropping-particle":"","parse-names":false,"suffix":""},{"dropping-particle":"","family":"Dyne","given":"Linn","non-dropping-particle":"Van","parse-names":false,"suffix":""}],"container-title":"Management Communication Quarterly","id":"ITEM-1","issue":"1","issued":{"date-parts":[["2009"]]},"page":"84-104","publisher":"Sage Publications Sage CA: Los Angeles, CA","title":"Employee voice behavior: Interactive effects of LMX and power distance in the United States and Colombia","type":"article-journal","volume":"23"},"uris":["http://www.mendeley.com/documents/?uuid=68d25023-9cc7-4dca-ac46-8d840c64286d"]}],"mendeley":{"formattedCitation":"(Botero and Van Dyne, 2009)","plainTextFormattedCitation":"(Botero and Van Dyne, 2009)","previouslyFormattedCitation":"(Botero and Van Dyne,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(Botero and Van Dyne,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has to be noticed that using informal deals such as interpersonal relationships for businesses may be perceived as unethical and inappropriate to British people but legitimate and moral to Colombian cultures. Therefore, Colombian employees may exploit some informal talks and networks in building rapport and developing personal connections with British employees, but British employees may be unreceptive towards it. Especially, in countries such as Colombia with markedly more collectivist values, the trust is much easier to cultivate in the interaction with ‘in-group’ Colombian members, but more suspicious and distant with ‘out-group’ British members. In this term, there generally will be a greater concern for the group harmony, preferential treatment, personal networking for those who are included in the circle of trust among Colombian employees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{"citationItems":[{"id":"ITEM-1","itemData":{"ISBN":"1442970340","author":[{"dropping-particle":"","family":"Reina","given":"Dennis S","non-dropping-particle":"","parse-names":false,"suffix":""}],"id":"ITEM-1","issued":{"date-parts":[["2009"]]},"publisher":"ReadHowYouWant. com","title":"Trust and betrayal in the workplace: Building effective relationships in your organization","type":"book"},"uris":["http://www.mendeley.com/documents/?uuid=4879545d-b769-45e8-9e63-1e4c5bbeb4ad"]}],"mendeley":{"formattedCitation":"(Reina, 2009)","plainTextFormattedCitation":"(Reina, 2009)","previouslyFormattedCitation":"(Reina,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(Reina,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possibility of sub-group or sub-culture with the organization can be highly challenging for British organizations in the Colombian marketplace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0023-9216","author":[{"dropping-particle":"","family":"Gunningham","given":"Neil","non-dropping-particle":"","parse-names":false,"suffix":""},{"dropping-particle":"","family":"Sinclair","given":"Darren","non-dropping-particle":"","parse-names":false,"suffix":""}],"container-title":"Law &amp; Society Review","id":"ITEM-1","issue":"4","issued":{"date-parts":[["2009"]]},"page":"865-900","publisher":"Wiley Online Library","title":"Organizational trust and the limits of management�\\based regulation","type":"article-journal","volume":"43"},"uris":["http://www.mendeley.com/documents/?uuid=47a13976-9f08-4342-82d7-2f9618e2e29e"]}],"mendeley":{"formattedCitation":"(Gunningham and Sinclair, 2009)","plainTextFormattedCitation":"(Gunningham and Sinclair, 2009)","previouslyFormattedCitation":"(Gunningham and Sinclair,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(Gunningham and Sinclair,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the involvement of relationships may result in the typical scenarios that “relationships come first, and then businesses after”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{"citationItems":[{"id":"ITEM-1","itemData":{"ISBN":"0494978406","author":[{"dropping-particle":"","family":"Zomer","given":"Limor","non-dropping-particle":"","parse-names":false,"suffix":""}],"id":"ITEM-1","issued":{"date-parts":[["2012"]]},"publisher":"University of Toronto (Canada)","title":"The relationships among emotional intelligence, gender, coping strategies, and well-being in the management of stress in close interpersonal relationships and the workplace","type":"book"},"uris":["http://www.mendeley.com/documents/?uuid=8828a655-e67c-4fe2-a1e0-5961196a5228"]}],"mendeley":{"formattedCitation":"(Zomer, 2012)","plainTextFormattedCitation":"(Zomer, 2012)","previouslyFormattedCitation":"(Zomer, 2012)"},"properties":{"noteIndex":0},"schema":"https://github.com/citation-style-language/schema/raw/master/csl-citation.json"}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(Zomer, 2012)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Previous studies further indicate that intra-team trust is positively related to productivity, satisfaction commitment, engagement and performance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0894-3796","author":[{"dropping-particle":"","family":"Huang","given":"Xu","non-dropping-particle":"","parse-names":false,"suffix":""},{"dropping-particle":"","family":"Iun","given":"Joyce","non-dropping-particle":"","parse-names":false,"suffix":""},{"dropping-particle":"","family":"Liu","given":"Aili","non-dropping-particle":"","parse-names":false,"suffix":""},{"dropping-particle":"","family":"Gong","given":"Yaping","non-dropping-particle":"","parse-names":false,"suffix":""}],"container-title":"Journal of Organizational Behavior","id":"ITEM-1","issue":"1","issued":{"date-parts":[["2010"]]},"page":"122-143","publisher":"Wiley Online Library","title":"Does participative leadership enhance work performance by inducing empowerment or trust? The differential effects on managerial and non�\\managerial subordinates","type":"article-journal","volume":"31"},"uris":["http://www.mendeley.com/documents/?uuid=389f28ae-fdd9-4585-a089-16b2ff97555c"]},{"id":"ITEM-2","itemData":{"ISSN":"1939-1854","author":[{"dropping-particle":"","family":"Carter","given":"Min Z","non-dropping-particle":"","parse-names":false,"suffix":""},{"dropping-particle":"","family":"Mossholder","given":"Kevin W","non-dropping-particle":"","parse-names":false,"suffix":""}],"container-title":"Journal of Applied Psychology","id":"ITEM-2","issue":"5","issued":{"date-parts":[["2015"]]},"page":"1349","publisher":"American Psychological Association","title":"Are we on the same page? The performance effects of congruence between supervisor and group trust.","type":"article-journal","volume":"100"},"uris":["http://www.mendeley.com/documents/?uuid=458691df-d85e-4d6a-b790-3823ddb9eef1"]}],"mendeley":{"formattedCitation":"(Huang &lt;i&gt;et al.&lt;/i&gt;, 2010; Carter and Mossholder, 2015)","plainTextFormattedCitation":"(Huang et al., 2010; Carter and Mossholder, 2015)","previouslyFormattedCitation":"(Huang &lt;i&gt;et al.&lt;/i&gt;, 2010; Carter and Mossholder, 2015)"},"properties":{"noteIndex":0},"schema":"https://github.com/citation-style-language/schema/raw/master/csl-citation.json"}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 xml:space="preserve">(Huang </w:t>
      </w:r>
      <w:r>
        <w:rPr>
          <w:rFonts w:hint="default" w:ascii="Times New Roman Regular" w:hAnsi="Times New Roman Regular" w:cs="Times New Roman Regular"/>
          <w:i/>
          <w:sz w:val="22"/>
          <w:szCs w:val="22"/>
        </w:rPr>
        <w:t>et al.</w:t>
      </w:r>
      <w:r>
        <w:rPr>
          <w:rFonts w:hint="default" w:ascii="Times New Roman Regular" w:hAnsi="Times New Roman Regular" w:cs="Times New Roman Regular"/>
          <w:sz w:val="22"/>
          <w:szCs w:val="22"/>
        </w:rPr>
        <w:t>, 2010; Carter and Mossholder, 2015)</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Another huge challenge and sensitivity that is not captured by the above models is the tradition and perception of gift-giving. It has been widely perceived in many cultures that gift-giving is a typical and integral part of doing business, as gift exchange can help with interpersonal relationship building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{"citationItems":[{"id":"ITEM-1","itemData":{"ISSN":"0002-8282","author":[{"dropping-particle":"","family":"Kube","given":"Sebastian","non-dropping-particle":"","parse-names":false,"suffix":""},{"dropping-particle":"","family":"Maréchal","given":"Michel Andr��","non-dropping-particle":"","parse-names":false,"suffix":""},{"dropping-particle":"","family":"Puppe","given":"Clemens","non-dropping-particle":"","parse-names":false,"suffix":""}],"container-title":"American Economic Review","id":"ITEM-1","issue":"4","issued":{"date-parts":[["2012"]]},"page":"1644-1662","title":"The currency of reciprocity: Gift exchange in the workplace","type":"article-journal","volume":"102"},"uris":["http://www.mendeley.com/documents/?uuid=9dd46311-a3c2-4bd1-bda3-55eb22f464b1"]}],"mendeley":{"formattedCitation":"(Kube, Maréchal and Puppe, 2012)","plainTextFormattedCitation":"(Kube, Maréchal and Puppe, 2012)","previouslyFormattedCitation":"(Kube, Maréchal and Puppe, 2012)"},"properties":{"noteIndex":0},"schema":"https://github.com/citation-style-language/schema/raw/master/csl-citation.json"}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(Kube, Maréchal and Puppe, 2012)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indicated by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{"citationItems":[{"id":"ITEM-1","itemData":{"ISBN":"0226752577","author":[{"dropping-particle":"","family":"Shershow","given":"Scott Cutler","non-dropping-particle":"","parse-names":false,"suffix":""}],"id":"ITEM-1","issued":{"date-parts":[["2005"]]},"publisher":"University of Chicago Press","title":"The work and the gift","type":"book"},"uris":["http://www.mendeley.com/documents/?uuid=5a15ea40-07bf-4e2f-943c-3671283e7a5d"]}],"mendeley":{"formattedCitation":"(Shershow, 2005)","manualFormatting":"Shershow (2005)","plainTextFormattedCitation":"(Shershow, 2005)","previouslyFormattedCitation":"(Shershow, 2005)"},"properties":{"noteIndex":0},"schema":"https://github.com/citation-style-language/schema/raw/master/csl-citation.json"}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Shershow (2005)</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gift-giving can be perceived as non-verbal communication to show respect, appreciation, empowerment, etc. However, when gift-giving is perceived as an expected social behaviour in the workplace in some cultures, it could be considered morally unethical in some other cultures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{"citationItems":[{"id":"ITEM-1","itemData":{"ISBN":"1410610721","author":[{"dropping-particle":"","family":"Ruth","given":"Julie A","non-dropping-particle":"","parse-names":false,"suffix":""}],"container-title":"Contemporary Consumption Rituals","id":"ITEM-1","issued":{"date-parts":[["2004"]]},"page":"207-238","publisher":"Psychology Press","title":"Gift exchange rituals in the workplace: A social roles interpretation","type":"chapter"},"uris":["http://www.mendeley.com/documents/?uuid=9866ee94-0d5c-4705-a88f-bdb09a73d79b"]}],"mendeley":{"formattedCitation":"(Ruth, 2004)","plainTextFormattedCitation":"(Ruth, 2004)","previouslyFormattedCitation":"(Ruth, 2004)"},"properties":{"noteIndex":0},"schema":"https://github.com/citation-style-language/schema/raw/master/csl-citation.json"}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(Ruth, 2004)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Typically, some cultures perceive gift-giving as bribes and issue strict regulations regarding the acceptance and the sending of gifts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{"citationItems":[{"id":"ITEM-1","itemData":{"DOI":"10.2469/faj.v69.n5.5","ISSN":"0015198X","author":[{"dropping-particle":"","family":"Boatright","given":"John R.","non-dropping-particle":"","parse-names":false,"suffix":""}],"container-title":"Financial Analysts Journal","id":"ITEM-1","issue":"5","issued":{"date-parts":[["2013"]]},"page":"6-9","title":"Confronting ethical dilemmas in the workplace","type":"article","volume":"69"},"uris":["http://www.mendeley.com/documents/?uuid=e3f294b8-cedb-36d1-bf90-3087be62ee59"]}],"mendeley":{"formattedCitation":"(Boatright, 2013)","plainTextFormattedCitation":"(Boatright, 2013)","previouslyFormattedCitation":"(Boatright, 2013)"},"properties":{"noteIndex":0},"schema":"https://github.com/citation-style-language/schema/raw/master/csl-citation.json"}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(Boatright, 2013)</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Regarding the gift-giving in the Colombian and British workplace, British employees typically do not encourage ( whether directly or through an intermediary) promise, offer, request or accept any formats of gifts where the monetary value, frequency, duration or nature is such as to cast double on the company, on the individual’s integrity, on the individual’s independence, judgement and objectivity; and any gifts constitute a bride or give the impression of a bride is explicitly and strictly forbidden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{"citationItems":[{"id":"ITEM-1","itemData":{"DOI":"10.1007/s10551-004-6712-y","ISSN":"01674544","abstract":"This paper explores the relationship between gift giving, guanxi and corruption through a study of the relationships between UK manufacturing companies in China and their local component suppliers. The analysis is based on interviews in the China-based operations of 49 UK companies. Interviews were carried out both with senior (often expatriate) staff and with local line managers who were responsible for everyday purchasing decisions and for managing relationships with suppliers. The results suggest that gift giving is perceived to be a significant problem in UK-owned companies in China. However the relationship between these payments and established understanding of gift giving within guanxi-networks appears to be weak. Gift giving appears to be associated with illicit payments, corruption and the pursuit of self-interest. Firms seek to reduce the incidence of illicit transactions by changing staff roles, instituting joint responsibilities, which include the separation of different aspects of sourcing/purchasing, ineasing the involvement of senior staff in the process and through the education of employee and suppliers. © Springer 2005.","author":[{"dropping-particle":"","family":"Millington","given":"Andrew","non-dropping-particle":"","parse-names":false,"suffix":""},{"dropping-particle":"","family":"Eberhardt","given":"Markus","non-dropping-particle":"","parse-names":false,"suffix":""},{"dropping-particle":"","family":"Wilkinson","given":"Barry","non-dropping-particle":"","parse-names":false,"suffix":""}],"container-title":"Journal of Business Ethics","id":"ITEM-1","issue":"3","issued":{"date-parts":[["2005","3"]]},"page":"255-268","title":"Gift giving, guanxi and illicit payments in buyer-supplier relations in China: Analysing the experience of UK companies","type":"article-journal","volume":"57"},"uris":["http://www.mendeley.com/documents/?uuid=bb1d40f7-2780-3d04-bf42-6264b050f99f"]},{"id":"ITEM-2","itemData":{"DOI":"10.1108/JCM-07-2014-1069","ISSN":"07363761","abstract":"Purpose: The purpose of this study is to offer a better understanding of contemporary consumer behaviour. This study relates to the complex and value-laden phenomenon of “gift-giving” from the perspective of bicultural consumers. The focus was on the gift-giving practices of Chinese immigrants in Canada within both their current and their past residencies (Canada and China, respectively). Design/methodology/approach: Conceptual guidelines for this study embodied the gift-giving conceptual framework of Sherry (1983) and Chinese cultural values on gift giving (Yau et al., 1999). A qualitative research study was implemented. Specifically, in-depth interviews with Chinese immigrant women mainly from the Greater Toronto Area (GTA) in Ontario, Canada, offered empirical evidence relating to the gestation stage of gift giving. Findings: The findings indicate the complexity of acculturation in gift-giving practices. In terms of gift-giving occasions, Chinese immigrants in Canada, for the most part, adopted the Canadian gift-giving occasions. However, the important role of ethnicity in decision-making is found through their strong sense of differentiation between Chinese and Canadian gift receivers. The results also indicate some Chinese cultural values such as relationship, reciprocity and group orientation as being still important in shaping gift-giving practices, even after immigration to a new country quite distant from the homeland. One cautionary note is that some cultural values such as relationship can be common to both Chinese and Canadian cultural groups. Research limitations/implications: This research was conducted mainly in the GTA in Ontario, Canada. Future studies could address other large Canadian cities with significant bicultural Chinese populations such as Vancouver in British Columbia and Motreal in Quebec. Practical implications: This research extends the knowledge of bicultural consumers by examining the evolving gift-giving practices of Chinese immigrants living in Canada. A good understanding of the cultural values important to bicultural consumers will help marketers to efficiently and effectively allocate their marketing resources in attracting these niche consumers. Social implications: This study has contributed to the broader field of marketing research. Specifically, the current study offers the importance of understanding values transference of bicultural consumers and their behaviours in integrating into the mainstream gift-giving …","author":[{"dropping-particle":"","family":"Aung","given":"May","non-dropping-particle":"","parse-names":false,"suffix":""},{"dropping-particle":"","family":"Zhang","given":"Xiying","non-dropping-particle":"","parse-names":false,"suffix":""},{"dropping-particle":"","family":"Teng","given":"Lefa","non-dropping-particle":"","parse-names":false,"suffix":""}],"container-title":"Journal of Consumer Marketing","id":"ITEM-2","issue":"1","issued":{"date-parts":[["2017"]]},"page":"43-52","title":"The evolving gift-giving practices of bicultural consumers","type":"article-journal","volume":"34"},"uris":["http://www.mendeley.com/documents/?uuid=13e30011-896c-3d8f-a0bb-2692eeeb7671"]}],"mendeley":{"formattedCitation":"(Millington, Eberhardt and Wilkinson, 2005; Aung, Zhang and Teng, 2017)","plainTextFormattedCitation":"(Millington, Eberhardt and Wilkinson, 2005; Aung, Zhang and Teng, 2017)","previouslyFormattedCitation":"(Millington, Eberhardt and Wilkinson, 2005; Aung, Zhang and Teng, 2017)"},"properties":{"noteIndex":0},"schema":"https://github.com/citation-style-language/schema/raw/master/csl-citation.json"}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(Millington, Eberhardt and Wilkinson, 2005; Aung, Zhang and Teng, 2017)</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UK Bribery Act 2010 clearly states it is a crime to accept a bribe and establish strict liabilities for businesses involved in commercial bribery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{"citationItems":[{"id":"ITEM-1","itemData":{"DOI":"10.1108/13590791211190713","ISSN":"13590790","abstract":"Purpose - The purpose of this paper is to assess the implications of The UK Bribery Act 2010 for businesses and in particular those with cross-border activities. Design/methodology/approach - This study relies on documentary research and using both primary and secondary data drawn from the public domain. Findings - The study suggests why UK businesses and in particular those conducting cross-country transactions should take the implications of this law seriously as the enforcement agency in the UK transforms to a more active mode. It also suggests why, despite some severe criticisms, the UK does not lag behind in the global fight against corruption. Research limitations/implications - This is an exploratory review paper to promote empirical research in a business sensitive theme. Practical implications - Insights from the study should prompt business leaders to give sufficient attention to those areas with high risks of falling within the ambit of the Act. Social implications - The study's findings reinforce the ethical dimensions of cross-border business practices. Originality/value - This study uses the implications of the new UK Act to draw attention to the business community that with the passing of the Act business cannot be as usual; that compliance to the Foreign Corrupt Practice Act would be insufficient; and that despite controversies over implementation delays, the UK does not lag behind in the fight against corruption worldwide.","author":[{"dropping-particle":"","family":"Yeoh","given":"Peter","non-dropping-particle":"","parse-names":false,"suffix":""}],"container-title":"Journal of Financial Crime","id":"ITEM-1","issue":"1","issued":{"date-parts":[["2011"]]},"page":"37-53","title":"The UK Bribery Act 2010: Contents and implications","type":"article-journal","volume":"19"},"uris":["http://www.mendeley.com/documents/?uuid=18db2a8c-cabf-3030-becf-95445142c74b"]}],"mendeley":{"formattedCitation":"(Yeoh, 2011)","plainTextFormattedCitation":"(Yeoh, 2011)","previouslyFormattedCitation":"(Yeoh, 2011)"},"properties":{"noteIndex":0},"schema":"https://github.com/citation-style-language/schema/raw/master/csl-citation.json"}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(Yeoh, 2011)</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Therefore, British employees tend to only accept or offer proportionate and reasonable gifts, typically hospitality or promotional expenditure. However, due to the importance attached to the interpersonal relationship in the Colombian culture, it is more common for them to offer or accept gifts from colleagues, seniors, partners, public officials, customers, etc.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{"citationItems":[{"id":"ITEM-1","itemData":{"DOI":"10.1007/s10551-008-9715-2","ISSN":"01674544","abstract":"The purpose of this research is to extend prior research testing the premise that small deviations from ethical behavior lead to even larger deviations from ethical behavior. This study examines the association between a person's willingness to bribe a police officer to avoid being issued a speeding ticket with their views on inappropriate behavior of corporate executives. Our sample of 528 participants comes from Colombia (90), Ecuador (70), South Africa (131) and the United States (237). As part of our data gathering, we controlled for social desirability response bias in the responses of the students who participated in our study. Our data indicate significant differences between the views of the students from Colombia, Ecuador, and South Africa when compared to the views of the students from the United States. The analysis indicates that, for all four dilemmas, the most significant variable was the belief about how ethical it was to pay a bribe to avoid a traffic ticket. In addition, in three of our four dilemmas, Paulhus' Impression Management Subscale, which measures social desirability response bias, was the second most significant variable. Finally, in three of the four dilemmas, the students from Colombia, Ecuador and South Africa thought the actions described in the dilemmas were less ethical than the students from the United States. © 2008 Springer Science+Business Media B.V.","author":[{"dropping-particle":"","family":"Bernardi","given":"Richard A.","non-dropping-particle":"","parse-names":false,"suffix":""},{"dropping-particle":"","family":"Witek","given":"Michael B.","non-dropping-particle":"","parse-names":false,"suffix":""},{"dropping-particle":"","family":"Melton","given":"Michael R.","non-dropping-particle":"","parse-names":false,"suffix":""}],"container-title":"Journal of Business Ethics","id":"ITEM-1","issue":"3","issued":{"date-parts":[["2009","2"]]},"page":"389-403","title":"A four-country study of the associations between bribery and unethical actions","type":"article-journal","volume":"84"},"uris":["http://www.mendeley.com/documents/?uuid=3f740f19-960f-3b47-834a-16b899f3dc05"]}],"mendeley":{"formattedCitation":"(Bernardi, Witek and Melton, 2009)","plainTextFormattedCitation":"(Bernardi, Witek and Melton, 2009)","previouslyFormattedCitation":"(Bernardi, Witek and Melton,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(Bernardi, Witek and Melton,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they do not usually have any clear and transparent guidelines on the gift exchanges, even when lodging and related gift expenses of public officials have informally consented in the Colombian workplace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{"citationItems":[{"id":"ITEM-1","itemData":{"DOI":"10.1108/JFC-09-2019-0126","ISSN":"17587239","abstract":"Purpose: This study aims to investigate the impact of the enforcement of the international anti-bribery legal framework in developing countries. Design/methodology/approach: It uses the PetroTiger case to examine the effects of foreign bribery prosecutions in Colombia, from a bribe-receivers perspective. PetroTiger is a USA-based company that was prosecuted for bribing public officials in Colombia. As a result, the public officials involved were also prosecuted in Colombia for receiving bribes. This case serves to illustrate how international anti-bribery law operates in practice and how it impacts Colombian law enforcement institutions and their capacity to prosecute bribe-receivers. The Colombian response to the international anti-corruption framework is examined in this study through the review of legislative efforts taken to address the problems of bribery and corruption in public procurement. Findings: This study finds that enforcement of foreign bribery laws raise awareness of the situation of corruption in developing countries, generate parallel prosecutions of individuals at the receiving end of bribes and helps developing countries to develop technical expertise to fight corruption. Practical implications: In practice, due to the transnational nature of foreign bribery, without international agreements, this type of corruption in international business would seldom lead to prosecution. Although the effectiveness of the enforcement of international anti-corruption law is debated, in reality, prosecutions of foreign bribery by developed countries have more positive than negative implications for developing countries. Social implications: Assist to continue efforts to deter corruption. Originality/value: No many studies have looked at the effectiveness of anti-corruption international law in developing countries. As indicated by Mr. Moulette Patrick head of Anti-Corruption Division at organisation for economic co-operation and development more research on the effectiveness of the UN enacted Convention against Corruption, which is what this paper does.","author":[{"dropping-particle":"","family":"Perez Torres","given":"Gloria","non-dropping-particle":"","parse-names":false,"suffix":""}],"container-title":"Journal of Financial Crime","id":"ITEM-1","issue":"2","issued":{"date-parts":[["2020","4","23"]]},"page":"437-476","publisher":"Emerald Group Holdings Ltd.","title":"The effectiveness of the international anti-corruption legal framework in the context and practice of Colombia","type":"article-journal","volume":"27"},"uris":["http://www.mendeley.com/documents/?uuid=585a5ea8-5c19-30d8-b9ff-d62a5f01d166"]}],"mendeley":{"formattedCitation":"(Perez Torres, 2020)","plainTextFormattedCitation":"(Perez Torres, 2020)","previouslyFormattedCitation":"(Perez Torres, 2020)"},"properties":{"noteIndex":0},"schema":"https://github.com/citation-style-language/schema/raw/master/csl-citation.json"}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(Perez Torres, 2020)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The integration of the British into the Colombian workplace and the development and expansion of their local businesses in Colombia may involve large amounts of gift-giving with internal and external stakeholders to exchange for valuable business insights and opportunities, as well as developing effective working relationships. Especially, Colombia has a relatively weak and ineffective legal system featured with high corruption. Colombia scores 39 in the Global Corruption Perception Index out, ranking at 92 out of 180 countries, while the United Kingdom ranked 11 with a high score of 77, indicating much higher and stricter surveillance and regulation against bribes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{"citationItems":[{"id":"ITEM-1","itemData":{"URL":"https://www.transparency.org/en/cpi/2020/index/nzl","accessed":{"date-parts":[["2021","12","31"]]},"author":[{"dropping-particle":"","family":"Transparency International","given":"","non-dropping-particle":"","parse-names":false,"suffix":""}],"id":"ITEM-1","issued":{"date-parts":[["2020"]]},"title":"CORRUPTION PERCEPTIONS INDEX","type":"webpage"},"uris":["http://www.mendeley.com/documents/?uuid=f5e59931-28b1-32fa-83f4-8649096275a7"]}],"mendeley":{"formattedCitation":"(Transparency International, 2020)","plainTextFormattedCitation":"(Transparency International, 2020)","previouslyFormattedCitation":"(Transparency International, 2020)"},"properties":{"noteIndex":0},"schema":"https://github.com/citation-style-language/schema/raw/master/csl-citation.json"}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(Transparency International, 2020)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is highly sensitive for British employees to perceive the importance of gift-giving in the Colombian culture and develop a more comprehensive and integrated understanding of the specific gift-giving culture in the workplace in Colombia. That is to say, if British employees are considering giving gifts to the local business stakeholders, they must do thorough research on which type of gifts are appropriate. Typically, Colombian people do not prefer foreign beers as decent gifts in the workplace as they already brew fine local beers, while beers are perceived as appropriate and decent gifts in the British culture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{"citationItems":[{"id":"ITEM-1","itemData":{"URL":"http://www.1worldglobalgifts.com/colombiagiftgivingetiquette.htm","accessed":{"date-parts":[["2021","12","31"]]},"author":[{"dropping-particle":"","family":"1- World Global Gifts","given":"","non-dropping-particle":"","parse-names":false,"suffix":""}],"id":"ITEM-1","issued":{"date-parts":[["2020"]]},"title":"International Gift Giving Etiquette - Colombia","type":"webpage"},"uris":["http://www.mendeley.com/documents/?uuid=c9e01ed5-aede-325b-a815-f0a56f4b5820"]}],"mendeley":{"formattedCitation":"(1- World Global Gifts, 2020)","plainTextFormattedCitation":"(1- World Global Gifts, 2020)","previouslyFormattedCitation":"(1- World Global Gifts, 2020)"},"properties":{"noteIndex":0},"schema":"https://github.com/citation-style-language/schema/raw/master/csl-citation.json"}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(1- World Global Gifts, 2020)</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Engraved quality items, gifts native to the Britain, fine wines, perfume are generally appreciated in the Colombian culture.</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 xml:space="preserve">With the above discussion fixating on the challenges and sensitivities that British people may experience and encounter in the Colombian workplace, it is also important to contemplate the practical issue of how these intercultural challenges in workplace communication can be mitigated. A diverse workplace is evitable of British people wanting to unfold their businesses in Colombia, but it would exhibit challenges in communication, gift-giving, trust, etc. In this situation, it is important that British managers, before marching into the Colombian markets, should develop sufficient cultural awareness and competencies for them to accept, understand, and appreciate intercultural differences between Britain and Colombia to fully embrace the cultural nuances across the entire workplace. Specifically, this can be realized by designing and implementing a diversity and intercultural training program for employees throughout the branch, regardless of their cultural backgrounds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{"citationItems":[{"id":"ITEM-1","itemData":{"DOI":"10.4135/9781452231129","ISBN":"9781452231129","abstract":"\"The Handbook of Intercultural Training, Third Edition provides a thorough grounding in the history, concepts and methods underlying intercultural training.&amp; The many analyses of tools, methods and approaches for specific contexts offer guidance in designing and conducting effective training interventions. The collected theoretical and practical information presented in this book is critical for professional interculturalists. —Lee Gardenswartz, Ph.D. and Anita Rowe, Ph.D., Partners, Gardenswartz &amp; Rowe \"This book is just in time and just for me. It’s as if someone assembled all the interculturalists I admire and respect and bribed them to share their latest and best thoughts in a well-crafted chapter. You’ll probably feel the same way.\" —Sivasailam “Thiagi“ Thiagarajan, Ph. D., Workshops by Thiagi, Inc. Completely revised with all new chapters, the Third Edition of the Handbook of Intercultural Training provides a state-of-the-art review of the field of intercultural training. Written by the leading authorities in intercultural studies, this definitively updated volume offers not only a convenient summary of research but also information on specific training techniques. It analyzes with depth and clarity regions of the world where intercultural issues have heightened--including Central and South America, Europe, and China, as well as Eastern Europe, Russia, and Israel. Other parts of the book examine theoretical and methodological issues inherent in understanding intercultural interactions and training and the contexts in which training takes place. An essential reference of intercultural interactions across disciplines, the Handbook of Intercultural Training synthesizes information of special note for professionals, researchers, and students in management, educational psychology, ethnic studies, sociology, and gender studies, as well as a broad array of human services such as counseling and nursing. Contributors: Aysen Bakir, Illinois State University Janet M. Bennett, Intercultural Communication Institute Milton J. Bennett, Intercultural Communication Institute Laurette Bennhold-Samaan, The World Bank John W. Berry, Queen’s University Judith Blohm Ida Castiglioni, University of Milano Bicocca Carlos E. Cortes, University of California, Riverside Kenneth Cushner, Kent State University Ina Ehnert, University of Bremen Teresa Harrell, University of Minnesota Stefan Kammhuber, University of Regensburg Ata Karim, Kansas State University Young Yun Kim, Uni…","author":[{"dropping-particle":"","family":"Landis","given":"Dan","non-dropping-particle":"","parse-names":false,"suffix":""},{"dropping-particle":"","family":"Bennett","given":"Janet M.","non-dropping-particle":"","parse-names":false,"suffix":""},{"dropping-particle":"","family":"Bennett","given":"Milton J.","non-dropping-particle":"","parse-names":false,"suffix":""}],"container-title":"Handbook of Intercultural Training","id":"ITEM-1","issued":{"date-parts":[["2004"]]},"number-of-pages":"1-515","title":"Handbook of intercultural training","type":"book"},"uris":["http://www.mendeley.com/documents/?uuid=6355d03c-d781-3e05-a60d-bb3425072f19"]}],"mendeley":{"formattedCitation":"(Landis, Bennett and Bennett, 2004)","plainTextFormattedCitation":"(Landis, Bennett and Bennett, 2004)","previouslyFormattedCitation":"(Landis, Bennett and Bennett, 2004)"},"properties":{"noteIndex":0},"schema":"https://github.com/citation-style-language/schema/raw/master/csl-citation.json"}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(Landis, Bennett and Bennett, 2004)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Besides the basic intercultural training and development programs, it is also of crucial importance for the branch to have a good environment featured with openness and transparency in place to communicate tasks and progress and nurture trust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{"citationItems":[{"id":"ITEM-1","itemData":{"ISBN":"9780230244511","ISSN":"0142-6001","PMID":"52860294","abstract":"Written in a highly accessible style and in four parts, this book provides rapid and authoritative access to current ideas and practice in intercultural communication. It draws on concepts and findings from a range of different disciplines and uses authentic examples of intercultural interaction to illustrate points. Cover; Contents; List of Figures; General Editors' Preface; Acknowledgements; 1 Introduction; Part 1 Conceptualizing Intercultural Interaction; Part 2 Promoting Competence in Intercultural Interaction; Part 3 Researching Intercultural Interaction; Part 4 Resources; References; Index;","author":[{"dropping-particle":"","family":"Spencer-Oatey","given":"H","non-dropping-particle":"","parse-names":false,"suffix":""},{"dropping-particle":"","family":"Franklin","given":"P","non-dropping-particle":"","parse-names":false,"suffix":""}],"container-title":"Research and Practice in Applied Linguistics","id":"ITEM-1","issued":{"date-parts":[["2009"]]},"number-of-pages":"384","title":"Intercultural Interaction [electronic resource] : A Multidisciplinary Approach to Intercultural Communication","type":"book"},"uris":["http://www.mendeley.com/documents/?uuid=920c793a-b294-33f6-a8c6-196d38189772"]}],"mendeley":{"formattedCitation":"(Spencer-Oatey and Franklin, 2009)","plainTextFormattedCitation":"(Spencer-Oatey and Franklin, 2009)","previouslyFormattedCitation":"(Spencer-Oatey and Franklin,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(Spencer-Oatey and Franklin,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is recommended to set some ground rules and dynamics where both parties can speak up, ask questions and take part in a positive and open debate to ensure decisions are made with collective efforts and wisdom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{"citationItems":[{"id":"ITEM-1","itemData":{"DOI":"10.4135/9781452231129","ISBN":"9781452231129","abstract":"\"The Handbook of Intercultural Training, Third Edition provides a thorough grounding in the history, concepts and methods underlying intercultural training.&amp; The many analyses of tools, methods and approaches for specific contexts offer guidance in designing and conducting effective training interventions. The collected theoretical and practical information presented in this book is critical for professional interculturalists. —Lee Gardenswartz, Ph.D. and Anita Rowe, Ph.D., Partners, Gardenswartz &amp; Rowe \"This book is just in time and just for me. It’s as if someone assembled all the interculturalists I admire and respect and bribed them to share their latest and best thoughts in a well-crafted chapter. You’ll probably feel the same way.\" —Sivasailam “Thiagi“ Thiagarajan, Ph. D., Workshops by Thiagi, Inc. Completely revised with all new chapters, the Third Edition of the Handbook of Intercultural Training provides a state-of-the-art review of the field of intercultural training. Written by the leading authorities in intercultural studies, this definitively updated volume offers not only a convenient summary of research but also information on specific training techniques. It analyzes with depth and clarity regions of the world where intercultural issues have heightened--including Central and South America, Europe, and China, as well as Eastern Europe, Russia, and Israel. Other parts of the book examine theoretical and methodological issues inherent in understanding intercultural interactions and training and the contexts in which training takes place. An essential reference of intercultural interactions across disciplines, the Handbook of Intercultural Training synthesizes information of special note for professionals, researchers, and students in management, educational psychology, ethnic studies, sociology, and gender studies, as well as a broad array of human services such as counseling and nursing. Contributors: Aysen Bakir, Illinois State University Janet M. Bennett, Intercultural Communication Institute Milton J. Bennett, Intercultural Communication Institute Laurette Bennhold-Samaan, The World Bank John W. Berry, Queen’s University Judith Blohm Ida Castiglioni, University of Milano Bicocca Carlos E. Cortes, University of California, Riverside Kenneth Cushner, Kent State University Ina Ehnert, University of Bremen Teresa Harrell, University of Minnesota Stefan Kammhuber, University of Regensburg Ata Karim, Kansas State University Young Yun Kim, Uni…","author":[{"dropping-particle":"","family":"Landis","given":"Dan","non-dropping-particle":"","parse-names":false,"suffix":""},{"dropping-particle":"","family":"Bennett","given":"Janet M.","non-dropping-particle":"","parse-names":false,"suffix":""},{"dropping-particle":"","family":"Bennett","given":"Milton J.","non-dropping-particle":"","parse-names":false,"suffix":""}],"container-title":"Handbook of Intercultural Training","id":"ITEM-1","issued":{"date-parts":[["2004"]]},"number-of-pages":"1-515","title":"Handbook of intercultural training","type":"book"},"uris":["http://www.mendeley.com/documents/?uuid=6355d03c-d781-3e05-a60d-bb3425072f19"]}],"mendeley":{"formattedCitation":"(Landis, Bennett and Bennett, 2004)","plainTextFormattedCitation":"(Landis, Bennett and Bennett, 2004)","previouslyFormattedCitation":"(Landis, Bennett and Bennett, 2004)"},"properties":{"noteIndex":0},"schema":"https://github.com/citation-style-language/schema/raw/master/csl-citation.json"}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(Landis, Bennett and Bennett, 2004)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Also, informal gatherings, seminars, buddy programs, and cultural orientation trips should be organized by the organization to enhance the ties between British and Colombian employees. Setting up periodical round table meetings or gatherings to go over their progress and catch up on their status can help managers gain the latest insights of employees and make the diversified them grow as a collective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{"citationItems":[{"id":"ITEM-1","itemData":{"ISBN":"9780230244511","ISSN":"0142-6001","PMID":"52860294","abstract":"Written in a highly accessible style and in four parts, this book provides rapid and authoritative access to current ideas and practice in intercultural communication. It draws on concepts and findings from a range of different disciplines and uses authentic examples of intercultural interaction to illustrate points. Cover; Contents; List of Figures; General Editors' Preface; Acknowledgements; 1 Introduction; Part 1 Conceptualizing Intercultural Interaction; Part 2 Promoting Competence in Intercultural Interaction; Part 3 Researching Intercultural Interaction; Part 4 Resources; References; Index;","author":[{"dropping-particle":"","family":"Spencer-Oatey","given":"H","non-dropping-particle":"","parse-names":false,"suffix":""},{"dropping-particle":"","family":"Franklin","given":"P","non-dropping-particle":"","parse-names":false,"suffix":""}],"container-title":"Research and Practice in Applied Linguistics","id":"ITEM-1","issued":{"date-parts":[["2009"]]},"number-of-pages":"384","title":"Intercultural Interaction [electronic resource] : A Multidisciplinary Approach to Intercultural Communication","type":"book"},"uris":["http://www.mendeley.com/documents/?uuid=920c793a-b294-33f6-a8c6-196d38189772"]}],"mendeley":{"formattedCitation":"(Spencer-Oatey and Franklin, 2009)","plainTextFormattedCitation":"(Spencer-Oatey and Franklin, 2009)","previouslyFormattedCitation":"(Spencer-Oatey and Franklin, 2009)"},"properties":{"noteIndex":0},"schema":"https://github.com/citation-style-language/schema/raw/master/csl-citation.json"}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(Spencer-Oatey and Franklin, 2009)</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is also important for the manager to figure out a proper way of communicating for British and Colombian employees. Also, the cultural differences in collectivism and indulgence may result in different perceptions of overtime work, task format (individual-oriented or team-focused), etc.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{"citationItems":[{"id":"ITEM-1","itemData":{"DOI":"10.1016/j.ijintrel.2015.03.003","ISSN":"01471767","abstract":"This essay reviews and extends calls for researchers and trainer/practitioners to clarify what is meant by culture, intercultural communication, and competence; ask critical questions about the validity and relevance of our work; and reconsider who benefits from research and training. Several limitations of previous research about intercultural competence are demonstrated, e.g., approaching culture as a nationally shared, homogenous, mental program developed through socialization, or as a communicative system associated with a single and unitary group identification. The author also problematizes instances when communication competence is presented as an individual impression rather than a contextually and relationally contingent process of negotiation and struggle. The author offers examples from her program of research that began in 1989 to illustrate how she began to give more attention to contextual factors, status hierarchies and power relations and differential benefits for diverse parties in intercultural encounters. The essay concludes with further recommendations related to how to incorporate broader notions of macro, meso and micro contexts, approach cultures as plural and contested; attend to status positions of interactants as negotiated and dynamic; and ensure that outcomes and consequences of intercultural competence research and training are oriented toward justice, equity and inclusion.","author":[{"dropping-particle":"","family":"Collier","given":"Mary Jane","non-dropping-particle":"","parse-names":false,"suffix":""}],"container-title":"International Journal of Intercultural Relations","id":"ITEM-1","issue":"1","issued":{"date-parts":[["2015"]]},"page":"9-11","title":"Intercultural communication competence: Continuing challenges and critical directions","type":"article-journal","volume":"48"},"uris":["http://www.mendeley.com/documents/?uuid=3e1e3f22-5f1f-36f1-9806-3ebd4166b896"]}],"mendeley":{"formattedCitation":"(Collier, 2015)","plainTextFormattedCitation":"(Collier, 2015)","previouslyFormattedCitation":"(Collier, 2015)"},"properties":{"noteIndex":0},"schema":"https://github.com/citation-style-language/schema/raw/master/csl-citation.json"}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(Collier, 2015)</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It is, therefore, very important for managers to perform comprehensive planning with full consideration on the schedules, complexity, team size, etc., through inviting employees in the alignments of workload and team dynamics </w:t>
      </w: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CSL_CITATION {"citationItems":[{"id":"ITEM-1","itemData":{"DOI":"10.19030/iber.v11i2.6776","ISSN":"1535-0754","abstract":"The twenty-first century business environment is expanding and increasingly attracting the interest of countries from developed and developing nations of the world. As countries of the world become increasingly interdependent and interconnected because of global market and diverse consumer needs, it is critically important that participating countries and their organizations understand and appreciate one anothers cultural differences in order to ensure growth and sustainability in international business. Recent studies have traced the failure of some international business ventures to three significant factors: lack of intercultural skills and competence, inability to communicate effectively at a global level, and failure to practice acceptable etiquette in business negotiations. Therefore, businesses from different countries need to appreciate the importance of understanding the cultures and values of their counterparts as well as develop intercultural communication sensitivity and decorum. This paper then is an attempt toward analyzing the significance and role of intercultural communication and etiquette in international business. Recommendations for appropriate practices and acceptable conducts among nations are provided.","author":[{"dropping-particle":"","family":"Washington","given":"Melvin C.","non-dropping-particle":"","parse-names":false,"suffix":""},{"dropping-particle":"","family":"Okoro","given":"Ephraim A.","non-dropping-particle":"","parse-names":false,"suffix":""},{"dropping-particle":"","family":"Thomas","given":"Otis","non-dropping-particle":"","parse-names":false,"suffix":""}],"container-title":"International Business &amp; Economics Research Journal","id":"ITEM-1","issue":"2","issued":{"date-parts":[["2012"]]},"page":"217","title":"Intercultural Communication In Global Business: An Analysis Of Benefits And Challenges","type":"article-journal","volume":"11"},"uris":["http://www.mendeley.com/documents/?uuid=1b51e49f-3d20-3172-9755-d59118e21e72"]}],"mendeley":{"formattedCitation":"(Washington, Okoro and Thomas, 2012)","plainTextFormattedCitation":"(Washington, Okoro and Thomas, 2012)","previouslyFormattedCitation":"(Washington, Okoro and Thomas, 2012)"},"properties":{"noteIndex":0},"schema":"https://github.com/citation-style-language/schema/raw/master/csl-citation.json"}</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(Washington, Okoro and Thomas, 2012)</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sz w:val="22"/>
          <w:szCs w:val="22"/>
        </w:rPr>
        <w:t xml:space="preserve">. </w:t>
      </w:r>
    </w:p>
    <w:p>
      <w:pPr>
        <w:spacing w:after="163" w:afterLines="50"/>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t>From the perspective of British businesses, the present essay examines and evaluates possible challenges and sensitivities in doing business in Colombia. The differences in terms of culture, in the specific business context, are discussed using Hofstede’s six-dimension cultural model, Hall’s high/low context culture, trust development, gift acceptance and giving, etc. The conclusion that can be drawn here is that the Colombian workplace exhibits a distinctly different culture compared to the British workplace culture, such as in their perception of power distance, collectivism, and indulgence, and in their cont</w:t>
      </w:r>
      <w:bookmarkStart w:id="0" w:name="_GoBack"/>
      <w:bookmarkEnd w:id="0"/>
      <w:r>
        <w:rPr>
          <w:rFonts w:hint="default" w:ascii="Times New Roman Regular" w:hAnsi="Times New Roman Regular" w:cs="Times New Roman Regular"/>
          <w:sz w:val="22"/>
          <w:szCs w:val="22"/>
        </w:rPr>
        <w:t>ext of communication, in their different ways of developing trust, and in their different perceptions of gift-giving. To mitigate and avoid any ineffectiveness and conflicts that may happen in intercultural communication, it is essential for the Colombian branch to design and implement some intercultural training and development programs to enhance cultural awareness and competencies and promote team diversity and inclusion. It is also recommended to build an open and transparent communication environment by developing rapport via informal gatherings, catch-ups, etc. Also, managers should be cautious in the selection of ways of communicating and aligning tasks; inviting employees from both sides in these decision-making processes can be effective to avoid possible discomfort in the communication.</w:t>
      </w:r>
    </w:p>
    <w:p>
      <w:pPr>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br w:type="page"/>
      </w:r>
    </w:p>
    <w:p>
      <w:pPr>
        <w:jc w:val="both"/>
        <w:rPr>
          <w:rFonts w:hint="default" w:ascii="Times New Roman Regular" w:hAnsi="Times New Roman Regular" w:cs="Times New Roman Regular"/>
          <w:b/>
          <w:bCs/>
          <w:sz w:val="22"/>
          <w:szCs w:val="22"/>
        </w:rPr>
      </w:pPr>
      <w:r>
        <w:rPr>
          <w:rFonts w:hint="default" w:ascii="Times New Roman Regular" w:hAnsi="Times New Roman Regular" w:cs="Times New Roman Regular"/>
          <w:b/>
          <w:bCs/>
          <w:sz w:val="22"/>
          <w:szCs w:val="22"/>
        </w:rPr>
        <w:t>References:</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szCs w:val="22"/>
        </w:rPr>
        <w:fldChar w:fldCharType="begin" w:fldLock="1"/>
      </w:r>
      <w:r>
        <w:rPr>
          <w:rFonts w:hint="default" w:ascii="Times New Roman Regular" w:hAnsi="Times New Roman Regular" w:cs="Times New Roman Regular"/>
          <w:sz w:val="22"/>
          <w:szCs w:val="22"/>
        </w:rPr>
        <w:instrText xml:space="preserve">ADDIN Mendeley Bibliography CSL_BIBLIOGRAPHY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rPr>
        <w:t xml:space="preserve">1- World Global Gifts (2020) </w:t>
      </w:r>
      <w:r>
        <w:rPr>
          <w:rFonts w:hint="default" w:ascii="Times New Roman Regular" w:hAnsi="Times New Roman Regular" w:cs="Times New Roman Regular"/>
          <w:i/>
          <w:iCs/>
          <w:sz w:val="22"/>
        </w:rPr>
        <w:t>International Gift Giving Etiquette - Colombia</w:t>
      </w:r>
      <w:r>
        <w:rPr>
          <w:rFonts w:hint="default" w:ascii="Times New Roman Regular" w:hAnsi="Times New Roman Regular" w:cs="Times New Roman Regular"/>
          <w:sz w:val="22"/>
        </w:rPr>
        <w:t>. Available at: http://www.1worldglobalgifts.com/colombiagiftgivingetiquette.htm (Accessed: 31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Aung, M., Zhang, X. and Teng, L. (2017) ‘The evolving gift-giving practices of bicultural consumers’, </w:t>
      </w:r>
      <w:r>
        <w:rPr>
          <w:rFonts w:hint="default" w:ascii="Times New Roman Regular" w:hAnsi="Times New Roman Regular" w:cs="Times New Roman Regular"/>
          <w:i/>
          <w:iCs/>
          <w:sz w:val="22"/>
        </w:rPr>
        <w:t>Journal of Consumer Marketing</w:t>
      </w:r>
      <w:r>
        <w:rPr>
          <w:rFonts w:hint="default" w:ascii="Times New Roman Regular" w:hAnsi="Times New Roman Regular" w:cs="Times New Roman Regular"/>
          <w:sz w:val="22"/>
        </w:rPr>
        <w:t>, 34(1), pp. 43–52. doi: 10.1108/JCM-07-2014-1069.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Bernardi, R. A., Witek, M. B. and Melton, M. R. (2009) ‘A four-country study of the associations between bribery and unethical actions’, </w:t>
      </w:r>
      <w:r>
        <w:rPr>
          <w:rFonts w:hint="default" w:ascii="Times New Roman Regular" w:hAnsi="Times New Roman Regular" w:cs="Times New Roman Regular"/>
          <w:i/>
          <w:iCs/>
          <w:sz w:val="22"/>
        </w:rPr>
        <w:t>Journal of Business Ethics</w:t>
      </w:r>
      <w:r>
        <w:rPr>
          <w:rFonts w:hint="default" w:ascii="Times New Roman Regular" w:hAnsi="Times New Roman Regular" w:cs="Times New Roman Regular"/>
          <w:sz w:val="22"/>
        </w:rPr>
        <w:t>, 84(3), pp. 389–403. doi: 10.1007/s10551-008-9715-2.</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Boatright, J. R. (2013) ‘Confronting ethical dilemmas in the workplace’, </w:t>
      </w:r>
      <w:r>
        <w:rPr>
          <w:rFonts w:hint="default" w:ascii="Times New Roman Regular" w:hAnsi="Times New Roman Regular" w:cs="Times New Roman Regular"/>
          <w:i/>
          <w:iCs/>
          <w:sz w:val="22"/>
        </w:rPr>
        <w:t>Financial Analysts Journal</w:t>
      </w:r>
      <w:r>
        <w:rPr>
          <w:rFonts w:hint="default" w:ascii="Times New Roman Regular" w:hAnsi="Times New Roman Regular" w:cs="Times New Roman Regular"/>
          <w:sz w:val="22"/>
        </w:rPr>
        <w:t>, pp. 6–9. doi: 10.2469/faj.v69.n5.5.</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Boersma, M. F., Buckley, P. J. and Ghauri, P. N. (2003) ‘Trust in international joint venture relationships’, </w:t>
      </w:r>
      <w:r>
        <w:rPr>
          <w:rFonts w:hint="default" w:ascii="Times New Roman Regular" w:hAnsi="Times New Roman Regular" w:cs="Times New Roman Regular"/>
          <w:i/>
          <w:iCs/>
          <w:sz w:val="22"/>
        </w:rPr>
        <w:t>Journal of Business Research</w:t>
      </w:r>
      <w:r>
        <w:rPr>
          <w:rFonts w:hint="default" w:ascii="Times New Roman Regular" w:hAnsi="Times New Roman Regular" w:cs="Times New Roman Regular"/>
          <w:sz w:val="22"/>
        </w:rPr>
        <w:t>, 56(12), pp. 1031–1042.</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Botero, I. C. and Van Dyne, L. (2009) ‘Employee voice behavior: Interactive effects of LMX and power distance in the United States and Colombia’, </w:t>
      </w:r>
      <w:r>
        <w:rPr>
          <w:rFonts w:hint="default" w:ascii="Times New Roman Regular" w:hAnsi="Times New Roman Regular" w:cs="Times New Roman Regular"/>
          <w:i/>
          <w:iCs/>
          <w:sz w:val="22"/>
        </w:rPr>
        <w:t>Management Communication Quarterly</w:t>
      </w:r>
      <w:r>
        <w:rPr>
          <w:rFonts w:hint="default" w:ascii="Times New Roman Regular" w:hAnsi="Times New Roman Regular" w:cs="Times New Roman Regular"/>
          <w:sz w:val="22"/>
        </w:rPr>
        <w:t>, 23(1), pp. 84–104.</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Carter, M. Z. and Mossholder, K. W. (2015) ‘Are we on the same page? The performance effects of congruence between supervisor and group trust.’, </w:t>
      </w:r>
      <w:r>
        <w:rPr>
          <w:rFonts w:hint="default" w:ascii="Times New Roman Regular" w:hAnsi="Times New Roman Regular" w:cs="Times New Roman Regular"/>
          <w:i/>
          <w:iCs/>
          <w:sz w:val="22"/>
        </w:rPr>
        <w:t>Journal of Applied Psychology</w:t>
      </w:r>
      <w:r>
        <w:rPr>
          <w:rFonts w:hint="default" w:ascii="Times New Roman Regular" w:hAnsi="Times New Roman Regular" w:cs="Times New Roman Regular"/>
          <w:sz w:val="22"/>
        </w:rPr>
        <w:t>, 100(5), p. 1349.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Collier, M. J. (2015) ‘Intercultural communication competence: Continuing challenges and critical directions’, </w:t>
      </w:r>
      <w:r>
        <w:rPr>
          <w:rFonts w:hint="default" w:ascii="Times New Roman Regular" w:hAnsi="Times New Roman Regular" w:cs="Times New Roman Regular"/>
          <w:i/>
          <w:iCs/>
          <w:sz w:val="22"/>
        </w:rPr>
        <w:t>International Journal of Intercultural Relations</w:t>
      </w:r>
      <w:r>
        <w:rPr>
          <w:rFonts w:hint="default" w:ascii="Times New Roman Regular" w:hAnsi="Times New Roman Regular" w:cs="Times New Roman Regular"/>
          <w:sz w:val="22"/>
        </w:rPr>
        <w:t>, 48(1), pp. 9–11. doi: 10.1016/j.ijintrel.2015.03.003.</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Croucher, S. M.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(2012) ‘Conflict styles and high-low context cultures: A cross-cultural extension’, </w:t>
      </w:r>
      <w:r>
        <w:rPr>
          <w:rFonts w:hint="default" w:ascii="Times New Roman Regular" w:hAnsi="Times New Roman Regular" w:cs="Times New Roman Regular"/>
          <w:i/>
          <w:iCs/>
          <w:sz w:val="22"/>
        </w:rPr>
        <w:t>Communication Research Reports</w:t>
      </w:r>
      <w:r>
        <w:rPr>
          <w:rFonts w:hint="default" w:ascii="Times New Roman Regular" w:hAnsi="Times New Roman Regular" w:cs="Times New Roman Regular"/>
          <w:sz w:val="22"/>
        </w:rPr>
        <w:t>, 29(1), pp. 64–73.</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Den Dulk, L.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(2013) ‘National context in work-life research: A multi-level cross-national analysis of the adoption of workplace work-life arrangements in Europe’, </w:t>
      </w:r>
      <w:r>
        <w:rPr>
          <w:rFonts w:hint="default" w:ascii="Times New Roman Regular" w:hAnsi="Times New Roman Regular" w:cs="Times New Roman Regular"/>
          <w:i/>
          <w:iCs/>
          <w:sz w:val="22"/>
        </w:rPr>
        <w:t>European Management Journal</w:t>
      </w:r>
      <w:r>
        <w:rPr>
          <w:rFonts w:hint="default" w:ascii="Times New Roman Regular" w:hAnsi="Times New Roman Regular" w:cs="Times New Roman Regular"/>
          <w:sz w:val="22"/>
        </w:rPr>
        <w:t>, 31(5), pp. 478–494.</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Ely, R. J. and Kimmel, M. (2018) ‘Thoughts on the Workplace as a Masculinity Contest’, </w:t>
      </w:r>
      <w:r>
        <w:rPr>
          <w:rFonts w:hint="default" w:ascii="Times New Roman Regular" w:hAnsi="Times New Roman Regular" w:cs="Times New Roman Regular"/>
          <w:i/>
          <w:iCs/>
          <w:sz w:val="22"/>
        </w:rPr>
        <w:t>Journal of Social Issues</w:t>
      </w:r>
      <w:r>
        <w:rPr>
          <w:rFonts w:hint="default" w:ascii="Times New Roman Regular" w:hAnsi="Times New Roman Regular" w:cs="Times New Roman Regular"/>
          <w:sz w:val="22"/>
        </w:rPr>
        <w:t>, 74(3), pp. 628–634. doi: 10.1111/josi.12290.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Forey, G. and Lockwood, J. (2010) </w:t>
      </w:r>
      <w:r>
        <w:rPr>
          <w:rFonts w:hint="default" w:ascii="Times New Roman Regular" w:hAnsi="Times New Roman Regular" w:cs="Times New Roman Regular"/>
          <w:i/>
          <w:iCs/>
          <w:sz w:val="22"/>
        </w:rPr>
        <w:t>Globalization, communication and the workplace: Talking across the world</w:t>
      </w:r>
      <w:r>
        <w:rPr>
          <w:rFonts w:hint="default" w:ascii="Times New Roman Regular" w:hAnsi="Times New Roman Regular" w:cs="Times New Roman Regular"/>
          <w:sz w:val="22"/>
        </w:rPr>
        <w:t>. A&amp;C Black.</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Glick, P., Berdahl, J. L. and Alonso, N. M. (2018) ‘Development and validation of the masculinity contest culture scale’, </w:t>
      </w:r>
      <w:r>
        <w:rPr>
          <w:rFonts w:hint="default" w:ascii="Times New Roman Regular" w:hAnsi="Times New Roman Regular" w:cs="Times New Roman Regular"/>
          <w:i/>
          <w:iCs/>
          <w:sz w:val="22"/>
        </w:rPr>
        <w:t>Journal of Social Issues</w:t>
      </w:r>
      <w:r>
        <w:rPr>
          <w:rFonts w:hint="default" w:ascii="Times New Roman Regular" w:hAnsi="Times New Roman Regular" w:cs="Times New Roman Regular"/>
          <w:sz w:val="22"/>
        </w:rPr>
        <w:t>, 74(3), pp. 449–476.</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Gunningham, N. and Sinclair, D. (2009) ‘Organizational trust and the limits of management-based regulation’, </w:t>
      </w:r>
      <w:r>
        <w:rPr>
          <w:rFonts w:hint="default" w:ascii="Times New Roman Regular" w:hAnsi="Times New Roman Regular" w:cs="Times New Roman Regular"/>
          <w:i/>
          <w:iCs/>
          <w:sz w:val="22"/>
        </w:rPr>
        <w:t>Law &amp; Society Review</w:t>
      </w:r>
      <w:r>
        <w:rPr>
          <w:rFonts w:hint="default" w:ascii="Times New Roman Regular" w:hAnsi="Times New Roman Regular" w:cs="Times New Roman Regular"/>
          <w:sz w:val="22"/>
        </w:rPr>
        <w:t>, 43(4), pp. 865–900.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Hardisty, D. J. and Pfeffer, J. (2017) ‘Intertemporal uncertainty avoidance: When the future is uncertain, people prefer the present, and when the present is uncertain, people prefer the future’, </w:t>
      </w:r>
      <w:r>
        <w:rPr>
          <w:rFonts w:hint="default" w:ascii="Times New Roman Regular" w:hAnsi="Times New Roman Regular" w:cs="Times New Roman Regular"/>
          <w:i/>
          <w:iCs/>
          <w:sz w:val="22"/>
        </w:rPr>
        <w:t>Management Science</w:t>
      </w:r>
      <w:r>
        <w:rPr>
          <w:rFonts w:hint="default" w:ascii="Times New Roman Regular" w:hAnsi="Times New Roman Regular" w:cs="Times New Roman Regular"/>
          <w:sz w:val="22"/>
        </w:rPr>
        <w:t>, 63(2), pp. 519–527.</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Hofstede Insights (2021) </w:t>
      </w:r>
      <w:r>
        <w:rPr>
          <w:rFonts w:hint="default" w:ascii="Times New Roman Regular" w:hAnsi="Times New Roman Regular" w:cs="Times New Roman Regular"/>
          <w:i/>
          <w:iCs/>
          <w:sz w:val="22"/>
        </w:rPr>
        <w:t>Home - Hofstede Insights Organisational Culture Consulting</w:t>
      </w:r>
      <w:r>
        <w:rPr>
          <w:rFonts w:hint="default" w:ascii="Times New Roman Regular" w:hAnsi="Times New Roman Regular" w:cs="Times New Roman Regular"/>
          <w:sz w:val="22"/>
        </w:rPr>
        <w:t>. Available at: https://www.hofstede-insights.com/ (Accessed: 30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Holmes, J., Schnurr, S. and Marra, M. (2007) ‘Leadership and communication: discursive evidence of a workplace culture change’, </w:t>
      </w:r>
      <w:r>
        <w:rPr>
          <w:rFonts w:hint="default" w:ascii="Times New Roman Regular" w:hAnsi="Times New Roman Regular" w:cs="Times New Roman Regular"/>
          <w:i/>
          <w:iCs/>
          <w:sz w:val="22"/>
        </w:rPr>
        <w:t>Discourse &amp; Communication</w:t>
      </w:r>
      <w:r>
        <w:rPr>
          <w:rFonts w:hint="default" w:ascii="Times New Roman Regular" w:hAnsi="Times New Roman Regular" w:cs="Times New Roman Regular"/>
          <w:sz w:val="22"/>
        </w:rPr>
        <w:t>, 1(4), pp. 433–451.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Huang, X.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(2010) ‘Does participative leadership enhance work performance by inducing empowerment or trust? The differential effects on managerial and non-managerial subordinates’, </w:t>
      </w:r>
      <w:r>
        <w:rPr>
          <w:rFonts w:hint="default" w:ascii="Times New Roman Regular" w:hAnsi="Times New Roman Regular" w:cs="Times New Roman Regular"/>
          <w:i/>
          <w:iCs/>
          <w:sz w:val="22"/>
        </w:rPr>
        <w:t>Journal of Organizational Behavior</w:t>
      </w:r>
      <w:r>
        <w:rPr>
          <w:rFonts w:hint="default" w:ascii="Times New Roman Regular" w:hAnsi="Times New Roman Regular" w:cs="Times New Roman Regular"/>
          <w:sz w:val="22"/>
        </w:rPr>
        <w:t>, 31(1), pp. 122–143.</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Kube, S., Maréchal, M. A. and Puppe, C. (2012) ‘The currency of reciprocity: Gift exchange in the workplace’, </w:t>
      </w:r>
      <w:r>
        <w:rPr>
          <w:rFonts w:hint="default" w:ascii="Times New Roman Regular" w:hAnsi="Times New Roman Regular" w:cs="Times New Roman Regular"/>
          <w:i/>
          <w:iCs/>
          <w:sz w:val="22"/>
        </w:rPr>
        <w:t>American Economic Review</w:t>
      </w:r>
      <w:r>
        <w:rPr>
          <w:rFonts w:hint="default" w:ascii="Times New Roman Regular" w:hAnsi="Times New Roman Regular" w:cs="Times New Roman Regular"/>
          <w:sz w:val="22"/>
        </w:rPr>
        <w:t>, 102(4), pp. 1644–1662.</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Ladegaard, H. J. and Jenks, C. J. (2015) ‘Language and intercultural communication in the workplace: Critical approaches to theory and practice’, </w:t>
      </w:r>
      <w:r>
        <w:rPr>
          <w:rFonts w:hint="default" w:ascii="Times New Roman Regular" w:hAnsi="Times New Roman Regular" w:cs="Times New Roman Regular"/>
          <w:i/>
          <w:iCs/>
          <w:sz w:val="22"/>
        </w:rPr>
        <w:t>Language and Intercultural Communication</w:t>
      </w:r>
      <w:r>
        <w:rPr>
          <w:rFonts w:hint="default" w:ascii="Times New Roman Regular" w:hAnsi="Times New Roman Regular" w:cs="Times New Roman Regular"/>
          <w:sz w:val="22"/>
        </w:rPr>
        <w:t>, 15(1), pp. 1–12.</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Landis, D., Bennett, J. M. and Bennett, M. J. (2004) </w:t>
      </w:r>
      <w:r>
        <w:rPr>
          <w:rFonts w:hint="default" w:ascii="Times New Roman Regular" w:hAnsi="Times New Roman Regular" w:cs="Times New Roman Regular"/>
          <w:i/>
          <w:iCs/>
          <w:sz w:val="22"/>
        </w:rPr>
        <w:t>Handbook of intercultural training</w:t>
      </w:r>
      <w:r>
        <w:rPr>
          <w:rFonts w:hint="default" w:ascii="Times New Roman Regular" w:hAnsi="Times New Roman Regular" w:cs="Times New Roman Regular"/>
          <w:sz w:val="22"/>
        </w:rPr>
        <w:t xml:space="preserve">, </w:t>
      </w:r>
      <w:r>
        <w:rPr>
          <w:rFonts w:hint="default" w:ascii="Times New Roman Regular" w:hAnsi="Times New Roman Regular" w:cs="Times New Roman Regular"/>
          <w:i/>
          <w:iCs/>
          <w:sz w:val="22"/>
        </w:rPr>
        <w:t>Handbook of Intercultural Training</w:t>
      </w:r>
      <w:r>
        <w:rPr>
          <w:rFonts w:hint="default" w:ascii="Times New Roman Regular" w:hAnsi="Times New Roman Regular" w:cs="Times New Roman Regular"/>
          <w:sz w:val="22"/>
        </w:rPr>
        <w:t>. doi: 10.4135/9781452231129.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Langbein, L. and Jorstad, C. (2004) ‘Productivity in the workplace: Cops, culture, communication, cooperation, and collusion’, </w:t>
      </w:r>
      <w:r>
        <w:rPr>
          <w:rFonts w:hint="default" w:ascii="Times New Roman Regular" w:hAnsi="Times New Roman Regular" w:cs="Times New Roman Regular"/>
          <w:i/>
          <w:iCs/>
          <w:sz w:val="22"/>
        </w:rPr>
        <w:t>Political Research Quarterly</w:t>
      </w:r>
      <w:r>
        <w:rPr>
          <w:rFonts w:hint="default" w:ascii="Times New Roman Regular" w:hAnsi="Times New Roman Regular" w:cs="Times New Roman Regular"/>
          <w:sz w:val="22"/>
        </w:rPr>
        <w:t>, 57(1), pp. 65–79.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Martínez-Buelvas, L., Jaramillo-Naranjo, O. and De La Hoz-Dominguez, E. (2021) ‘Factors that affect quality of work life of the millennials linked to the commercial sector in Colombia’, </w:t>
      </w:r>
      <w:r>
        <w:rPr>
          <w:rFonts w:hint="default" w:ascii="Times New Roman Regular" w:hAnsi="Times New Roman Regular" w:cs="Times New Roman Regular"/>
          <w:i/>
          <w:iCs/>
          <w:sz w:val="22"/>
        </w:rPr>
        <w:t>Economics &amp; Sociology</w:t>
      </w:r>
      <w:r>
        <w:rPr>
          <w:rFonts w:hint="default" w:ascii="Times New Roman Regular" w:hAnsi="Times New Roman Regular" w:cs="Times New Roman Regular"/>
          <w:sz w:val="22"/>
        </w:rPr>
        <w:t>, 14(2), pp. 71–84.</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Millington, A., Eberhardt, M. and Wilkinson, B. (2005) ‘Gift giving, guanxi and illicit payments in buyer-supplier relations in China: Analysing the experience of UK companies’, </w:t>
      </w:r>
      <w:r>
        <w:rPr>
          <w:rFonts w:hint="default" w:ascii="Times New Roman Regular" w:hAnsi="Times New Roman Regular" w:cs="Times New Roman Regular"/>
          <w:i/>
          <w:iCs/>
          <w:sz w:val="22"/>
        </w:rPr>
        <w:t>Journal of Business Ethics</w:t>
      </w:r>
      <w:r>
        <w:rPr>
          <w:rFonts w:hint="default" w:ascii="Times New Roman Regular" w:hAnsi="Times New Roman Regular" w:cs="Times New Roman Regular"/>
          <w:sz w:val="22"/>
        </w:rPr>
        <w:t>, 57(3), pp. 255–268. doi: 10.1007/s10551-004-6712-y.</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Myers, K. K. and Sadaghiani, K. (2010) ‘Millennials in the Workplace: A Communication Perspective on Millennials’ Organizational Relationships and Performance’, </w:t>
      </w:r>
      <w:r>
        <w:rPr>
          <w:rFonts w:hint="default" w:ascii="Times New Roman Regular" w:hAnsi="Times New Roman Regular" w:cs="Times New Roman Regular"/>
          <w:i/>
          <w:iCs/>
          <w:sz w:val="22"/>
        </w:rPr>
        <w:t>Journal of Business and Psychology</w:t>
      </w:r>
      <w:r>
        <w:rPr>
          <w:rFonts w:hint="default" w:ascii="Times New Roman Regular" w:hAnsi="Times New Roman Regular" w:cs="Times New Roman Regular"/>
          <w:sz w:val="22"/>
        </w:rPr>
        <w:t>, 25(2), pp. 225–238. doi: 10.1007/s10869-010-9172-7.</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Niemeier, S., Campbell, C. P. and Dirven, R. (1998) </w:t>
      </w:r>
      <w:r>
        <w:rPr>
          <w:rFonts w:hint="default" w:ascii="Times New Roman Regular" w:hAnsi="Times New Roman Regular" w:cs="Times New Roman Regular"/>
          <w:i/>
          <w:iCs/>
          <w:sz w:val="22"/>
        </w:rPr>
        <w:t>The cultural context in business communication</w:t>
      </w:r>
      <w:r>
        <w:rPr>
          <w:rFonts w:hint="default" w:ascii="Times New Roman Regular" w:hAnsi="Times New Roman Regular" w:cs="Times New Roman Regular"/>
          <w:sz w:val="22"/>
        </w:rPr>
        <w:t>. John Benjamins Publishing.</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Perez-Alvarez, C. (2014) ‘Uncertainty avoidance, IT perceptions, use and adoption: distributed teams in two cultures’, </w:t>
      </w:r>
      <w:r>
        <w:rPr>
          <w:rFonts w:hint="default" w:ascii="Times New Roman Regular" w:hAnsi="Times New Roman Regular" w:cs="Times New Roman Regular"/>
          <w:i/>
          <w:iCs/>
          <w:sz w:val="22"/>
        </w:rPr>
        <w:t>Journal of Academic and Business Ethics</w:t>
      </w:r>
      <w:r>
        <w:rPr>
          <w:rFonts w:hint="default" w:ascii="Times New Roman Regular" w:hAnsi="Times New Roman Regular" w:cs="Times New Roman Regular"/>
          <w:sz w:val="22"/>
        </w:rPr>
        <w:t>, 8, p. 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Perez Torres, G. (2020) ‘The effectiveness of the international anti-corruption legal framework in the context and practice of Colombia’, </w:t>
      </w:r>
      <w:r>
        <w:rPr>
          <w:rFonts w:hint="default" w:ascii="Times New Roman Regular" w:hAnsi="Times New Roman Regular" w:cs="Times New Roman Regular"/>
          <w:i/>
          <w:iCs/>
          <w:sz w:val="22"/>
        </w:rPr>
        <w:t>Journal of Financial Crime</w:t>
      </w:r>
      <w:r>
        <w:rPr>
          <w:rFonts w:hint="default" w:ascii="Times New Roman Regular" w:hAnsi="Times New Roman Regular" w:cs="Times New Roman Regular"/>
          <w:sz w:val="22"/>
        </w:rPr>
        <w:t>, 27(2), pp. 437–476. doi: 10.1108/JFC-09-2019-0126.</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Reina, D. S. (2009) </w:t>
      </w:r>
      <w:r>
        <w:rPr>
          <w:rFonts w:hint="default" w:ascii="Times New Roman Regular" w:hAnsi="Times New Roman Regular" w:cs="Times New Roman Regular"/>
          <w:i/>
          <w:iCs/>
          <w:sz w:val="22"/>
        </w:rPr>
        <w:t>Trust and betrayal in the workplace: Building effective relationships in your organization</w:t>
      </w:r>
      <w:r>
        <w:rPr>
          <w:rFonts w:hint="default" w:ascii="Times New Roman Regular" w:hAnsi="Times New Roman Regular" w:cs="Times New Roman Regular"/>
          <w:sz w:val="22"/>
        </w:rPr>
        <w:t>. ReadHowYouWant. com.</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Roman-Calderon, J. P.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(2019) ‘Colombian millennials at the workplace’, in </w:t>
      </w:r>
      <w:r>
        <w:rPr>
          <w:rFonts w:hint="default" w:ascii="Times New Roman Regular" w:hAnsi="Times New Roman Regular" w:cs="Times New Roman Regular"/>
          <w:i/>
          <w:iCs/>
          <w:sz w:val="22"/>
        </w:rPr>
        <w:t>Evidence-Based HRM: A Global Forum for Empirical Scholarship</w:t>
      </w:r>
      <w:r>
        <w:rPr>
          <w:rFonts w:hint="default" w:ascii="Times New Roman Regular" w:hAnsi="Times New Roman Regular" w:cs="Times New Roman Regular"/>
          <w:sz w:val="22"/>
        </w:rPr>
        <w:t>. Emerald Publishing Limited.</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Ruth, J. A. (2004) ‘Gift exchange rituals in the workplace: A social roles interpretation’, in </w:t>
      </w:r>
      <w:r>
        <w:rPr>
          <w:rFonts w:hint="default" w:ascii="Times New Roman Regular" w:hAnsi="Times New Roman Regular" w:cs="Times New Roman Regular"/>
          <w:i/>
          <w:iCs/>
          <w:sz w:val="22"/>
        </w:rPr>
        <w:t>Contemporary Consumption Rituals</w:t>
      </w:r>
      <w:r>
        <w:rPr>
          <w:rFonts w:hint="default" w:ascii="Times New Roman Regular" w:hAnsi="Times New Roman Regular" w:cs="Times New Roman Regular"/>
          <w:sz w:val="22"/>
        </w:rPr>
        <w:t>. Psychology Press, pp. 207–238.</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Samovar, L. A. </w:t>
      </w:r>
      <w:r>
        <w:rPr>
          <w:rFonts w:hint="default" w:ascii="Times New Roman Regular" w:hAnsi="Times New Roman Regular" w:cs="Times New Roman Regular"/>
          <w:i/>
          <w:iCs/>
          <w:sz w:val="22"/>
        </w:rPr>
        <w:t>et al.</w:t>
      </w:r>
      <w:r>
        <w:rPr>
          <w:rFonts w:hint="default" w:ascii="Times New Roman Regular" w:hAnsi="Times New Roman Regular" w:cs="Times New Roman Regular"/>
          <w:sz w:val="22"/>
        </w:rPr>
        <w:t xml:space="preserve"> (2014) </w:t>
      </w:r>
      <w:r>
        <w:rPr>
          <w:rFonts w:hint="default" w:ascii="Times New Roman Regular" w:hAnsi="Times New Roman Regular" w:cs="Times New Roman Regular"/>
          <w:i/>
          <w:iCs/>
          <w:sz w:val="22"/>
        </w:rPr>
        <w:t>Intercultural communication: A reader</w:t>
      </w:r>
      <w:r>
        <w:rPr>
          <w:rFonts w:hint="default" w:ascii="Times New Roman Regular" w:hAnsi="Times New Roman Regular" w:cs="Times New Roman Regular"/>
          <w:sz w:val="22"/>
        </w:rPr>
        <w:t>. Cengage Learning.</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Shershow, S. C. (2005) </w:t>
      </w:r>
      <w:r>
        <w:rPr>
          <w:rFonts w:hint="default" w:ascii="Times New Roman Regular" w:hAnsi="Times New Roman Regular" w:cs="Times New Roman Regular"/>
          <w:i/>
          <w:iCs/>
          <w:sz w:val="22"/>
        </w:rPr>
        <w:t>The work and the gift</w:t>
      </w:r>
      <w:r>
        <w:rPr>
          <w:rFonts w:hint="default" w:ascii="Times New Roman Regular" w:hAnsi="Times New Roman Regular" w:cs="Times New Roman Regular"/>
          <w:sz w:val="22"/>
        </w:rPr>
        <w:t>. University of Chicago Press.</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Spector, M. D. and Jones, G. E. (2004) ‘Trust in the workplace: Factors affecting trust formation between team members’, </w:t>
      </w:r>
      <w:r>
        <w:rPr>
          <w:rFonts w:hint="default" w:ascii="Times New Roman Regular" w:hAnsi="Times New Roman Regular" w:cs="Times New Roman Regular"/>
          <w:i/>
          <w:iCs/>
          <w:sz w:val="22"/>
        </w:rPr>
        <w:t>The Journal of social psychology</w:t>
      </w:r>
      <w:r>
        <w:rPr>
          <w:rFonts w:hint="default" w:ascii="Times New Roman Regular" w:hAnsi="Times New Roman Regular" w:cs="Times New Roman Regular"/>
          <w:sz w:val="22"/>
        </w:rPr>
        <w:t>, 144(3), pp. 311–321.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Spencer-Oatey, H. and Franklin, P. (2009) </w:t>
      </w:r>
      <w:r>
        <w:rPr>
          <w:rFonts w:hint="default" w:ascii="Times New Roman Regular" w:hAnsi="Times New Roman Regular" w:cs="Times New Roman Regular"/>
          <w:i/>
          <w:iCs/>
          <w:sz w:val="22"/>
        </w:rPr>
        <w:t>Intercultural Interaction [electronic resource] : A Multidisciplinary Approach to Intercultural Communication</w:t>
      </w:r>
      <w:r>
        <w:rPr>
          <w:rFonts w:hint="default" w:ascii="Times New Roman Regular" w:hAnsi="Times New Roman Regular" w:cs="Times New Roman Regular"/>
          <w:sz w:val="22"/>
        </w:rPr>
        <w:t xml:space="preserve">, </w:t>
      </w:r>
      <w:r>
        <w:rPr>
          <w:rFonts w:hint="default" w:ascii="Times New Roman Regular" w:hAnsi="Times New Roman Regular" w:cs="Times New Roman Regular"/>
          <w:i/>
          <w:iCs/>
          <w:sz w:val="22"/>
        </w:rPr>
        <w:t>Research and Practice in Applied Linguistics</w:t>
      </w:r>
      <w:r>
        <w:rPr>
          <w:rFonts w:hint="default" w:ascii="Times New Roman Regular" w:hAnsi="Times New Roman Regular" w:cs="Times New Roman Regular"/>
          <w:sz w:val="22"/>
        </w:rPr>
        <w:t>. Available at: https://books.google.com/books?hl=zh-CN&amp;lr=&amp;id=uluADAAAQBAJ&amp;oi=fnd&amp;pg=PP1&amp;dq=intercultural+communication&amp;ots=BZP_LZMWrn&amp;sig=49TMVDR7d7IO25Ke54rJQKd9AJA (Accessed: 31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Stuart, M. and Lucio, M. M. (2002) ‘Social partnership and the mutual gains organization: Remaking involvement and trust at the British workplace’, </w:t>
      </w:r>
      <w:r>
        <w:rPr>
          <w:rFonts w:hint="default" w:ascii="Times New Roman Regular" w:hAnsi="Times New Roman Regular" w:cs="Times New Roman Regular"/>
          <w:i/>
          <w:iCs/>
          <w:sz w:val="22"/>
        </w:rPr>
        <w:t>Economic and Industrial Democracy</w:t>
      </w:r>
      <w:r>
        <w:rPr>
          <w:rFonts w:hint="default" w:ascii="Times New Roman Regular" w:hAnsi="Times New Roman Regular" w:cs="Times New Roman Regular"/>
          <w:sz w:val="22"/>
        </w:rPr>
        <w:t>, 23(2), pp. 177–200.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Taylor, C., Webb, T. L. and Sheeran, P. (2014) ‘I deserve a treat!: Justifications for indulgence undermine the translation of intentions into action’, </w:t>
      </w:r>
      <w:r>
        <w:rPr>
          <w:rFonts w:hint="default" w:ascii="Times New Roman Regular" w:hAnsi="Times New Roman Regular" w:cs="Times New Roman Regular"/>
          <w:i/>
          <w:iCs/>
          <w:sz w:val="22"/>
        </w:rPr>
        <w:t>British Journal of Social Psychology</w:t>
      </w:r>
      <w:r>
        <w:rPr>
          <w:rFonts w:hint="default" w:ascii="Times New Roman Regular" w:hAnsi="Times New Roman Regular" w:cs="Times New Roman Regular"/>
          <w:sz w:val="22"/>
        </w:rPr>
        <w:t>, 53(3), pp. 501–520.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Thakur, A. (2021) ‘Cultural Impact on Global Trade’, in </w:t>
      </w:r>
      <w:r>
        <w:rPr>
          <w:rFonts w:hint="default" w:ascii="Times New Roman Regular" w:hAnsi="Times New Roman Regular" w:cs="Times New Roman Regular"/>
          <w:i/>
          <w:iCs/>
          <w:sz w:val="22"/>
        </w:rPr>
        <w:t>Handbook of Research on the Empirical Aspects of Strategic Trade Negotiations and Management</w:t>
      </w:r>
      <w:r>
        <w:rPr>
          <w:rFonts w:hint="default" w:ascii="Times New Roman Regular" w:hAnsi="Times New Roman Regular" w:cs="Times New Roman Regular"/>
          <w:sz w:val="22"/>
        </w:rPr>
        <w:t>. IGI Global, pp. 196–210.</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Thoene, U. and Turriago-Hoyos, A. (2019) ‘Trust, business, and society in a post-conflict scenario-the case of managing workplace practices in Colombia’, </w:t>
      </w:r>
      <w:r>
        <w:rPr>
          <w:rFonts w:hint="default" w:ascii="Times New Roman Regular" w:hAnsi="Times New Roman Regular" w:cs="Times New Roman Regular"/>
          <w:i/>
          <w:iCs/>
          <w:sz w:val="22"/>
        </w:rPr>
        <w:t>International Journal of Business and Globalisation</w:t>
      </w:r>
      <w:r>
        <w:rPr>
          <w:rFonts w:hint="default" w:ascii="Times New Roman Regular" w:hAnsi="Times New Roman Regular" w:cs="Times New Roman Regular"/>
          <w:sz w:val="22"/>
        </w:rPr>
        <w:t>, 23(2), pp. 232–249.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Ting-Toomey, S. and Dorjee, T. (2018) </w:t>
      </w:r>
      <w:r>
        <w:rPr>
          <w:rFonts w:hint="default" w:ascii="Times New Roman Regular" w:hAnsi="Times New Roman Regular" w:cs="Times New Roman Regular"/>
          <w:i/>
          <w:iCs/>
          <w:sz w:val="22"/>
        </w:rPr>
        <w:t>Communicating across cultures</w:t>
      </w:r>
      <w:r>
        <w:rPr>
          <w:rFonts w:hint="default" w:ascii="Times New Roman Regular" w:hAnsi="Times New Roman Regular" w:cs="Times New Roman Regular"/>
          <w:sz w:val="22"/>
        </w:rPr>
        <w:t>. Guilford Publications.</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Transparency International (2020) </w:t>
      </w:r>
      <w:r>
        <w:rPr>
          <w:rFonts w:hint="default" w:ascii="Times New Roman Regular" w:hAnsi="Times New Roman Regular" w:cs="Times New Roman Regular"/>
          <w:i/>
          <w:iCs/>
          <w:sz w:val="22"/>
        </w:rPr>
        <w:t>CORRUPTION PERCEPTIONS INDEX</w:t>
      </w:r>
      <w:r>
        <w:rPr>
          <w:rFonts w:hint="default" w:ascii="Times New Roman Regular" w:hAnsi="Times New Roman Regular" w:cs="Times New Roman Regular"/>
          <w:sz w:val="22"/>
        </w:rPr>
        <w:t>. Available at: https://www.transparency.org/en/cpi/2020/index/nzl (Accessed: 31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Walsh, J. (2007) ‘Equality and diversity in British workplaces: the 2004 workplace employment relations survey’, </w:t>
      </w:r>
      <w:r>
        <w:rPr>
          <w:rFonts w:hint="default" w:ascii="Times New Roman Regular" w:hAnsi="Times New Roman Regular" w:cs="Times New Roman Regular"/>
          <w:i/>
          <w:iCs/>
          <w:sz w:val="22"/>
        </w:rPr>
        <w:t>Industrial Relations Journal</w:t>
      </w:r>
      <w:r>
        <w:rPr>
          <w:rFonts w:hint="default" w:ascii="Times New Roman Regular" w:hAnsi="Times New Roman Regular" w:cs="Times New Roman Regular"/>
          <w:sz w:val="22"/>
        </w:rPr>
        <w:t>, 38(4), pp. 303–319.</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Washington, M. C., Okoro, E. A. and Thomas, O. (2012) ‘Intercultural Communication In Global Business: An Analysis Of Benefits And Challenges’, </w:t>
      </w:r>
      <w:r>
        <w:rPr>
          <w:rFonts w:hint="default" w:ascii="Times New Roman Regular" w:hAnsi="Times New Roman Regular" w:cs="Times New Roman Regular"/>
          <w:i/>
          <w:iCs/>
          <w:sz w:val="22"/>
        </w:rPr>
        <w:t>International Business &amp; Economics Research Journal</w:t>
      </w:r>
      <w:r>
        <w:rPr>
          <w:rFonts w:hint="default" w:ascii="Times New Roman Regular" w:hAnsi="Times New Roman Regular" w:cs="Times New Roman Regular"/>
          <w:sz w:val="22"/>
        </w:rPr>
        <w:t>, 11(2), p. 217. doi: 10.19030/iber.v11i2.6776.</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World Bank (2021) </w:t>
      </w:r>
      <w:r>
        <w:rPr>
          <w:rFonts w:hint="default" w:ascii="Times New Roman Regular" w:hAnsi="Times New Roman Regular" w:cs="Times New Roman Regular"/>
          <w:i/>
          <w:iCs/>
          <w:sz w:val="22"/>
        </w:rPr>
        <w:t xml:space="preserve">Colombia Overview: Development news, research, data </w:t>
      </w:r>
      <w:r>
        <w:rPr>
          <w:rFonts w:hint="default" w:ascii="Times New Roman Regular" w:hAnsi="Times New Roman Regular" w:cs="Times New Roman Regular"/>
          <w:sz w:val="22"/>
        </w:rPr>
        <w:t>. Available at: https://www.worldbank.org/en/country/colombia/overview#1 (Accessed: 31 December 2021).</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Yeoh, P. (2011) ‘The UK Bribery Act 2010: Contents and implications’, </w:t>
      </w:r>
      <w:r>
        <w:rPr>
          <w:rFonts w:hint="default" w:ascii="Times New Roman Regular" w:hAnsi="Times New Roman Regular" w:cs="Times New Roman Regular"/>
          <w:i/>
          <w:iCs/>
          <w:sz w:val="22"/>
        </w:rPr>
        <w:t>Journal of Financial Crime</w:t>
      </w:r>
      <w:r>
        <w:rPr>
          <w:rFonts w:hint="default" w:ascii="Times New Roman Regular" w:hAnsi="Times New Roman Regular" w:cs="Times New Roman Regular"/>
          <w:sz w:val="22"/>
        </w:rPr>
        <w:t>, 19(1), pp. 37–53. doi: 10.1108/13590791211190713.</w:t>
      </w:r>
    </w:p>
    <w:p>
      <w:pPr>
        <w:autoSpaceDE w:val="0"/>
        <w:autoSpaceDN w:val="0"/>
        <w:adjustRightInd w:val="0"/>
        <w:spacing w:before="163" w:beforeLines="50" w:after="163" w:afterLines="50" w:line="360" w:lineRule="auto"/>
        <w:rPr>
          <w:rFonts w:hint="default" w:ascii="Times New Roman Regular" w:hAnsi="Times New Roman Regular" w:cs="Times New Roman Regular"/>
          <w:sz w:val="22"/>
        </w:rPr>
      </w:pPr>
      <w:r>
        <w:rPr>
          <w:rFonts w:hint="default" w:ascii="Times New Roman Regular" w:hAnsi="Times New Roman Regular" w:cs="Times New Roman Regular"/>
          <w:sz w:val="22"/>
        </w:rPr>
        <w:t xml:space="preserve">Zomer, L. (2012) </w:t>
      </w:r>
      <w:r>
        <w:rPr>
          <w:rFonts w:hint="default" w:ascii="Times New Roman Regular" w:hAnsi="Times New Roman Regular" w:cs="Times New Roman Regular"/>
          <w:i/>
          <w:iCs/>
          <w:sz w:val="22"/>
        </w:rPr>
        <w:t>The relationships among emotional intelligence, gender, coping strategies, and well-being in the management of stress in close interpersonal relationships and the workplace</w:t>
      </w:r>
      <w:r>
        <w:rPr>
          <w:rFonts w:hint="default" w:ascii="Times New Roman Regular" w:hAnsi="Times New Roman Regular" w:cs="Times New Roman Regular"/>
          <w:sz w:val="22"/>
        </w:rPr>
        <w:t>. University of Toronto (Canada).</w:t>
      </w:r>
    </w:p>
    <w:p>
      <w:pPr>
        <w:spacing w:before="163" w:beforeLines="50" w:after="163" w:afterLines="50" w:line="360" w:lineRule="auto"/>
        <w:jc w:val="both"/>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fldChar w:fldCharType="end"/>
      </w:r>
    </w:p>
    <w:sectPr>
      <w:pgSz w:w="11906" w:h="16838"/>
      <w:pgMar w:top="1440" w:right="1080" w:bottom="1440" w:left="1080" w:header="851" w:footer="992" w:gutter="0"/>
      <w:cols w:space="425" w:num="1"/>
      <w:docGrid w:type="lines" w:linePitch="326"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Malgun Gothic">
    <w:altName w:val="Apple SD Gothic Neo"/>
    <w:panose1 w:val="020B0503020000020004"/>
    <w:charset w:val="81"/>
    <w:family w:val="swiss"/>
    <w:pitch w:val="default"/>
    <w:sig w:usb0="00000000" w:usb1="00000000" w:usb2="00000012" w:usb3="00000000" w:csb0="00080001"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Apple SD Gothic Neo">
    <w:panose1 w:val="02000300000000000000"/>
    <w:charset w:val="81"/>
    <w:family w:val="auto"/>
    <w:pitch w:val="default"/>
    <w:sig w:usb0="00000203" w:usb1="21D12C10" w:usb2="00000010" w:usb3="00000000" w:csb0="00280005" w:csb1="00000000"/>
  </w:font>
  <w:font w:name="儷宋 Pro">
    <w:panose1 w:val="02020300000000000000"/>
    <w:charset w:val="88"/>
    <w:family w:val="auto"/>
    <w:pitch w:val="default"/>
    <w:sig w:usb0="80000001" w:usb1="28091800" w:usb2="00000016" w:usb3="00000000" w:csb0="00100000" w:csb1="00000000"/>
  </w:font>
  <w:font w:name="等线 Light">
    <w:altName w:val="汉仪中等线KW"/>
    <w:panose1 w:val="00000000000000000000"/>
    <w:charset w:val="00"/>
    <w:family w:val="auto"/>
    <w:pitch w:val="default"/>
    <w:sig w:usb0="00000000" w:usb1="00000000" w:usb2="00000000" w:usb3="00000000" w:csb0="00000000" w:csb1="00000000"/>
  </w:font>
  <w:font w:name="Times New Roman Regular">
    <w:panose1 w:val="02020603050405020304"/>
    <w:charset w:val="00"/>
    <w:family w:val="auto"/>
    <w:pitch w:val="default"/>
    <w:sig w:usb0="E0002AEF" w:usb1="C0007841" w:usb2="00000009" w:usb3="00000000" w:csb0="400001FF" w:csb1="FFFF0000"/>
  </w:font>
  <w:font w:name="等线">
    <w:altName w:val="汉仪中等线KW"/>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8"/>
  <w:bordersDoNotSurroundHeader w:val="1"/>
  <w:bordersDoNotSurroundFooter w:val="1"/>
  <w:hideSpellingErrors/>
  <w:hideGrammaticalErrors/>
  <w:documentProtection w:enforcement="0"/>
  <w:defaultTabStop w:val="420"/>
  <w:drawingGridHorizontalSpacing w:val="120"/>
  <w:drawingGridVerticalSpacing w:val="163"/>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U2MzIxNbM0ASIjMyUdpeDU4uLM/DyQAsNaAKxezkosAAAA"/>
  </w:docVars>
  <w:rsids>
    <w:rsidRoot w:val="006902B4"/>
    <w:rsid w:val="00002AE6"/>
    <w:rsid w:val="000D2C23"/>
    <w:rsid w:val="00130457"/>
    <w:rsid w:val="00165FDC"/>
    <w:rsid w:val="001734F6"/>
    <w:rsid w:val="001E1BD0"/>
    <w:rsid w:val="0020635D"/>
    <w:rsid w:val="00294991"/>
    <w:rsid w:val="00363E95"/>
    <w:rsid w:val="003A4D5E"/>
    <w:rsid w:val="003F3CCA"/>
    <w:rsid w:val="00452FA3"/>
    <w:rsid w:val="004746E4"/>
    <w:rsid w:val="004A0557"/>
    <w:rsid w:val="004A2832"/>
    <w:rsid w:val="004F6972"/>
    <w:rsid w:val="0052471F"/>
    <w:rsid w:val="005459BF"/>
    <w:rsid w:val="00562BC4"/>
    <w:rsid w:val="00575151"/>
    <w:rsid w:val="00586F77"/>
    <w:rsid w:val="005875A2"/>
    <w:rsid w:val="00685CDF"/>
    <w:rsid w:val="006902B4"/>
    <w:rsid w:val="006A3672"/>
    <w:rsid w:val="006A5972"/>
    <w:rsid w:val="006B70F7"/>
    <w:rsid w:val="006C1E41"/>
    <w:rsid w:val="0086703C"/>
    <w:rsid w:val="00877A23"/>
    <w:rsid w:val="00883B14"/>
    <w:rsid w:val="008B25C4"/>
    <w:rsid w:val="008D3961"/>
    <w:rsid w:val="008E77AE"/>
    <w:rsid w:val="00936710"/>
    <w:rsid w:val="00940630"/>
    <w:rsid w:val="00950212"/>
    <w:rsid w:val="00974E1F"/>
    <w:rsid w:val="009A74F5"/>
    <w:rsid w:val="009C237C"/>
    <w:rsid w:val="00A10B0E"/>
    <w:rsid w:val="00A31807"/>
    <w:rsid w:val="00A31A35"/>
    <w:rsid w:val="00A664E4"/>
    <w:rsid w:val="00A67479"/>
    <w:rsid w:val="00AD74E2"/>
    <w:rsid w:val="00AE615D"/>
    <w:rsid w:val="00B02284"/>
    <w:rsid w:val="00B37572"/>
    <w:rsid w:val="00B52AA5"/>
    <w:rsid w:val="00C20B88"/>
    <w:rsid w:val="00C30DFA"/>
    <w:rsid w:val="00C81D6E"/>
    <w:rsid w:val="00C85858"/>
    <w:rsid w:val="00CA048D"/>
    <w:rsid w:val="00CA53E9"/>
    <w:rsid w:val="00D32989"/>
    <w:rsid w:val="00D50E38"/>
    <w:rsid w:val="00D5111F"/>
    <w:rsid w:val="00DC37A1"/>
    <w:rsid w:val="00E673BC"/>
    <w:rsid w:val="00F07B44"/>
    <w:rsid w:val="00F518C3"/>
    <w:rsid w:val="00F7048F"/>
    <w:rsid w:val="7FFFF524"/>
    <w:rsid w:val="FBBD67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cs="Times New Roman" w:asciiTheme="minorHAnsi" w:hAnsiTheme="minorHAnsi" w:eastAsiaTheme="minorEastAsia"/>
      <w:sz w:val="24"/>
      <w:szCs w:val="24"/>
      <w:lang w:val="en-US" w:eastAsia="zh-CN" w:bidi="ar-SA"/>
    </w:rPr>
  </w:style>
  <w:style w:type="paragraph" w:styleId="2">
    <w:name w:val="heading 1"/>
    <w:basedOn w:val="1"/>
    <w:next w:val="1"/>
    <w:link w:val="21"/>
    <w:qFormat/>
    <w:uiPriority w:val="9"/>
    <w:pPr>
      <w:keepNext/>
      <w:spacing w:before="240" w:after="60"/>
      <w:outlineLvl w:val="0"/>
    </w:pPr>
    <w:rPr>
      <w:rFonts w:asciiTheme="majorHAnsi" w:hAnsiTheme="majorHAnsi" w:eastAsiaTheme="majorEastAsia"/>
      <w:b/>
      <w:bCs/>
      <w:kern w:val="32"/>
      <w:sz w:val="32"/>
      <w:szCs w:val="32"/>
    </w:rPr>
  </w:style>
  <w:style w:type="paragraph" w:styleId="3">
    <w:name w:val="heading 2"/>
    <w:basedOn w:val="1"/>
    <w:next w:val="1"/>
    <w:link w:val="22"/>
    <w:unhideWhenUsed/>
    <w:qFormat/>
    <w:uiPriority w:val="9"/>
    <w:pPr>
      <w:keepNext/>
      <w:spacing w:before="240" w:after="60"/>
      <w:outlineLvl w:val="1"/>
    </w:pPr>
    <w:rPr>
      <w:rFonts w:asciiTheme="majorHAnsi" w:hAnsiTheme="majorHAnsi" w:eastAsiaTheme="majorEastAsia"/>
      <w:b/>
      <w:bCs/>
      <w:i/>
      <w:iCs/>
      <w:sz w:val="28"/>
      <w:szCs w:val="28"/>
    </w:rPr>
  </w:style>
  <w:style w:type="paragraph" w:styleId="4">
    <w:name w:val="heading 3"/>
    <w:basedOn w:val="1"/>
    <w:next w:val="1"/>
    <w:link w:val="23"/>
    <w:unhideWhenUsed/>
    <w:qFormat/>
    <w:uiPriority w:val="9"/>
    <w:pPr>
      <w:keepNext/>
      <w:spacing w:before="240" w:after="60"/>
      <w:outlineLvl w:val="2"/>
    </w:pPr>
    <w:rPr>
      <w:rFonts w:asciiTheme="majorHAnsi" w:hAnsiTheme="majorHAnsi" w:eastAsiaTheme="majorEastAsia"/>
      <w:b/>
      <w:bCs/>
      <w:sz w:val="26"/>
      <w:szCs w:val="26"/>
    </w:rPr>
  </w:style>
  <w:style w:type="paragraph" w:styleId="5">
    <w:name w:val="heading 4"/>
    <w:basedOn w:val="1"/>
    <w:next w:val="1"/>
    <w:link w:val="24"/>
    <w:unhideWhenUsed/>
    <w:qFormat/>
    <w:uiPriority w:val="9"/>
    <w:pPr>
      <w:keepNext/>
      <w:spacing w:before="240" w:after="60"/>
      <w:outlineLvl w:val="3"/>
    </w:pPr>
    <w:rPr>
      <w:b/>
      <w:bCs/>
      <w:sz w:val="28"/>
      <w:szCs w:val="28"/>
    </w:rPr>
  </w:style>
  <w:style w:type="paragraph" w:styleId="6">
    <w:name w:val="heading 5"/>
    <w:basedOn w:val="1"/>
    <w:next w:val="1"/>
    <w:link w:val="25"/>
    <w:unhideWhenUsed/>
    <w:qFormat/>
    <w:uiPriority w:val="9"/>
    <w:pPr>
      <w:spacing w:before="240" w:after="60"/>
      <w:outlineLvl w:val="4"/>
    </w:pPr>
    <w:rPr>
      <w:b/>
      <w:bCs/>
      <w:i/>
      <w:iCs/>
      <w:sz w:val="26"/>
      <w:szCs w:val="26"/>
    </w:rPr>
  </w:style>
  <w:style w:type="paragraph" w:styleId="7">
    <w:name w:val="heading 6"/>
    <w:basedOn w:val="1"/>
    <w:next w:val="1"/>
    <w:link w:val="26"/>
    <w:unhideWhenUsed/>
    <w:qFormat/>
    <w:uiPriority w:val="9"/>
    <w:pPr>
      <w:spacing w:before="240" w:after="60"/>
      <w:outlineLvl w:val="5"/>
    </w:pPr>
    <w:rPr>
      <w:b/>
      <w:bCs/>
      <w:sz w:val="22"/>
      <w:szCs w:val="22"/>
    </w:rPr>
  </w:style>
  <w:style w:type="paragraph" w:styleId="8">
    <w:name w:val="heading 7"/>
    <w:basedOn w:val="1"/>
    <w:next w:val="1"/>
    <w:link w:val="27"/>
    <w:unhideWhenUsed/>
    <w:qFormat/>
    <w:uiPriority w:val="9"/>
    <w:pPr>
      <w:spacing w:before="240" w:after="60"/>
      <w:outlineLvl w:val="6"/>
    </w:pPr>
  </w:style>
  <w:style w:type="paragraph" w:styleId="9">
    <w:name w:val="heading 8"/>
    <w:basedOn w:val="1"/>
    <w:next w:val="1"/>
    <w:link w:val="28"/>
    <w:unhideWhenUsed/>
    <w:qFormat/>
    <w:uiPriority w:val="9"/>
    <w:pPr>
      <w:spacing w:before="240" w:after="60"/>
      <w:outlineLvl w:val="7"/>
    </w:pPr>
    <w:rPr>
      <w:i/>
      <w:iCs/>
    </w:rPr>
  </w:style>
  <w:style w:type="paragraph" w:styleId="10">
    <w:name w:val="heading 9"/>
    <w:basedOn w:val="1"/>
    <w:next w:val="1"/>
    <w:link w:val="29"/>
    <w:unhideWhenUsed/>
    <w:qFormat/>
    <w:uiPriority w:val="9"/>
    <w:pPr>
      <w:spacing w:before="240" w:after="60"/>
      <w:outlineLvl w:val="8"/>
    </w:pPr>
    <w:rPr>
      <w:rFonts w:asciiTheme="majorHAnsi" w:hAnsiTheme="majorHAnsi" w:eastAsiaTheme="majorEastAsia"/>
      <w:sz w:val="22"/>
      <w:szCs w:val="22"/>
    </w:rPr>
  </w:style>
  <w:style w:type="character" w:default="1" w:styleId="15">
    <w:name w:val="Default Paragraph Font"/>
    <w:unhideWhenUsed/>
    <w:qFormat/>
    <w:uiPriority w:val="1"/>
  </w:style>
  <w:style w:type="table" w:default="1" w:styleId="18">
    <w:name w:val="Normal Table"/>
    <w:unhideWhenUsed/>
    <w:uiPriority w:val="99"/>
    <w:tblPr>
      <w:tblCellMar>
        <w:top w:w="0" w:type="dxa"/>
        <w:left w:w="108" w:type="dxa"/>
        <w:bottom w:w="0" w:type="dxa"/>
        <w:right w:w="108" w:type="dxa"/>
      </w:tblCellMar>
    </w:tblPr>
  </w:style>
  <w:style w:type="paragraph" w:styleId="11">
    <w:name w:val="footer"/>
    <w:basedOn w:val="1"/>
    <w:link w:val="20"/>
    <w:unhideWhenUsed/>
    <w:uiPriority w:val="99"/>
    <w:pPr>
      <w:tabs>
        <w:tab w:val="center" w:pos="4153"/>
        <w:tab w:val="right" w:pos="8306"/>
      </w:tabs>
      <w:snapToGrid w:val="0"/>
    </w:pPr>
    <w:rPr>
      <w:sz w:val="18"/>
      <w:szCs w:val="18"/>
    </w:rPr>
  </w:style>
  <w:style w:type="paragraph" w:styleId="12">
    <w:name w:val="header"/>
    <w:basedOn w:val="1"/>
    <w:link w:val="19"/>
    <w:unhideWhenUsed/>
    <w:qFormat/>
    <w:uiPriority w:val="99"/>
    <w:pPr>
      <w:pBdr>
        <w:bottom w:val="single" w:color="auto" w:sz="6" w:space="1"/>
      </w:pBdr>
      <w:tabs>
        <w:tab w:val="center" w:pos="4153"/>
        <w:tab w:val="right" w:pos="8306"/>
      </w:tabs>
      <w:snapToGrid w:val="0"/>
      <w:jc w:val="center"/>
    </w:pPr>
    <w:rPr>
      <w:sz w:val="18"/>
      <w:szCs w:val="18"/>
    </w:rPr>
  </w:style>
  <w:style w:type="paragraph" w:styleId="13">
    <w:name w:val="Subtitle"/>
    <w:basedOn w:val="1"/>
    <w:next w:val="1"/>
    <w:link w:val="31"/>
    <w:qFormat/>
    <w:uiPriority w:val="11"/>
    <w:pPr>
      <w:spacing w:after="60"/>
      <w:jc w:val="center"/>
      <w:outlineLvl w:val="1"/>
    </w:pPr>
    <w:rPr>
      <w:rFonts w:asciiTheme="majorHAnsi" w:hAnsiTheme="majorHAnsi" w:eastAsiaTheme="majorEastAsia"/>
    </w:rPr>
  </w:style>
  <w:style w:type="paragraph" w:styleId="14">
    <w:name w:val="Title"/>
    <w:basedOn w:val="1"/>
    <w:next w:val="1"/>
    <w:link w:val="30"/>
    <w:qFormat/>
    <w:uiPriority w:val="10"/>
    <w:pPr>
      <w:spacing w:before="240" w:after="60"/>
      <w:jc w:val="center"/>
      <w:outlineLvl w:val="0"/>
    </w:pPr>
    <w:rPr>
      <w:rFonts w:asciiTheme="majorHAnsi" w:hAnsiTheme="majorHAnsi" w:eastAsiaTheme="majorEastAsia"/>
      <w:b/>
      <w:bCs/>
      <w:kern w:val="28"/>
      <w:sz w:val="32"/>
      <w:szCs w:val="32"/>
    </w:rPr>
  </w:style>
  <w:style w:type="character" w:styleId="16">
    <w:name w:val="Strong"/>
    <w:basedOn w:val="15"/>
    <w:qFormat/>
    <w:uiPriority w:val="22"/>
    <w:rPr>
      <w:b/>
      <w:bCs/>
    </w:rPr>
  </w:style>
  <w:style w:type="character" w:styleId="17">
    <w:name w:val="Emphasis"/>
    <w:basedOn w:val="15"/>
    <w:qFormat/>
    <w:uiPriority w:val="20"/>
    <w:rPr>
      <w:rFonts w:asciiTheme="minorHAnsi" w:hAnsiTheme="minorHAnsi"/>
      <w:b/>
      <w:i/>
      <w:iCs/>
    </w:rPr>
  </w:style>
  <w:style w:type="character" w:customStyle="1" w:styleId="19">
    <w:name w:val="页眉 字符"/>
    <w:basedOn w:val="15"/>
    <w:link w:val="12"/>
    <w:qFormat/>
    <w:uiPriority w:val="99"/>
    <w:rPr>
      <w:sz w:val="18"/>
      <w:szCs w:val="18"/>
      <w:lang w:val="en-GB"/>
    </w:rPr>
  </w:style>
  <w:style w:type="character" w:customStyle="1" w:styleId="20">
    <w:name w:val="页脚 字符"/>
    <w:basedOn w:val="15"/>
    <w:link w:val="11"/>
    <w:uiPriority w:val="99"/>
    <w:rPr>
      <w:sz w:val="18"/>
      <w:szCs w:val="18"/>
      <w:lang w:val="en-GB"/>
    </w:rPr>
  </w:style>
  <w:style w:type="character" w:customStyle="1" w:styleId="21">
    <w:name w:val="标题 1 字符"/>
    <w:basedOn w:val="15"/>
    <w:link w:val="2"/>
    <w:qFormat/>
    <w:uiPriority w:val="9"/>
    <w:rPr>
      <w:rFonts w:asciiTheme="majorHAnsi" w:hAnsiTheme="majorHAnsi" w:eastAsiaTheme="majorEastAsia"/>
      <w:b/>
      <w:bCs/>
      <w:kern w:val="32"/>
      <w:sz w:val="32"/>
      <w:szCs w:val="32"/>
    </w:rPr>
  </w:style>
  <w:style w:type="character" w:customStyle="1" w:styleId="22">
    <w:name w:val="标题 2 字符"/>
    <w:basedOn w:val="15"/>
    <w:link w:val="3"/>
    <w:semiHidden/>
    <w:qFormat/>
    <w:uiPriority w:val="9"/>
    <w:rPr>
      <w:rFonts w:asciiTheme="majorHAnsi" w:hAnsiTheme="majorHAnsi" w:eastAsiaTheme="majorEastAsia"/>
      <w:b/>
      <w:bCs/>
      <w:i/>
      <w:iCs/>
      <w:sz w:val="28"/>
      <w:szCs w:val="28"/>
    </w:rPr>
  </w:style>
  <w:style w:type="character" w:customStyle="1" w:styleId="23">
    <w:name w:val="标题 3 字符"/>
    <w:basedOn w:val="15"/>
    <w:link w:val="4"/>
    <w:semiHidden/>
    <w:qFormat/>
    <w:uiPriority w:val="9"/>
    <w:rPr>
      <w:rFonts w:asciiTheme="majorHAnsi" w:hAnsiTheme="majorHAnsi" w:eastAsiaTheme="majorEastAsia"/>
      <w:b/>
      <w:bCs/>
      <w:sz w:val="26"/>
      <w:szCs w:val="26"/>
    </w:rPr>
  </w:style>
  <w:style w:type="character" w:customStyle="1" w:styleId="24">
    <w:name w:val="标题 4 字符"/>
    <w:basedOn w:val="15"/>
    <w:link w:val="5"/>
    <w:semiHidden/>
    <w:qFormat/>
    <w:uiPriority w:val="9"/>
    <w:rPr>
      <w:b/>
      <w:bCs/>
      <w:sz w:val="28"/>
      <w:szCs w:val="28"/>
    </w:rPr>
  </w:style>
  <w:style w:type="character" w:customStyle="1" w:styleId="25">
    <w:name w:val="标题 5 字符"/>
    <w:basedOn w:val="15"/>
    <w:link w:val="6"/>
    <w:semiHidden/>
    <w:qFormat/>
    <w:uiPriority w:val="9"/>
    <w:rPr>
      <w:b/>
      <w:bCs/>
      <w:i/>
      <w:iCs/>
      <w:sz w:val="26"/>
      <w:szCs w:val="26"/>
    </w:rPr>
  </w:style>
  <w:style w:type="character" w:customStyle="1" w:styleId="26">
    <w:name w:val="标题 6 字符"/>
    <w:basedOn w:val="15"/>
    <w:link w:val="7"/>
    <w:semiHidden/>
    <w:qFormat/>
    <w:uiPriority w:val="9"/>
    <w:rPr>
      <w:b/>
      <w:bCs/>
    </w:rPr>
  </w:style>
  <w:style w:type="character" w:customStyle="1" w:styleId="27">
    <w:name w:val="标题 7 字符"/>
    <w:basedOn w:val="15"/>
    <w:link w:val="8"/>
    <w:semiHidden/>
    <w:qFormat/>
    <w:uiPriority w:val="9"/>
    <w:rPr>
      <w:sz w:val="24"/>
      <w:szCs w:val="24"/>
    </w:rPr>
  </w:style>
  <w:style w:type="character" w:customStyle="1" w:styleId="28">
    <w:name w:val="标题 8 字符"/>
    <w:basedOn w:val="15"/>
    <w:link w:val="9"/>
    <w:semiHidden/>
    <w:qFormat/>
    <w:uiPriority w:val="9"/>
    <w:rPr>
      <w:i/>
      <w:iCs/>
      <w:sz w:val="24"/>
      <w:szCs w:val="24"/>
    </w:rPr>
  </w:style>
  <w:style w:type="character" w:customStyle="1" w:styleId="29">
    <w:name w:val="标题 9 字符"/>
    <w:basedOn w:val="15"/>
    <w:link w:val="10"/>
    <w:semiHidden/>
    <w:qFormat/>
    <w:uiPriority w:val="9"/>
    <w:rPr>
      <w:rFonts w:asciiTheme="majorHAnsi" w:hAnsiTheme="majorHAnsi" w:eastAsiaTheme="majorEastAsia"/>
    </w:rPr>
  </w:style>
  <w:style w:type="character" w:customStyle="1" w:styleId="30">
    <w:name w:val="标题 字符"/>
    <w:basedOn w:val="15"/>
    <w:link w:val="14"/>
    <w:qFormat/>
    <w:uiPriority w:val="10"/>
    <w:rPr>
      <w:rFonts w:asciiTheme="majorHAnsi" w:hAnsiTheme="majorHAnsi" w:eastAsiaTheme="majorEastAsia"/>
      <w:b/>
      <w:bCs/>
      <w:kern w:val="28"/>
      <w:sz w:val="32"/>
      <w:szCs w:val="32"/>
    </w:rPr>
  </w:style>
  <w:style w:type="character" w:customStyle="1" w:styleId="31">
    <w:name w:val="副标题 字符"/>
    <w:basedOn w:val="15"/>
    <w:link w:val="13"/>
    <w:qFormat/>
    <w:uiPriority w:val="11"/>
    <w:rPr>
      <w:rFonts w:asciiTheme="majorHAnsi" w:hAnsiTheme="majorHAnsi" w:eastAsiaTheme="majorEastAsia"/>
      <w:sz w:val="24"/>
      <w:szCs w:val="24"/>
    </w:rPr>
  </w:style>
  <w:style w:type="paragraph" w:customStyle="1" w:styleId="32">
    <w:name w:val="No Spacing"/>
    <w:basedOn w:val="1"/>
    <w:qFormat/>
    <w:uiPriority w:val="1"/>
    <w:rPr>
      <w:szCs w:val="32"/>
    </w:rPr>
  </w:style>
  <w:style w:type="paragraph" w:customStyle="1" w:styleId="33">
    <w:name w:val="List Paragraph"/>
    <w:basedOn w:val="1"/>
    <w:qFormat/>
    <w:uiPriority w:val="34"/>
    <w:pPr>
      <w:ind w:left="720"/>
      <w:contextualSpacing/>
    </w:pPr>
  </w:style>
  <w:style w:type="paragraph" w:customStyle="1" w:styleId="34">
    <w:name w:val="Quote"/>
    <w:basedOn w:val="1"/>
    <w:next w:val="1"/>
    <w:link w:val="35"/>
    <w:qFormat/>
    <w:uiPriority w:val="29"/>
    <w:rPr>
      <w:i/>
    </w:rPr>
  </w:style>
  <w:style w:type="character" w:customStyle="1" w:styleId="35">
    <w:name w:val="引用 字符"/>
    <w:basedOn w:val="15"/>
    <w:link w:val="34"/>
    <w:qFormat/>
    <w:uiPriority w:val="29"/>
    <w:rPr>
      <w:i/>
      <w:sz w:val="24"/>
      <w:szCs w:val="24"/>
    </w:rPr>
  </w:style>
  <w:style w:type="paragraph" w:customStyle="1" w:styleId="36">
    <w:name w:val="Intense Quote"/>
    <w:basedOn w:val="1"/>
    <w:next w:val="1"/>
    <w:link w:val="37"/>
    <w:qFormat/>
    <w:uiPriority w:val="30"/>
    <w:pPr>
      <w:ind w:left="720" w:right="720"/>
    </w:pPr>
    <w:rPr>
      <w:b/>
      <w:i/>
      <w:szCs w:val="22"/>
    </w:rPr>
  </w:style>
  <w:style w:type="character" w:customStyle="1" w:styleId="37">
    <w:name w:val="明显引用 字符"/>
    <w:basedOn w:val="15"/>
    <w:link w:val="36"/>
    <w:qFormat/>
    <w:uiPriority w:val="30"/>
    <w:rPr>
      <w:b/>
      <w:i/>
      <w:sz w:val="24"/>
    </w:rPr>
  </w:style>
  <w:style w:type="character" w:customStyle="1" w:styleId="38">
    <w:name w:val="Subtle Emphasis"/>
    <w:qFormat/>
    <w:uiPriority w:val="19"/>
    <w:rPr>
      <w:i/>
      <w:color w:val="595959" w:themeColor="text1" w:themeTint="A6"/>
      <w14:textFill>
        <w14:solidFill>
          <w14:schemeClr w14:val="tx1">
            <w14:lumMod w14:val="65000"/>
            <w14:lumOff w14:val="35000"/>
          </w14:schemeClr>
        </w14:solidFill>
      </w14:textFill>
    </w:rPr>
  </w:style>
  <w:style w:type="character" w:customStyle="1" w:styleId="39">
    <w:name w:val="Intense Emphasis"/>
    <w:basedOn w:val="15"/>
    <w:qFormat/>
    <w:uiPriority w:val="21"/>
    <w:rPr>
      <w:b/>
      <w:i/>
      <w:sz w:val="24"/>
      <w:szCs w:val="24"/>
      <w:u w:val="single"/>
    </w:rPr>
  </w:style>
  <w:style w:type="character" w:customStyle="1" w:styleId="40">
    <w:name w:val="Subtle Reference"/>
    <w:basedOn w:val="15"/>
    <w:qFormat/>
    <w:uiPriority w:val="31"/>
    <w:rPr>
      <w:sz w:val="24"/>
      <w:szCs w:val="24"/>
      <w:u w:val="single"/>
    </w:rPr>
  </w:style>
  <w:style w:type="character" w:customStyle="1" w:styleId="41">
    <w:name w:val="Intense Reference"/>
    <w:basedOn w:val="15"/>
    <w:qFormat/>
    <w:uiPriority w:val="32"/>
    <w:rPr>
      <w:b/>
      <w:sz w:val="24"/>
      <w:u w:val="single"/>
    </w:rPr>
  </w:style>
  <w:style w:type="character" w:customStyle="1" w:styleId="42">
    <w:name w:val="Book Title"/>
    <w:basedOn w:val="15"/>
    <w:qFormat/>
    <w:uiPriority w:val="33"/>
    <w:rPr>
      <w:rFonts w:asciiTheme="majorHAnsi" w:hAnsiTheme="majorHAnsi" w:eastAsiaTheme="majorEastAsia"/>
      <w:b/>
      <w:i/>
      <w:sz w:val="24"/>
      <w:szCs w:val="24"/>
    </w:rPr>
  </w:style>
  <w:style w:type="paragraph" w:customStyle="1" w:styleId="43">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14076</Words>
  <Characters>80236</Characters>
  <Lines>668</Lines>
  <Paragraphs>188</Paragraphs>
  <ScaleCrop>false</ScaleCrop>
  <LinksUpToDate>false</LinksUpToDate>
  <CharactersWithSpaces>94124</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2021-12-30T20:27:00Z</dcterms:created>
  <dc:creator>admin admin</dc:creator>
  <cp:lastModifiedBy>lijunjie</cp:lastModifiedBy>
  <dcterms:modified xsi:type="dcterms:W3CDTF">2022-01-06T17:38:39Z</dcterms:modified>
  <cp:revision>19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2052-3.9.0.6159</vt:lpwstr>
  </property>
</Properties>
</file>