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23310A">
      <w:pPr>
        <w:pStyle w:val="2"/>
        <w:bidi w:val="0"/>
        <w:jc w:val="center"/>
        <w:rPr>
          <w:rFonts w:hint="default" w:ascii="Times New Roman" w:hAnsi="Times New Roman" w:cs="Times New Roman"/>
          <w:sz w:val="36"/>
          <w:szCs w:val="21"/>
          <w:lang w:val="en-US"/>
        </w:rPr>
      </w:pPr>
      <w:r>
        <w:rPr>
          <w:rFonts w:hint="default" w:ascii="Times New Roman" w:hAnsi="Times New Roman" w:cs="Times New Roman"/>
          <w:sz w:val="36"/>
          <w:szCs w:val="21"/>
          <w:lang w:val="en-US" w:eastAsia="zh-CN"/>
        </w:rPr>
        <w:t>Critical Review of Babaii and Ramazani’s Article</w:t>
      </w:r>
    </w:p>
    <w:p w14:paraId="01A8565B">
      <w:pPr>
        <w:pStyle w:val="3"/>
        <w:bidi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Introduction</w:t>
      </w:r>
    </w:p>
    <w:p w14:paraId="039332A5">
      <w:pPr>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 xml:space="preserve">This article, </w:t>
      </w:r>
      <w:r>
        <w:rPr>
          <w:rFonts w:hint="default" w:ascii="Times New Roman" w:hAnsi="Times New Roman" w:eastAsia="宋体" w:cs="Times New Roman"/>
          <w:i/>
          <w:iCs/>
          <w:sz w:val="24"/>
          <w:szCs w:val="24"/>
          <w:highlight w:val="none"/>
          <w:lang w:val="en-US" w:eastAsia="zh-CN"/>
        </w:rPr>
        <w:t>Reverse Transfer: Exploring the Effects of Foreign Language Rhetorical Patterns on L1 Writing Performance of Iranian EFL Learners</w:t>
      </w:r>
      <w:r>
        <w:rPr>
          <w:rFonts w:hint="default" w:ascii="Times New Roman" w:hAnsi="Times New Roman" w:eastAsia="宋体" w:cs="Times New Roman"/>
          <w:sz w:val="24"/>
          <w:szCs w:val="24"/>
          <w:highlight w:val="none"/>
          <w:lang w:val="en-US" w:eastAsia="zh-CN"/>
        </w:rPr>
        <w:t xml:space="preserve">, was published by Babaii and Ramazani on </w:t>
      </w:r>
      <w:r>
        <w:rPr>
          <w:rFonts w:hint="default" w:ascii="Times New Roman" w:hAnsi="Times New Roman" w:eastAsia="宋体" w:cs="Times New Roman"/>
          <w:i/>
          <w:iCs/>
          <w:sz w:val="24"/>
          <w:szCs w:val="24"/>
          <w:highlight w:val="none"/>
          <w:lang w:val="en-US" w:eastAsia="zh-CN"/>
        </w:rPr>
        <w:t>RELC Journal</w:t>
      </w:r>
      <w:r>
        <w:rPr>
          <w:rFonts w:hint="default" w:ascii="Times New Roman" w:hAnsi="Times New Roman" w:eastAsia="宋体" w:cs="Times New Roman"/>
          <w:sz w:val="24"/>
          <w:szCs w:val="24"/>
          <w:highlight w:val="none"/>
          <w:lang w:val="en-US" w:eastAsia="zh-CN"/>
        </w:rPr>
        <w:t xml:space="preserve"> in 2017. Through the methods of writing task and text analysis, the authors make an in-depth study of the use of rhetorical patterns in English (L2) and Persian (L1) argumentative writing by English-majors and non-English-majors. The study found that English Majors’ writing quality was higher in both languages, and there was a reverse transfer of rhetorical patterns. This research reveals the potential positive impact of L2 writing education on L1 writing skills, provides new insights for writing teaching, and emphasizes the importance of language and cultural background in writing, which provides enlightenment for future research.</w:t>
      </w:r>
    </w:p>
    <w:p w14:paraId="783D69A5">
      <w:pPr>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This critical review will critique this article from the following three aspects: theoretical considerations, methodology and results and relevance to theory.</w:t>
      </w:r>
    </w:p>
    <w:p w14:paraId="6681C28A">
      <w:pPr>
        <w:pStyle w:val="3"/>
        <w:bidi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Theoretical Considerations</w:t>
      </w:r>
    </w:p>
    <w:p w14:paraId="6AF5CF62">
      <w:pPr>
        <w:ind w:firstLine="480" w:firstLineChars="200"/>
        <w:jc w:val="left"/>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This article aims to test and contrast the reverse transfer theory in macro-level rhetoric patterns, that is, how the rhetorical patterns of the second language (English) affect the writing of the first language (Persian). Based on the argumentative essays written by 60 Iranian English Majors (30) and non English Majors (30), the author puts forward the following four research questions:</w:t>
      </w:r>
    </w:p>
    <w:p w14:paraId="102477FC">
      <w:pPr>
        <w:numPr>
          <w:ilvl w:val="0"/>
          <w:numId w:val="1"/>
        </w:numPr>
        <w:ind w:left="425" w:leftChars="0" w:hanging="425" w:firstLineChars="0"/>
        <w:jc w:val="left"/>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Is there any difference in rhetorical structures within English-major participants in their L2 (English) and L1 (Persian) argumentative essays?</w:t>
      </w:r>
    </w:p>
    <w:p w14:paraId="7F898ECF">
      <w:pPr>
        <w:numPr>
          <w:ilvl w:val="0"/>
          <w:numId w:val="1"/>
        </w:numPr>
        <w:ind w:left="425" w:leftChars="0" w:hanging="425" w:firstLineChars="0"/>
        <w:jc w:val="left"/>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Is there any difference in rhetorical structures within non-English-major participants in their L2 (English) and L1 (Persian) argumentative essays?</w:t>
      </w:r>
    </w:p>
    <w:p w14:paraId="08D10EC8">
      <w:pPr>
        <w:numPr>
          <w:ilvl w:val="0"/>
          <w:numId w:val="1"/>
        </w:numPr>
        <w:ind w:left="425" w:leftChars="0" w:hanging="425" w:firstLineChars="0"/>
        <w:jc w:val="left"/>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Are there significant differences in organizational patterns between L1 and L2 argumentative essays produced by both English and non-English-Major students?</w:t>
      </w:r>
    </w:p>
    <w:p w14:paraId="70BB7A97">
      <w:pPr>
        <w:numPr>
          <w:ilvl w:val="0"/>
          <w:numId w:val="1"/>
        </w:numPr>
        <w:ind w:left="425" w:leftChars="0" w:hanging="425" w:firstLineChars="0"/>
        <w:jc w:val="left"/>
        <w:rPr>
          <w:rFonts w:hint="default" w:ascii="Times New Roman" w:hAnsi="Times New Roman" w:eastAsia="宋体" w:cs="Times New Roman"/>
          <w:sz w:val="24"/>
          <w:szCs w:val="32"/>
          <w:highlight w:val="none"/>
          <w:lang w:val="en-US" w:eastAsia="zh-CN"/>
        </w:rPr>
      </w:pPr>
      <w:r>
        <w:rPr>
          <w:rFonts w:hint="default" w:ascii="Times New Roman" w:hAnsi="Times New Roman" w:cs="Times New Roman"/>
          <w:sz w:val="24"/>
          <w:szCs w:val="32"/>
          <w:highlight w:val="none"/>
          <w:lang w:val="en-US" w:eastAsia="zh-CN"/>
        </w:rPr>
        <w:t>Is there any significant relationship between the quality of L1 and L2 essays written by both English-major and non-English-major students?</w:t>
      </w:r>
    </w:p>
    <w:p w14:paraId="456BE513">
      <w:pPr>
        <w:pStyle w:val="3"/>
        <w:bidi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Methodology</w:t>
      </w:r>
    </w:p>
    <w:p w14:paraId="38276D3A">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A total of 60 students from Iran participated in the study. They are 30 English major master students and 30 non English major master students (both male and female). Their first language is Persian.</w:t>
      </w:r>
      <w:r>
        <w:rPr>
          <w:rFonts w:hint="eastAsia" w:ascii="Times New Roman" w:hAnsi="Times New Roman" w:cs="Times New Roman"/>
          <w:sz w:val="24"/>
          <w:szCs w:val="32"/>
          <w:highlight w:val="none"/>
          <w:lang w:val="en-US" w:eastAsia="zh-CN"/>
        </w:rPr>
        <w:t xml:space="preserve"> </w:t>
      </w:r>
      <w:r>
        <w:rPr>
          <w:rFonts w:hint="default" w:ascii="Times New Roman" w:hAnsi="Times New Roman" w:cs="Times New Roman"/>
          <w:sz w:val="24"/>
          <w:szCs w:val="32"/>
          <w:highlight w:val="none"/>
          <w:lang w:val="en-US" w:eastAsia="zh-CN"/>
        </w:rPr>
        <w:t xml:space="preserve">This article takes 60 students’ English and Persian </w:t>
      </w:r>
      <w:r>
        <w:rPr>
          <w:rFonts w:hint="default" w:ascii="Times New Roman" w:hAnsi="Times New Roman" w:eastAsia="宋体" w:cs="Times New Roman"/>
          <w:sz w:val="24"/>
          <w:szCs w:val="32"/>
          <w:highlight w:val="none"/>
          <w:lang w:val="en-US" w:eastAsia="zh-CN"/>
        </w:rPr>
        <w:t xml:space="preserve">argumentative essays </w:t>
      </w:r>
      <w:r>
        <w:rPr>
          <w:rFonts w:hint="default" w:ascii="Times New Roman" w:hAnsi="Times New Roman" w:cs="Times New Roman"/>
          <w:sz w:val="24"/>
          <w:szCs w:val="32"/>
          <w:highlight w:val="none"/>
          <w:lang w:val="en-US" w:eastAsia="zh-CN"/>
        </w:rPr>
        <w:t xml:space="preserve">as the research samples, and carries out text analysis. The first step of the research was using the </w:t>
      </w:r>
      <w:r>
        <w:rPr>
          <w:rFonts w:hint="default" w:ascii="Times New Roman" w:hAnsi="Times New Roman" w:cs="Times New Roman"/>
          <w:sz w:val="24"/>
          <w:szCs w:val="32"/>
          <w:highlight w:val="none"/>
        </w:rPr>
        <w:t>Quick Oxford Placement Test</w:t>
      </w:r>
      <w:r>
        <w:rPr>
          <w:rFonts w:hint="default" w:ascii="Times New Roman" w:hAnsi="Times New Roman" w:cs="Times New Roman"/>
          <w:sz w:val="24"/>
          <w:szCs w:val="32"/>
          <w:highlight w:val="none"/>
          <w:lang w:val="en-US" w:eastAsia="zh-CN"/>
        </w:rPr>
        <w:t xml:space="preserve"> (</w:t>
      </w:r>
      <w:r>
        <w:rPr>
          <w:rFonts w:hint="default" w:ascii="Times New Roman" w:hAnsi="Times New Roman" w:cs="Times New Roman"/>
          <w:sz w:val="24"/>
          <w:szCs w:val="32"/>
          <w:highlight w:val="none"/>
        </w:rPr>
        <w:t>QOPT</w:t>
      </w:r>
      <w:r>
        <w:rPr>
          <w:rFonts w:hint="default" w:ascii="Times New Roman" w:hAnsi="Times New Roman" w:cs="Times New Roman"/>
          <w:sz w:val="24"/>
          <w:szCs w:val="32"/>
          <w:highlight w:val="none"/>
          <w:lang w:val="en-US" w:eastAsia="zh-CN"/>
        </w:rPr>
        <w:t xml:space="preserve">) to measure the English proficiency of 60 students before writing to assess whether reverse transfer from L2 to L1 will occur (mentioned in the ‘Data Analysis and Results Related to the First and Second Research Questions’ section of the article). However, the authors did not clearly point out the purpose of </w:t>
      </w:r>
      <w:r>
        <w:rPr>
          <w:rFonts w:hint="default" w:ascii="Times New Roman" w:hAnsi="Times New Roman" w:cs="Times New Roman"/>
          <w:sz w:val="24"/>
          <w:szCs w:val="32"/>
          <w:highlight w:val="none"/>
        </w:rPr>
        <w:t>QOPT</w:t>
      </w:r>
      <w:r>
        <w:rPr>
          <w:rFonts w:hint="default" w:ascii="Times New Roman" w:hAnsi="Times New Roman" w:cs="Times New Roman"/>
          <w:sz w:val="24"/>
          <w:szCs w:val="32"/>
          <w:highlight w:val="none"/>
          <w:lang w:val="en-US" w:eastAsia="zh-CN"/>
        </w:rPr>
        <w:t xml:space="preserve"> in the article, and in the ‘Data Analysis and Results Related to the First and Second Research Questions’ section, they did not explain that the judgment of students’ English proficiency came from </w:t>
      </w:r>
      <w:r>
        <w:rPr>
          <w:rFonts w:hint="default" w:ascii="Times New Roman" w:hAnsi="Times New Roman" w:cs="Times New Roman"/>
          <w:sz w:val="24"/>
          <w:szCs w:val="32"/>
          <w:highlight w:val="none"/>
        </w:rPr>
        <w:t>QOPT</w:t>
      </w:r>
      <w:r>
        <w:rPr>
          <w:rFonts w:hint="default" w:ascii="Times New Roman" w:hAnsi="Times New Roman" w:cs="Times New Roman"/>
          <w:sz w:val="24"/>
          <w:szCs w:val="32"/>
          <w:highlight w:val="none"/>
          <w:lang w:val="en-US" w:eastAsia="zh-CN"/>
        </w:rPr>
        <w:t>. Readers might be puzzled by the purpose of the test when reading.</w:t>
      </w:r>
    </w:p>
    <w:p w14:paraId="2000A8B7">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The second step is to use Kubota’s (1998) classification to evaluate the organization structure of their students’ essays, which is derived from the simplification of Meyer’s (1975) Basic Logical Relationships. Kubota simplified the macro-level rhetorical structure of the essay as Collection, Comparison, Explanation, Specification and Induction to distinguish the deductive and inductive structures of students’ essays. Thus, research question1, 2 and 3 were answered.</w:t>
      </w:r>
    </w:p>
    <w:p w14:paraId="071CF329">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Finally, Kubota’s Scoring Scheme for Organization (1998) is used to score the organizational structure of students’ essays. Grade the students’ essay from 5 (Excellent) to 1 (Poor) to rate its quality and answer the fourth research question.</w:t>
      </w:r>
    </w:p>
    <w:p w14:paraId="770DBE69">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In addition, the think-aloud method can be used for this research. Think-aloud is a research method that requires subjects to express their thinking process in words when performing tasks or solving problems. This method can make the subject’s thinking process explicit, which is convenient for researchers to observe and analyze. In the study of second language acquisition, thinking aloud is often used to study learners’ cognitive processes and strategies, including second language reading, writing, translation and Interlanguage Pragmatics (Liu, 2019). Using this method, the author can not only more clearly analyze the organization pattern of students’ writing, but also further analyze the students’ thinking process, so as to speculate whether the reason for adopting this organization pattern is related to reverse transfer.</w:t>
      </w:r>
      <w:r>
        <w:rPr>
          <w:rFonts w:hint="eastAsia" w:ascii="Times New Roman" w:hAnsi="Times New Roman" w:cs="Times New Roman"/>
          <w:sz w:val="24"/>
          <w:szCs w:val="32"/>
          <w:highlight w:val="none"/>
          <w:lang w:val="en-US" w:eastAsia="zh-CN"/>
        </w:rPr>
        <w:t xml:space="preserve"> However, although this method can bring more in-depth and comprehensive research results, its actual operation may be more time-consuming and costly. In the data collection stage, in order to ensure the comprehensiveness and accuracy of the data, it often needs to invest a lot of manpower, material resources and time. In the subsequent data analysis and interpretation, professional software and tools are needed. These all require additional resources, including capital, technical equipment and human resources.</w:t>
      </w:r>
    </w:p>
    <w:p w14:paraId="34CDDFA0">
      <w:pPr>
        <w:pStyle w:val="3"/>
        <w:bidi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Results and Relevance to Theory</w:t>
      </w:r>
    </w:p>
    <w:p w14:paraId="36FD607F">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 xml:space="preserve">Firstly, the main idea of students’ essays is divided into initial, middle, final, collection, and </w:t>
      </w:r>
      <w:r>
        <w:rPr>
          <w:rFonts w:hint="default" w:ascii="Times New Roman" w:hAnsi="Times New Roman" w:eastAsia="宋体" w:cs="Times New Roman"/>
          <w:sz w:val="24"/>
          <w:szCs w:val="32"/>
          <w:highlight w:val="none"/>
          <w:lang w:val="en-US" w:eastAsia="zh-CN"/>
        </w:rPr>
        <w:t>obscure</w:t>
      </w:r>
      <w:r>
        <w:rPr>
          <w:rFonts w:hint="default" w:ascii="Times New Roman" w:hAnsi="Times New Roman" w:cs="Times New Roman"/>
          <w:sz w:val="24"/>
          <w:szCs w:val="32"/>
          <w:highlight w:val="none"/>
          <w:lang w:val="en-US" w:eastAsia="zh-CN"/>
        </w:rPr>
        <w:t xml:space="preserve">; Macro-level rhetorical pattern were investigated using Kubota’s (1998) pattern classification: </w:t>
      </w:r>
      <w:r>
        <w:rPr>
          <w:rFonts w:hint="default" w:ascii="Times New Roman" w:hAnsi="Times New Roman" w:eastAsia="宋体" w:cs="Times New Roman"/>
          <w:sz w:val="24"/>
          <w:szCs w:val="32"/>
          <w:highlight w:val="none"/>
          <w:lang w:val="en-US" w:eastAsia="zh-CN"/>
        </w:rPr>
        <w:t>Collection (Col), Comparison (Comp), Explanation (Exp), Specification (Spec), Induction following Comparison (Comp→Ind) and Induction (Ind).</w:t>
      </w:r>
      <w:r>
        <w:rPr>
          <w:rFonts w:hint="default" w:ascii="Times New Roman" w:hAnsi="Times New Roman" w:cs="Times New Roman"/>
          <w:sz w:val="24"/>
          <w:szCs w:val="32"/>
          <w:highlight w:val="none"/>
          <w:lang w:val="en-US" w:eastAsia="zh-CN"/>
        </w:rPr>
        <w:t xml:space="preserve"> Only when both the position of the main idea and the macro level rhetorical pattern in the English and Persian essays of the same student are the same, can this pair of essays be regarded as “Similar”, and if there are any difference this pair of essays will be regarded as “Dissimilar”. According to this classification, the authors come to the conclusion that 63.3% of English Majors’ essays are “Similar”, and 53.3% of Non-English Majors’ essays are “Similar”. Thus, we can answer research question1 and 2: </w:t>
      </w:r>
      <w:r>
        <w:rPr>
          <w:rFonts w:hint="default" w:ascii="Times New Roman" w:hAnsi="Times New Roman" w:eastAsia="宋体" w:cs="Times New Roman"/>
          <w:sz w:val="24"/>
          <w:szCs w:val="32"/>
          <w:highlight w:val="none"/>
          <w:lang w:val="en-US" w:eastAsia="zh-CN"/>
        </w:rPr>
        <w:t xml:space="preserve">there are no significant </w:t>
      </w:r>
      <w:r>
        <w:rPr>
          <w:rFonts w:hint="default" w:ascii="Times New Roman" w:hAnsi="Times New Roman" w:cs="Times New Roman"/>
          <w:sz w:val="24"/>
          <w:szCs w:val="32"/>
          <w:highlight w:val="none"/>
          <w:lang w:val="en-US" w:eastAsia="zh-CN"/>
        </w:rPr>
        <w:t>difference in rhetorical structures within English-major and non-English-major participants in their L2 (English) and L1 (Persian) argumentative essays.</w:t>
      </w:r>
    </w:p>
    <w:p w14:paraId="0242A037">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 xml:space="preserve">At the same time, the authors find that most of the essaypairs are “Similar”, and the main sentence is located in “Initial” and written in the English writing pattern of “Explanation”, so it can be inferred that the students’ L2 (English) has a reverse transfer to L1 (Persian). Among them, 70% of the essays of English majors are “Similar”, and it is judged that the phenomenon of reverse transfer of English majors is more obvious. The reason is that when a second language learner’s L2 proficiency is high enough to pass the “Threshold Level” mentioned in Cook (2003), reverse transfer will occur. According to the </w:t>
      </w:r>
      <w:r>
        <w:rPr>
          <w:rFonts w:hint="default" w:ascii="Times New Roman" w:hAnsi="Times New Roman" w:cs="Times New Roman"/>
          <w:sz w:val="24"/>
          <w:szCs w:val="32"/>
          <w:highlight w:val="none"/>
        </w:rPr>
        <w:t>QOPT</w:t>
      </w:r>
      <w:r>
        <w:rPr>
          <w:rFonts w:hint="default" w:ascii="Times New Roman" w:hAnsi="Times New Roman" w:cs="Times New Roman"/>
          <w:sz w:val="24"/>
          <w:szCs w:val="32"/>
          <w:highlight w:val="none"/>
          <w:lang w:val="en-US" w:eastAsia="zh-CN"/>
        </w:rPr>
        <w:t xml:space="preserve"> results above, English Majors’ L2 (English) level is higher, so the reverse transfer phenomenon is more significant.</w:t>
      </w:r>
    </w:p>
    <w:p w14:paraId="2A240DF6">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To answer the third research question, the Pearson Chi-Square test of difference was run. The results showed that the English majors had X² (2, N=60) = 2.26, exact p=.429; for non English majors is cχ ² (2, N=60), p=.984 which shows that the difference between English and Persian essays is not significant in all majors.</w:t>
      </w:r>
    </w:p>
    <w:p w14:paraId="143202DD">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To answer the fourth research question, after grading the organizational structure of students’ essays from 5 (Excellent) to 1 (Poor) according to Kubota’s (1998) framework, The Pearson Product Moment Correlation test was run. The result is: English major (r=. 444, N=30, p=. 016); Non English majors (r=. 493, N=30, p=. 006, two-tailed) showed a significant positive correlation. Prove that students with higher scores in English (L2) essay have higher scores in Persian (L1) essay.</w:t>
      </w:r>
    </w:p>
    <w:p w14:paraId="78266C14">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It can be concluded from the above that the authors fully and comprehensively answered the research questions through the analysis of the research data. The results of data collection and analysis show that English majors do use the rhetorical patterns they learned in English (L2) learning in their argumentative essays in Persian, which indicates a reverse transfer occurs. This finding is consistent with the theoretical basis of the article, that is, L2 knowledge can affect the use of L1.</w:t>
      </w:r>
    </w:p>
    <w:p w14:paraId="00C087EB">
      <w:pPr>
        <w:pStyle w:val="3"/>
        <w:bidi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Conclusion</w:t>
      </w:r>
    </w:p>
    <w:p w14:paraId="5A6E2A73">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 xml:space="preserve">The logical chain of Babaii and Ramazani’s article is clear and meticulously constructed. From the initial stage of raising pertinent research questions to the subsequent steps of collecting and analyzing data, and ultimately drawing well-founded conclusions, each phase is intricately linked, forming a seamless and comprehensive empirical cycle. The authors demonstrate a rigorous approach to research, ensuring that each step builds logically upon the previous one. They meticulously outline their research objectives, carefully design their methodology to address these objectives, and systematically analyze the collected data to derive meaningful insights. This structured and coherent progression not only strengthens the validity of their findings but also enhances the readability and understandability of their article for both academic and non-academic audiences. Furthermore, their attention to detail and commitment to empirical rigor set a high standard for future research in the field of language education, particularly in exploring the </w:t>
      </w:r>
      <w:r>
        <w:rPr>
          <w:rFonts w:hint="eastAsia" w:ascii="Times New Roman" w:hAnsi="Times New Roman" w:cs="Times New Roman"/>
          <w:sz w:val="24"/>
          <w:szCs w:val="32"/>
          <w:highlight w:val="none"/>
          <w:lang w:val="en-US" w:eastAsia="zh-CN"/>
        </w:rPr>
        <w:t>reverse transfer</w:t>
      </w:r>
      <w:r>
        <w:rPr>
          <w:rFonts w:hint="default" w:ascii="Times New Roman" w:hAnsi="Times New Roman" w:cs="Times New Roman"/>
          <w:sz w:val="24"/>
          <w:szCs w:val="32"/>
          <w:highlight w:val="none"/>
          <w:lang w:val="en-US" w:eastAsia="zh-CN"/>
        </w:rPr>
        <w:t>.</w:t>
      </w:r>
    </w:p>
    <w:p w14:paraId="7D652DE3">
      <w:pPr>
        <w:ind w:firstLine="480" w:firstLineChars="200"/>
        <w:rPr>
          <w:rFonts w:hint="default" w:ascii="Times New Roman" w:hAnsi="Times New Roman" w:cs="Times New Roman"/>
          <w:sz w:val="24"/>
          <w:szCs w:val="32"/>
          <w:highlight w:val="none"/>
          <w:lang w:val="en-US" w:eastAsia="zh-CN"/>
        </w:rPr>
      </w:pPr>
      <w:r>
        <w:rPr>
          <w:rFonts w:hint="default" w:ascii="Times New Roman" w:hAnsi="Times New Roman" w:cs="Times New Roman"/>
          <w:sz w:val="24"/>
          <w:szCs w:val="32"/>
          <w:highlight w:val="none"/>
          <w:lang w:val="en-US" w:eastAsia="zh-CN"/>
        </w:rPr>
        <w:t xml:space="preserve">But there are still some limitations: First, the research subjects are relatively small in scale, as only 60 students participated in the study. This limited sample size presents a significant challenge in determining the universality of the research results. Specifically, it is difficult to ascertain whether the findings can be generalized to a larger </w:t>
      </w:r>
      <w:r>
        <w:rPr>
          <w:rFonts w:hint="eastAsia" w:ascii="Times New Roman" w:hAnsi="Times New Roman" w:cs="Times New Roman"/>
          <w:sz w:val="24"/>
          <w:szCs w:val="32"/>
          <w:highlight w:val="none"/>
          <w:lang w:val="en-US" w:eastAsia="zh-CN"/>
        </w:rPr>
        <w:t xml:space="preserve">sample </w:t>
      </w:r>
      <w:r>
        <w:rPr>
          <w:rFonts w:hint="default" w:ascii="Times New Roman" w:hAnsi="Times New Roman" w:cs="Times New Roman"/>
          <w:sz w:val="24"/>
          <w:szCs w:val="32"/>
          <w:highlight w:val="none"/>
          <w:lang w:val="en-US" w:eastAsia="zh-CN"/>
        </w:rPr>
        <w:t>or whether they are merely reflective of the unique characteristics of the 60 students studied. Consequently, there remains uncertainty regarding whether the reverse transfer phenomenon, which was observed in this research, is a common occurrence among all second language learners. Further studies with larger and more diverse samples are necessary to validate the findings and establish the prevalence of this phenomenon across different learner groups.</w:t>
      </w:r>
      <w:r>
        <w:rPr>
          <w:rFonts w:hint="eastAsia" w:ascii="Times New Roman" w:hAnsi="Times New Roman" w:cs="Times New Roman"/>
          <w:sz w:val="24"/>
          <w:szCs w:val="32"/>
          <w:highlight w:val="none"/>
          <w:lang w:val="en-US" w:eastAsia="zh-CN"/>
        </w:rPr>
        <w:t xml:space="preserve"> </w:t>
      </w:r>
      <w:r>
        <w:rPr>
          <w:rFonts w:hint="default" w:ascii="Times New Roman" w:hAnsi="Times New Roman" w:cs="Times New Roman"/>
          <w:sz w:val="24"/>
          <w:szCs w:val="32"/>
          <w:highlight w:val="none"/>
          <w:lang w:val="en-US" w:eastAsia="zh-CN"/>
        </w:rPr>
        <w:t>Second, the research subjects of the article are divided into English majors and non-English majors, but the significa</w:t>
      </w:r>
      <w:bookmarkStart w:id="0" w:name="_GoBack"/>
      <w:bookmarkEnd w:id="0"/>
      <w:r>
        <w:rPr>
          <w:rFonts w:hint="default" w:ascii="Times New Roman" w:hAnsi="Times New Roman" w:cs="Times New Roman"/>
          <w:sz w:val="24"/>
          <w:szCs w:val="32"/>
          <w:highlight w:val="none"/>
          <w:lang w:val="en-US" w:eastAsia="zh-CN"/>
        </w:rPr>
        <w:t>nce of distinguishing majors is not explained in the article. Maybe according to the results of this study, the phenomenon of reverse transfer of English majors is more significant, and some teaching strategies for English majors can be formulated by using the potential positive impact of L2 writing education on L1 writing skills</w:t>
      </w:r>
      <w:r>
        <w:rPr>
          <w:rFonts w:hint="eastAsia" w:ascii="Times New Roman" w:hAnsi="Times New Roman" w:cs="Times New Roman"/>
          <w:sz w:val="24"/>
          <w:szCs w:val="32"/>
          <w:highlight w:val="none"/>
          <w:lang w:val="en-US" w:eastAsia="zh-CN"/>
        </w:rPr>
        <w:t xml:space="preserve">. Third, it is worth noting that the current research methods and result are mainly limited to the argumentative essays, and it is still unable to draw a clear conclusion about whether it is the same research data in other styles such as novels, prose, poetry and so on. Since argumentative writing is a style with logic and argumentation as its core, may be characterized by some research methods or conclusions. However, when the author turn their attention to other literary styles, due to their unique language style, narrative style and aesthetic pursuit, whether these methods or conclusions are still applicable and whether they will produce the same effect are issues worthy of our in-depth study and discussion. </w:t>
      </w:r>
    </w:p>
    <w:p w14:paraId="62009B8C">
      <w:pPr>
        <w:pStyle w:val="3"/>
        <w:bidi w:val="0"/>
        <w:rPr>
          <w:rFonts w:hint="default" w:ascii="Times New Roman" w:hAnsi="Times New Roman" w:eastAsia="宋体" w:cs="Times New Roman"/>
          <w:highlight w:val="none"/>
          <w:lang w:val="en-US" w:eastAsia="zh-CN"/>
        </w:rPr>
      </w:pPr>
      <w:r>
        <w:rPr>
          <w:rFonts w:hint="default" w:ascii="Times New Roman" w:hAnsi="Times New Roman" w:eastAsia="宋体" w:cs="Times New Roman"/>
          <w:highlight w:val="none"/>
          <w:lang w:val="en-US" w:eastAsia="zh-CN"/>
        </w:rPr>
        <w:t>References</w:t>
      </w:r>
    </w:p>
    <w:p w14:paraId="10C4F446">
      <w:pPr>
        <w:keepNext w:val="0"/>
        <w:keepLines w:val="0"/>
        <w:widowControl/>
        <w:suppressLineNumbers w:val="0"/>
        <w:spacing w:line="240" w:lineRule="auto"/>
        <w:ind w:firstLine="400" w:firstLineChars="200"/>
        <w:jc w:val="both"/>
        <w:rPr>
          <w:rFonts w:hint="default" w:ascii="Times New Roman" w:hAnsi="Times New Roman" w:eastAsia="宋体" w:cs="Times New Roman"/>
          <w:color w:val="000000"/>
          <w:kern w:val="0"/>
          <w:sz w:val="20"/>
          <w:szCs w:val="20"/>
          <w:highlight w:val="none"/>
          <w:lang w:val="en-US" w:eastAsia="zh-CN" w:bidi="ar"/>
        </w:rPr>
      </w:pPr>
      <w:r>
        <w:rPr>
          <w:rFonts w:hint="default" w:ascii="Times New Roman" w:hAnsi="Times New Roman" w:eastAsia="宋体" w:cs="Times New Roman"/>
          <w:color w:val="000000"/>
          <w:kern w:val="0"/>
          <w:sz w:val="20"/>
          <w:szCs w:val="20"/>
          <w:highlight w:val="none"/>
          <w:lang w:val="en-US" w:eastAsia="zh-CN" w:bidi="ar"/>
        </w:rPr>
        <w:t xml:space="preserve">Babaii, E., &amp; Ramazani, K. (2017). ‘Reverse Transfer: Exploring the Effects of Foreign Language Rhetorical Patterns on L1 Writing Performance of Iranian EFL Learners’, </w:t>
      </w:r>
      <w:r>
        <w:rPr>
          <w:rFonts w:hint="default" w:ascii="Times New Roman" w:hAnsi="Times New Roman" w:eastAsia="宋体" w:cs="Times New Roman"/>
          <w:i/>
          <w:iCs/>
          <w:color w:val="000000"/>
          <w:kern w:val="0"/>
          <w:sz w:val="20"/>
          <w:szCs w:val="20"/>
          <w:highlight w:val="none"/>
          <w:lang w:val="en-US" w:eastAsia="zh-CN" w:bidi="ar"/>
        </w:rPr>
        <w:t>RELC Journal</w:t>
      </w:r>
      <w:r>
        <w:rPr>
          <w:rFonts w:hint="default" w:ascii="Times New Roman" w:hAnsi="Times New Roman" w:eastAsia="宋体" w:cs="Times New Roman"/>
          <w:color w:val="000000"/>
          <w:kern w:val="0"/>
          <w:sz w:val="20"/>
          <w:szCs w:val="20"/>
          <w:highlight w:val="none"/>
          <w:lang w:val="en-US" w:eastAsia="zh-CN" w:bidi="ar"/>
        </w:rPr>
        <w:t xml:space="preserve">, 48(3), 341-356. </w:t>
      </w:r>
      <w:r>
        <w:rPr>
          <w:rFonts w:hint="default" w:ascii="Times New Roman" w:hAnsi="Times New Roman" w:eastAsia="宋体" w:cs="Times New Roman"/>
          <w:color w:val="000000"/>
          <w:kern w:val="0"/>
          <w:sz w:val="20"/>
          <w:szCs w:val="20"/>
          <w:highlight w:val="none"/>
          <w:lang w:val="en-US" w:eastAsia="zh-CN" w:bidi="ar"/>
        </w:rPr>
        <w:fldChar w:fldCharType="begin"/>
      </w:r>
      <w:r>
        <w:rPr>
          <w:rFonts w:hint="default" w:ascii="Times New Roman" w:hAnsi="Times New Roman" w:eastAsia="宋体" w:cs="Times New Roman"/>
          <w:color w:val="000000"/>
          <w:kern w:val="0"/>
          <w:sz w:val="20"/>
          <w:szCs w:val="20"/>
          <w:highlight w:val="none"/>
          <w:lang w:val="en-US" w:eastAsia="zh-CN" w:bidi="ar"/>
        </w:rPr>
        <w:instrText xml:space="preserve"> HYPERLINK "https://doi.org/10.1177/0033688216687456" </w:instrText>
      </w:r>
      <w:r>
        <w:rPr>
          <w:rFonts w:hint="default" w:ascii="Times New Roman" w:hAnsi="Times New Roman" w:eastAsia="宋体" w:cs="Times New Roman"/>
          <w:color w:val="000000"/>
          <w:kern w:val="0"/>
          <w:sz w:val="20"/>
          <w:szCs w:val="20"/>
          <w:highlight w:val="none"/>
          <w:lang w:val="en-US" w:eastAsia="zh-CN" w:bidi="ar"/>
        </w:rPr>
        <w:fldChar w:fldCharType="separate"/>
      </w:r>
      <w:r>
        <w:rPr>
          <w:rStyle w:val="6"/>
          <w:rFonts w:hint="default" w:ascii="Times New Roman" w:hAnsi="Times New Roman" w:eastAsia="宋体" w:cs="Times New Roman"/>
          <w:kern w:val="0"/>
          <w:sz w:val="20"/>
          <w:szCs w:val="20"/>
          <w:highlight w:val="none"/>
          <w:lang w:val="en-US" w:eastAsia="zh-CN" w:bidi="ar"/>
        </w:rPr>
        <w:t>https://doi.org/10.1177/0033688216687456</w:t>
      </w:r>
      <w:r>
        <w:rPr>
          <w:rFonts w:hint="default" w:ascii="Times New Roman" w:hAnsi="Times New Roman" w:eastAsia="宋体" w:cs="Times New Roman"/>
          <w:color w:val="000000"/>
          <w:kern w:val="0"/>
          <w:sz w:val="20"/>
          <w:szCs w:val="20"/>
          <w:highlight w:val="none"/>
          <w:lang w:val="en-US" w:eastAsia="zh-CN" w:bidi="ar"/>
        </w:rPr>
        <w:fldChar w:fldCharType="end"/>
      </w:r>
    </w:p>
    <w:p w14:paraId="0166BECA">
      <w:pPr>
        <w:keepNext w:val="0"/>
        <w:keepLines w:val="0"/>
        <w:widowControl/>
        <w:suppressLineNumbers w:val="0"/>
        <w:spacing w:line="240" w:lineRule="auto"/>
        <w:ind w:firstLine="400" w:firstLineChars="200"/>
        <w:jc w:val="both"/>
        <w:rPr>
          <w:rFonts w:hint="default" w:ascii="Times New Roman" w:hAnsi="Times New Roman" w:eastAsia="宋体" w:cs="Times New Roman"/>
          <w:color w:val="000000"/>
          <w:kern w:val="0"/>
          <w:sz w:val="20"/>
          <w:szCs w:val="20"/>
          <w:highlight w:val="none"/>
          <w:lang w:val="en-US" w:eastAsia="zh-CN" w:bidi="ar"/>
        </w:rPr>
      </w:pPr>
      <w:r>
        <w:rPr>
          <w:rFonts w:hint="default" w:ascii="Times New Roman" w:hAnsi="Times New Roman" w:eastAsia="宋体" w:cs="Times New Roman"/>
          <w:color w:val="000000"/>
          <w:kern w:val="0"/>
          <w:sz w:val="20"/>
          <w:szCs w:val="20"/>
          <w:highlight w:val="none"/>
          <w:lang w:val="en-US" w:eastAsia="zh-CN" w:bidi="ar"/>
        </w:rPr>
        <w:t xml:space="preserve">Connor U (2004) ‘Intercultural rhetorical research: beyond texts’, </w:t>
      </w:r>
      <w:r>
        <w:rPr>
          <w:rFonts w:hint="default" w:ascii="Times New Roman" w:hAnsi="Times New Roman" w:eastAsia="TimesNewRomanPS-ItalicMT" w:cs="Times New Roman"/>
          <w:i/>
          <w:iCs/>
          <w:color w:val="000000"/>
          <w:kern w:val="0"/>
          <w:sz w:val="20"/>
          <w:szCs w:val="20"/>
          <w:highlight w:val="none"/>
          <w:lang w:val="en-US" w:eastAsia="zh-CN" w:bidi="ar"/>
        </w:rPr>
        <w:t>Journal of English for Academic Purposes</w:t>
      </w:r>
      <w:r>
        <w:rPr>
          <w:rFonts w:hint="default" w:ascii="Times New Roman" w:hAnsi="Times New Roman" w:eastAsia="宋体" w:cs="Times New Roman"/>
          <w:color w:val="000000"/>
          <w:kern w:val="0"/>
          <w:sz w:val="20"/>
          <w:szCs w:val="20"/>
          <w:highlight w:val="none"/>
          <w:lang w:val="en-US" w:eastAsia="zh-CN" w:bidi="ar"/>
        </w:rPr>
        <w:t xml:space="preserve"> 3(4): 291–304.</w:t>
      </w:r>
    </w:p>
    <w:p w14:paraId="58B4931A">
      <w:pPr>
        <w:keepNext w:val="0"/>
        <w:keepLines w:val="0"/>
        <w:widowControl/>
        <w:suppressLineNumbers w:val="0"/>
        <w:spacing w:line="240" w:lineRule="auto"/>
        <w:ind w:firstLine="400" w:firstLineChars="200"/>
        <w:jc w:val="both"/>
        <w:rPr>
          <w:rFonts w:hint="default" w:ascii="Times New Roman" w:hAnsi="Times New Roman" w:cs="Times New Roman"/>
          <w:sz w:val="20"/>
          <w:szCs w:val="20"/>
          <w:highlight w:val="none"/>
        </w:rPr>
      </w:pPr>
      <w:r>
        <w:rPr>
          <w:rFonts w:hint="default" w:ascii="Times New Roman" w:hAnsi="Times New Roman" w:eastAsia="宋体" w:cs="Times New Roman"/>
          <w:color w:val="000000"/>
          <w:kern w:val="0"/>
          <w:sz w:val="20"/>
          <w:szCs w:val="20"/>
          <w:highlight w:val="none"/>
          <w:lang w:val="en-US" w:eastAsia="zh-CN" w:bidi="ar"/>
        </w:rPr>
        <w:t xml:space="preserve">Cook V (2003) ‘Introduction: the changing L1 in the L2 user’s mind. In Cook V’, (ed.) </w:t>
      </w:r>
      <w:r>
        <w:rPr>
          <w:rFonts w:hint="default" w:ascii="Times New Roman" w:hAnsi="Times New Roman" w:eastAsia="TimesNewRomanPS-ItalicMT" w:cs="Times New Roman"/>
          <w:i/>
          <w:iCs/>
          <w:color w:val="000000"/>
          <w:kern w:val="0"/>
          <w:sz w:val="20"/>
          <w:szCs w:val="20"/>
          <w:highlight w:val="none"/>
          <w:lang w:val="en-US" w:eastAsia="zh-CN" w:bidi="ar"/>
        </w:rPr>
        <w:t>Effects of the Second Language on the First</w:t>
      </w:r>
      <w:r>
        <w:rPr>
          <w:rFonts w:hint="default" w:ascii="Times New Roman" w:hAnsi="Times New Roman" w:eastAsia="宋体" w:cs="Times New Roman"/>
          <w:color w:val="000000"/>
          <w:kern w:val="0"/>
          <w:sz w:val="20"/>
          <w:szCs w:val="20"/>
          <w:highlight w:val="none"/>
          <w:lang w:val="en-US" w:eastAsia="zh-CN" w:bidi="ar"/>
        </w:rPr>
        <w:t>. Clevedon: Multilingual Matters, 1–6. Available at: http://dx.doi.org/10.1017/cbo9780511806766.003</w:t>
      </w:r>
    </w:p>
    <w:p w14:paraId="588F7914">
      <w:pPr>
        <w:keepNext w:val="0"/>
        <w:keepLines w:val="0"/>
        <w:widowControl/>
        <w:suppressLineNumbers w:val="0"/>
        <w:spacing w:line="240" w:lineRule="auto"/>
        <w:ind w:firstLine="400" w:firstLineChars="200"/>
        <w:jc w:val="both"/>
        <w:rPr>
          <w:rFonts w:hint="default" w:ascii="Times New Roman" w:hAnsi="Times New Roman" w:cs="Times New Roman"/>
          <w:sz w:val="20"/>
          <w:szCs w:val="20"/>
          <w:highlight w:val="none"/>
        </w:rPr>
      </w:pPr>
      <w:r>
        <w:rPr>
          <w:rFonts w:hint="default" w:ascii="Times New Roman" w:hAnsi="Times New Roman" w:eastAsia="宋体" w:cs="Times New Roman"/>
          <w:color w:val="000000"/>
          <w:kern w:val="0"/>
          <w:sz w:val="20"/>
          <w:szCs w:val="20"/>
          <w:highlight w:val="none"/>
          <w:lang w:val="en-US" w:eastAsia="zh-CN" w:bidi="ar"/>
        </w:rPr>
        <w:t xml:space="preserve">Kubota R (1998) ‘An investigation of Japanese and English L1 essay organization: differences and similarities’, </w:t>
      </w:r>
      <w:r>
        <w:rPr>
          <w:rFonts w:hint="default" w:ascii="Times New Roman" w:hAnsi="Times New Roman" w:eastAsia="TimesNewRomanPS-ItalicMT" w:cs="Times New Roman"/>
          <w:i/>
          <w:iCs/>
          <w:color w:val="000000"/>
          <w:kern w:val="0"/>
          <w:sz w:val="20"/>
          <w:szCs w:val="20"/>
          <w:highlight w:val="none"/>
          <w:lang w:val="en-US" w:eastAsia="zh-CN" w:bidi="ar"/>
        </w:rPr>
        <w:t>The Canadian Modern Language Review</w:t>
      </w:r>
      <w:r>
        <w:rPr>
          <w:rFonts w:hint="default" w:ascii="Times New Roman" w:hAnsi="Times New Roman" w:eastAsia="宋体" w:cs="Times New Roman"/>
          <w:color w:val="000000"/>
          <w:kern w:val="0"/>
          <w:sz w:val="20"/>
          <w:szCs w:val="20"/>
          <w:highlight w:val="none"/>
          <w:lang w:val="en-US" w:eastAsia="zh-CN" w:bidi="ar"/>
        </w:rPr>
        <w:t xml:space="preserve"> 54(4). DOI: 10.3138/cmlr.54.4.475 </w:t>
      </w:r>
    </w:p>
    <w:p w14:paraId="11A31C9E">
      <w:pPr>
        <w:keepNext w:val="0"/>
        <w:keepLines w:val="0"/>
        <w:widowControl/>
        <w:suppressLineNumbers w:val="0"/>
        <w:spacing w:line="240" w:lineRule="auto"/>
        <w:ind w:firstLine="400" w:firstLineChars="200"/>
        <w:jc w:val="both"/>
        <w:rPr>
          <w:rFonts w:hint="default" w:ascii="Times New Roman" w:hAnsi="Times New Roman" w:eastAsia="宋体" w:cs="Times New Roman"/>
          <w:color w:val="000000"/>
          <w:kern w:val="0"/>
          <w:sz w:val="20"/>
          <w:szCs w:val="20"/>
          <w:highlight w:val="none"/>
          <w:lang w:val="en-US" w:eastAsia="zh-CN" w:bidi="ar"/>
        </w:rPr>
      </w:pPr>
      <w:r>
        <w:rPr>
          <w:rFonts w:hint="default" w:ascii="Times New Roman" w:hAnsi="Times New Roman" w:eastAsia="宋体" w:cs="Times New Roman"/>
          <w:color w:val="000000"/>
          <w:kern w:val="0"/>
          <w:sz w:val="20"/>
          <w:szCs w:val="20"/>
          <w:highlight w:val="none"/>
          <w:lang w:val="en-US" w:eastAsia="zh-CN" w:bidi="ar"/>
        </w:rPr>
        <w:t xml:space="preserve">Kubota R (1998) ‘An investigation of L1–L2transfer in writing among Japanese university students: implications for contrastive rhetoric’, </w:t>
      </w:r>
      <w:r>
        <w:rPr>
          <w:rFonts w:hint="default" w:ascii="Times New Roman" w:hAnsi="Times New Roman" w:eastAsia="TimesNewRomanPS-ItalicMT" w:cs="Times New Roman"/>
          <w:i/>
          <w:iCs/>
          <w:color w:val="000000"/>
          <w:kern w:val="0"/>
          <w:sz w:val="20"/>
          <w:szCs w:val="20"/>
          <w:highlight w:val="none"/>
          <w:lang w:val="en-US" w:eastAsia="zh-CN" w:bidi="ar"/>
        </w:rPr>
        <w:t>Journal of Second Language Writing</w:t>
      </w:r>
      <w:r>
        <w:rPr>
          <w:rFonts w:hint="default" w:ascii="Times New Roman" w:hAnsi="Times New Roman" w:eastAsia="宋体" w:cs="Times New Roman"/>
          <w:color w:val="000000"/>
          <w:kern w:val="0"/>
          <w:sz w:val="20"/>
          <w:szCs w:val="20"/>
          <w:highlight w:val="none"/>
          <w:lang w:val="en-US" w:eastAsia="zh-CN" w:bidi="ar"/>
        </w:rPr>
        <w:t xml:space="preserve"> 7(1): 69–100.</w:t>
      </w:r>
    </w:p>
    <w:p w14:paraId="4CC2BEEB">
      <w:pPr>
        <w:keepNext w:val="0"/>
        <w:keepLines w:val="0"/>
        <w:widowControl/>
        <w:suppressLineNumbers w:val="0"/>
        <w:spacing w:line="240" w:lineRule="auto"/>
        <w:ind w:firstLine="400" w:firstLineChars="200"/>
        <w:jc w:val="both"/>
        <w:rPr>
          <w:rFonts w:hint="default" w:ascii="Times New Roman" w:hAnsi="Times New Roman" w:eastAsia="宋体" w:cs="Times New Roman"/>
          <w:color w:val="000000"/>
          <w:kern w:val="0"/>
          <w:sz w:val="20"/>
          <w:szCs w:val="20"/>
          <w:highlight w:val="none"/>
          <w:lang w:val="en-US" w:eastAsia="zh-CN" w:bidi="ar"/>
        </w:rPr>
      </w:pPr>
      <w:r>
        <w:rPr>
          <w:rFonts w:hint="default" w:ascii="Times New Roman" w:hAnsi="Times New Roman" w:eastAsia="宋体" w:cs="Times New Roman"/>
          <w:color w:val="000000"/>
          <w:kern w:val="0"/>
          <w:sz w:val="20"/>
          <w:szCs w:val="20"/>
          <w:highlight w:val="none"/>
          <w:lang w:val="en-US" w:eastAsia="zh-CN" w:bidi="ar"/>
        </w:rPr>
        <w:t xml:space="preserve">Kubota R, Lehner A (2004) ‘Toward critical contrastive rhetoric [Electronic version]. Journal of Second Language Writing’, 13(1): 7–27. Available at: </w:t>
      </w:r>
      <w:r>
        <w:rPr>
          <w:rFonts w:hint="default" w:ascii="Times New Roman" w:hAnsi="Times New Roman" w:eastAsia="宋体" w:cs="Times New Roman"/>
          <w:color w:val="000000"/>
          <w:kern w:val="0"/>
          <w:sz w:val="20"/>
          <w:szCs w:val="20"/>
          <w:highlight w:val="none"/>
          <w:lang w:val="en-US" w:eastAsia="zh-CN" w:bidi="ar"/>
        </w:rPr>
        <w:fldChar w:fldCharType="begin"/>
      </w:r>
      <w:r>
        <w:rPr>
          <w:rFonts w:hint="default" w:ascii="Times New Roman" w:hAnsi="Times New Roman" w:eastAsia="宋体" w:cs="Times New Roman"/>
          <w:color w:val="000000"/>
          <w:kern w:val="0"/>
          <w:sz w:val="20"/>
          <w:szCs w:val="20"/>
          <w:highlight w:val="none"/>
          <w:lang w:val="en-US" w:eastAsia="zh-CN" w:bidi="ar"/>
        </w:rPr>
        <w:instrText xml:space="preserve"> HYPERLINK "http://dx.doi.org/10.1016/j.jslw.2004.04.003" </w:instrText>
      </w:r>
      <w:r>
        <w:rPr>
          <w:rFonts w:hint="default" w:ascii="Times New Roman" w:hAnsi="Times New Roman" w:eastAsia="宋体" w:cs="Times New Roman"/>
          <w:color w:val="000000"/>
          <w:kern w:val="0"/>
          <w:sz w:val="20"/>
          <w:szCs w:val="20"/>
          <w:highlight w:val="none"/>
          <w:lang w:val="en-US" w:eastAsia="zh-CN" w:bidi="ar"/>
        </w:rPr>
        <w:fldChar w:fldCharType="separate"/>
      </w:r>
      <w:r>
        <w:rPr>
          <w:rStyle w:val="6"/>
          <w:rFonts w:hint="default" w:ascii="Times New Roman" w:hAnsi="Times New Roman" w:eastAsia="宋体" w:cs="Times New Roman"/>
          <w:kern w:val="0"/>
          <w:sz w:val="20"/>
          <w:szCs w:val="20"/>
          <w:highlight w:val="none"/>
          <w:lang w:val="en-US" w:eastAsia="zh-CN" w:bidi="ar"/>
        </w:rPr>
        <w:t>http://dx.doi.org/10.1016/j.jslw.2004.04.003</w:t>
      </w:r>
      <w:r>
        <w:rPr>
          <w:rFonts w:hint="default" w:ascii="Times New Roman" w:hAnsi="Times New Roman" w:eastAsia="宋体" w:cs="Times New Roman"/>
          <w:color w:val="000000"/>
          <w:kern w:val="0"/>
          <w:sz w:val="20"/>
          <w:szCs w:val="20"/>
          <w:highlight w:val="none"/>
          <w:lang w:val="en-US" w:eastAsia="zh-CN" w:bidi="ar"/>
        </w:rPr>
        <w:fldChar w:fldCharType="end"/>
      </w:r>
    </w:p>
    <w:p w14:paraId="0E27F035">
      <w:pPr>
        <w:keepNext w:val="0"/>
        <w:keepLines w:val="0"/>
        <w:widowControl/>
        <w:suppressLineNumbers w:val="0"/>
        <w:spacing w:line="240" w:lineRule="auto"/>
        <w:ind w:firstLine="400" w:firstLineChars="200"/>
        <w:jc w:val="both"/>
        <w:rPr>
          <w:rFonts w:hint="default" w:ascii="Times New Roman" w:hAnsi="Times New Roman" w:cs="Times New Roman"/>
          <w:i/>
          <w:iCs/>
          <w:sz w:val="20"/>
          <w:szCs w:val="20"/>
          <w:highlight w:val="none"/>
          <w:lang w:val="en-US" w:eastAsia="zh-CN"/>
        </w:rPr>
      </w:pPr>
      <w:r>
        <w:rPr>
          <w:rFonts w:hint="default" w:ascii="Times New Roman" w:hAnsi="Times New Roman" w:cs="Times New Roman"/>
          <w:sz w:val="20"/>
          <w:szCs w:val="20"/>
          <w:highlight w:val="none"/>
          <w:lang w:val="en-US" w:eastAsia="zh-CN"/>
        </w:rPr>
        <w:t xml:space="preserve">Liu, T. T. (2019) ‘Think-Aloud Protocols and Stimulated Recall in Mixed Methods Research—Based on the Oral Report Data from Language Learning’ </w:t>
      </w:r>
      <w:r>
        <w:rPr>
          <w:rFonts w:hint="default" w:ascii="Times New Roman" w:hAnsi="Times New Roman" w:cs="Times New Roman"/>
          <w:i/>
          <w:iCs/>
          <w:sz w:val="20"/>
          <w:szCs w:val="20"/>
          <w:highlight w:val="none"/>
          <w:lang w:val="en-US" w:eastAsia="zh-CN"/>
        </w:rPr>
        <w:t>Journal of Henan Normal University(Philosophy and Social Sciences Edition)</w:t>
      </w:r>
      <w:r>
        <w:rPr>
          <w:rFonts w:hint="default" w:ascii="Times New Roman" w:hAnsi="Times New Roman" w:cs="Times New Roman"/>
          <w:i w:val="0"/>
          <w:iCs w:val="0"/>
          <w:sz w:val="20"/>
          <w:szCs w:val="20"/>
          <w:highlight w:val="none"/>
          <w:lang w:val="en-US" w:eastAsia="zh-CN"/>
        </w:rPr>
        <w:t>,</w:t>
      </w:r>
      <w:r>
        <w:rPr>
          <w:rFonts w:hint="default" w:ascii="Times New Roman" w:hAnsi="Times New Roman" w:cs="Times New Roman"/>
          <w:i w:val="0"/>
          <w:iCs w:val="0"/>
          <w:sz w:val="20"/>
          <w:szCs w:val="20"/>
          <w:highlight w:val="none"/>
          <w:lang w:val="en-US" w:eastAsia="zh-CN"/>
        </w:rPr>
        <w:t xml:space="preserve"> </w:t>
      </w:r>
      <w:r>
        <w:rPr>
          <w:rFonts w:hint="default" w:ascii="Times New Roman" w:hAnsi="Times New Roman" w:cs="Times New Roman"/>
          <w:sz w:val="20"/>
          <w:szCs w:val="20"/>
          <w:highlight w:val="none"/>
          <w:lang w:val="en-US" w:eastAsia="zh-CN"/>
        </w:rPr>
        <w:t>46(03):121-126.DOI:10.16366/j.cnki.1000-2359.2019.03.017.</w:t>
      </w:r>
    </w:p>
    <w:p w14:paraId="2BA99DAF">
      <w:pPr>
        <w:keepNext w:val="0"/>
        <w:keepLines w:val="0"/>
        <w:widowControl/>
        <w:suppressLineNumbers w:val="0"/>
        <w:spacing w:line="240" w:lineRule="auto"/>
        <w:ind w:firstLine="400" w:firstLineChars="200"/>
        <w:jc w:val="both"/>
        <w:rPr>
          <w:rFonts w:hint="default" w:ascii="Times New Roman" w:hAnsi="Times New Roman" w:eastAsia="宋体" w:cs="Times New Roman"/>
          <w:color w:val="000000"/>
          <w:kern w:val="0"/>
          <w:sz w:val="20"/>
          <w:szCs w:val="20"/>
          <w:highlight w:val="none"/>
          <w:lang w:val="en-US" w:eastAsia="zh-CN" w:bidi="ar"/>
        </w:rPr>
      </w:pPr>
      <w:r>
        <w:rPr>
          <w:rFonts w:hint="default" w:ascii="Times New Roman" w:hAnsi="Times New Roman" w:eastAsia="宋体" w:cs="Times New Roman"/>
          <w:color w:val="000000"/>
          <w:kern w:val="0"/>
          <w:sz w:val="20"/>
          <w:szCs w:val="20"/>
          <w:highlight w:val="none"/>
          <w:lang w:val="en-US" w:eastAsia="zh-CN" w:bidi="ar"/>
        </w:rPr>
        <w:t xml:space="preserve">Meyer BJF (1975) ‘Identification of the structure of prose and its implications for the study of reading and memory’, </w:t>
      </w:r>
      <w:r>
        <w:rPr>
          <w:rFonts w:hint="default" w:ascii="Times New Roman" w:hAnsi="Times New Roman" w:eastAsia="TimesNewRomanPS-ItalicMT" w:cs="Times New Roman"/>
          <w:i/>
          <w:iCs/>
          <w:color w:val="000000"/>
          <w:kern w:val="0"/>
          <w:sz w:val="20"/>
          <w:szCs w:val="20"/>
          <w:highlight w:val="none"/>
          <w:lang w:val="en-US" w:eastAsia="zh-CN" w:bidi="ar"/>
        </w:rPr>
        <w:t>Journal of Reading Behavior</w:t>
      </w:r>
      <w:r>
        <w:rPr>
          <w:rFonts w:hint="default" w:ascii="Times New Roman" w:hAnsi="Times New Roman" w:eastAsia="宋体" w:cs="Times New Roman"/>
          <w:color w:val="000000"/>
          <w:kern w:val="0"/>
          <w:sz w:val="20"/>
          <w:szCs w:val="20"/>
          <w:highlight w:val="none"/>
          <w:lang w:val="en-US" w:eastAsia="zh-CN" w:bidi="ar"/>
        </w:rPr>
        <w:t xml:space="preserve"> 2(1): 7–47. DOI: 10.1.1.948.5141&amp;rep=rep1</w:t>
      </w:r>
    </w:p>
    <w:p w14:paraId="47DCE572">
      <w:pPr>
        <w:rPr>
          <w:rFonts w:hint="default" w:ascii="Times New Roman" w:hAnsi="Times New Roman" w:eastAsia="宋体" w:cs="Times New Roman"/>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illSansStd-Itali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imesNewRomanPS-ItalicMT">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DY3">
    <w:altName w:val="Segoe Print"/>
    <w:panose1 w:val="00000000000000000000"/>
    <w:charset w:val="00"/>
    <w:family w:val="auto"/>
    <w:pitch w:val="default"/>
    <w:sig w:usb0="00000000" w:usb1="00000000" w:usb2="00000000" w:usb3="00000000" w:csb0="00000000" w:csb1="00000000"/>
  </w:font>
  <w:font w:name="DY1">
    <w:altName w:val="Segoe Print"/>
    <w:panose1 w:val="00000000000000000000"/>
    <w:charset w:val="00"/>
    <w:family w:val="auto"/>
    <w:pitch w:val="default"/>
    <w:sig w:usb0="00000000" w:usb1="00000000" w:usb2="00000000" w:usb3="00000000" w:csb0="00000000" w:csb1="00000000"/>
  </w:font>
  <w:font w:name="DY286">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5D0843"/>
    <w:multiLevelType w:val="singleLevel"/>
    <w:tmpl w:val="B85D084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6F0F41"/>
    <w:rsid w:val="00917EE0"/>
    <w:rsid w:val="01235D78"/>
    <w:rsid w:val="019D0CA8"/>
    <w:rsid w:val="03092820"/>
    <w:rsid w:val="034734AC"/>
    <w:rsid w:val="037A38B6"/>
    <w:rsid w:val="03A709B8"/>
    <w:rsid w:val="03EC6E3C"/>
    <w:rsid w:val="042F0D5E"/>
    <w:rsid w:val="0476465F"/>
    <w:rsid w:val="05FB6326"/>
    <w:rsid w:val="06C61153"/>
    <w:rsid w:val="08000695"/>
    <w:rsid w:val="088067E0"/>
    <w:rsid w:val="08BC1910"/>
    <w:rsid w:val="0954187A"/>
    <w:rsid w:val="09A96EC6"/>
    <w:rsid w:val="0A1E5B7A"/>
    <w:rsid w:val="0AC1316D"/>
    <w:rsid w:val="0AEC07AE"/>
    <w:rsid w:val="0B731E0E"/>
    <w:rsid w:val="0B7F27B0"/>
    <w:rsid w:val="0BA650B0"/>
    <w:rsid w:val="0BB91243"/>
    <w:rsid w:val="0E292B42"/>
    <w:rsid w:val="0F413198"/>
    <w:rsid w:val="0F723C8C"/>
    <w:rsid w:val="112278CE"/>
    <w:rsid w:val="113A4709"/>
    <w:rsid w:val="118934CC"/>
    <w:rsid w:val="11C71CC7"/>
    <w:rsid w:val="133E7680"/>
    <w:rsid w:val="146A5459"/>
    <w:rsid w:val="14EF71DD"/>
    <w:rsid w:val="15231EF5"/>
    <w:rsid w:val="169A7713"/>
    <w:rsid w:val="16E8757C"/>
    <w:rsid w:val="17855963"/>
    <w:rsid w:val="178E5A16"/>
    <w:rsid w:val="18267CA4"/>
    <w:rsid w:val="18F82C20"/>
    <w:rsid w:val="191044B0"/>
    <w:rsid w:val="1ABC044C"/>
    <w:rsid w:val="1AD2350B"/>
    <w:rsid w:val="1B081888"/>
    <w:rsid w:val="1B8C6A8E"/>
    <w:rsid w:val="1D077978"/>
    <w:rsid w:val="1E082193"/>
    <w:rsid w:val="1FD9384E"/>
    <w:rsid w:val="22772BC1"/>
    <w:rsid w:val="237B37B0"/>
    <w:rsid w:val="238E68DC"/>
    <w:rsid w:val="23A43526"/>
    <w:rsid w:val="24701082"/>
    <w:rsid w:val="24D87664"/>
    <w:rsid w:val="24EE628D"/>
    <w:rsid w:val="2573204F"/>
    <w:rsid w:val="26A440C8"/>
    <w:rsid w:val="26FB3F37"/>
    <w:rsid w:val="28001F91"/>
    <w:rsid w:val="281564C2"/>
    <w:rsid w:val="28157197"/>
    <w:rsid w:val="287A36F4"/>
    <w:rsid w:val="291C5E12"/>
    <w:rsid w:val="292E4C0A"/>
    <w:rsid w:val="29D4581F"/>
    <w:rsid w:val="2A802781"/>
    <w:rsid w:val="2AED5CE8"/>
    <w:rsid w:val="2BA9371C"/>
    <w:rsid w:val="2C1D0F66"/>
    <w:rsid w:val="2CDB1327"/>
    <w:rsid w:val="2D8F7579"/>
    <w:rsid w:val="2E380083"/>
    <w:rsid w:val="2F9E776A"/>
    <w:rsid w:val="30F85AFE"/>
    <w:rsid w:val="32456B21"/>
    <w:rsid w:val="331D35FA"/>
    <w:rsid w:val="33637EC3"/>
    <w:rsid w:val="33C96B13"/>
    <w:rsid w:val="33D10EC5"/>
    <w:rsid w:val="3509386D"/>
    <w:rsid w:val="365201A0"/>
    <w:rsid w:val="366C0B20"/>
    <w:rsid w:val="373A4B8C"/>
    <w:rsid w:val="37CA43D6"/>
    <w:rsid w:val="3819532E"/>
    <w:rsid w:val="397871A5"/>
    <w:rsid w:val="3A475FB1"/>
    <w:rsid w:val="3A5E41C2"/>
    <w:rsid w:val="3B2B6713"/>
    <w:rsid w:val="3B97040D"/>
    <w:rsid w:val="3C4A0B16"/>
    <w:rsid w:val="3DB127CC"/>
    <w:rsid w:val="3E1332A1"/>
    <w:rsid w:val="3F314E2D"/>
    <w:rsid w:val="3F8A5812"/>
    <w:rsid w:val="3FB3156E"/>
    <w:rsid w:val="40E91B9A"/>
    <w:rsid w:val="40FF3BF6"/>
    <w:rsid w:val="42103E63"/>
    <w:rsid w:val="421C4874"/>
    <w:rsid w:val="42AF5FCE"/>
    <w:rsid w:val="44D972FF"/>
    <w:rsid w:val="45A71DC5"/>
    <w:rsid w:val="462D1E62"/>
    <w:rsid w:val="476C0533"/>
    <w:rsid w:val="48A93F18"/>
    <w:rsid w:val="49D43CF1"/>
    <w:rsid w:val="4B673834"/>
    <w:rsid w:val="4B7C7984"/>
    <w:rsid w:val="4CCF550D"/>
    <w:rsid w:val="4CFB67D0"/>
    <w:rsid w:val="4DFF16A0"/>
    <w:rsid w:val="50610597"/>
    <w:rsid w:val="507431C3"/>
    <w:rsid w:val="52C649A7"/>
    <w:rsid w:val="53496C1A"/>
    <w:rsid w:val="53817160"/>
    <w:rsid w:val="542C63AA"/>
    <w:rsid w:val="5479728F"/>
    <w:rsid w:val="54F87FC7"/>
    <w:rsid w:val="55274753"/>
    <w:rsid w:val="55EA0798"/>
    <w:rsid w:val="560B3A5A"/>
    <w:rsid w:val="565A678F"/>
    <w:rsid w:val="568B4803"/>
    <w:rsid w:val="56E2029D"/>
    <w:rsid w:val="57996E43"/>
    <w:rsid w:val="594041C4"/>
    <w:rsid w:val="59B5719B"/>
    <w:rsid w:val="5B0101B0"/>
    <w:rsid w:val="5B65484D"/>
    <w:rsid w:val="5B864259"/>
    <w:rsid w:val="5D8C20E8"/>
    <w:rsid w:val="5EBF54F2"/>
    <w:rsid w:val="5FDA5DE7"/>
    <w:rsid w:val="60835F01"/>
    <w:rsid w:val="616306AB"/>
    <w:rsid w:val="617140C2"/>
    <w:rsid w:val="61D41430"/>
    <w:rsid w:val="61D63CE9"/>
    <w:rsid w:val="62854B94"/>
    <w:rsid w:val="629D1EDE"/>
    <w:rsid w:val="64491D79"/>
    <w:rsid w:val="64653639"/>
    <w:rsid w:val="652D3FC7"/>
    <w:rsid w:val="655372EF"/>
    <w:rsid w:val="65A00DBB"/>
    <w:rsid w:val="67B96FDB"/>
    <w:rsid w:val="686D4191"/>
    <w:rsid w:val="69924742"/>
    <w:rsid w:val="6AC27EAE"/>
    <w:rsid w:val="6BA53615"/>
    <w:rsid w:val="6DFB65DD"/>
    <w:rsid w:val="6EBA76CE"/>
    <w:rsid w:val="6EEE31EA"/>
    <w:rsid w:val="6FF46EB5"/>
    <w:rsid w:val="70450F08"/>
    <w:rsid w:val="717C1858"/>
    <w:rsid w:val="72636071"/>
    <w:rsid w:val="72B34CAC"/>
    <w:rsid w:val="72F64A73"/>
    <w:rsid w:val="733F0D8F"/>
    <w:rsid w:val="766F67F7"/>
    <w:rsid w:val="76D24214"/>
    <w:rsid w:val="777822D1"/>
    <w:rsid w:val="77A96E95"/>
    <w:rsid w:val="782347DB"/>
    <w:rsid w:val="7A067CE7"/>
    <w:rsid w:val="7A5B6534"/>
    <w:rsid w:val="7BD22BFC"/>
    <w:rsid w:val="7BE60F72"/>
    <w:rsid w:val="7BF73FB5"/>
    <w:rsid w:val="7CBF0865"/>
    <w:rsid w:val="7CD05A88"/>
    <w:rsid w:val="7E240B01"/>
    <w:rsid w:val="7E6F0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567</Words>
  <Characters>1276</Characters>
  <Lines>0</Lines>
  <Paragraphs>0</Paragraphs>
  <TotalTime>28</TotalTime>
  <ScaleCrop>false</ScaleCrop>
  <LinksUpToDate>false</LinksUpToDate>
  <CharactersWithSpaces>1379</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2024-11-26T11:33:00Z</dcterms:created>
  <dc:creator>Chérie</dc:creator>
  <cp:lastModifiedBy>Chérie</cp:lastModifiedBy>
  <dcterms:modified xsi:type="dcterms:W3CDTF">2024-11-27T17:42:41Z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B671B5B84A6B4343AD04AAB2D50EB37D_13</vt:lpwstr>
  </property>
</Properties>
</file>