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804261758"/>
        <w:docPartObj>
          <w:docPartGallery w:val="Cover Pages"/>
          <w:docPartUnique/>
        </w:docPartObj>
      </w:sdtPr>
      <w:sdtEndPr>
        <w:rPr>
          <w:rFonts w:eastAsiaTheme="minorHAnsi"/>
          <w:color w:val="auto"/>
          <w:sz w:val="24"/>
          <w:szCs w:val="24"/>
          <w:lang w:eastAsia="en-US"/>
        </w:rPr>
      </w:sdtEndPr>
      <w:sdtContent>
        <w:p w14:paraId="7FF128B5" w14:textId="6AD984B7" w:rsidR="0068272D" w:rsidRDefault="0068272D">
          <w:pPr>
            <w:pStyle w:val="NoSpacing"/>
            <w:spacing w:before="1540" w:after="240"/>
            <w:jc w:val="center"/>
            <w:rPr>
              <w:color w:val="4472C4" w:themeColor="accent1"/>
            </w:rPr>
          </w:pPr>
          <w:r>
            <w:rPr>
              <w:noProof/>
              <w:color w:val="4472C4" w:themeColor="accent1"/>
            </w:rPr>
            <w:drawing>
              <wp:inline distT="0" distB="0" distL="0" distR="0" wp14:anchorId="1803FF6B" wp14:editId="6C6A615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93B91E907E2634D8715C10D408E71D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1B3ABB3" w14:textId="0DB5CAB9" w:rsidR="0068272D" w:rsidRDefault="0068272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Tourism Strategies - Peru</w:t>
              </w:r>
            </w:p>
          </w:sdtContent>
        </w:sdt>
        <w:p w14:paraId="44CEED49" w14:textId="4D91B5E0" w:rsidR="0068272D" w:rsidRDefault="0068272D">
          <w:pPr>
            <w:pStyle w:val="NoSpacing"/>
            <w:jc w:val="center"/>
            <w:rPr>
              <w:color w:val="4472C4" w:themeColor="accent1"/>
              <w:sz w:val="28"/>
              <w:szCs w:val="28"/>
            </w:rPr>
          </w:pPr>
        </w:p>
        <w:p w14:paraId="5171DBA4" w14:textId="77777777" w:rsidR="0068272D" w:rsidRDefault="0068272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8264783" wp14:editId="7F9249D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0T00:00:00Z">
                                    <w:dateFormat w:val="MMMM d, yyyy"/>
                                    <w:lid w:val="en-US"/>
                                    <w:storeMappedDataAs w:val="dateTime"/>
                                    <w:calendar w:val="gregorian"/>
                                  </w:date>
                                </w:sdtPr>
                                <w:sdtContent>
                                  <w:p w14:paraId="2668098A" w14:textId="5851A025" w:rsidR="0068272D" w:rsidRDefault="0068272D">
                                    <w:pPr>
                                      <w:pStyle w:val="NoSpacing"/>
                                      <w:spacing w:after="40"/>
                                      <w:jc w:val="center"/>
                                      <w:rPr>
                                        <w:caps/>
                                        <w:color w:val="4472C4" w:themeColor="accent1"/>
                                        <w:sz w:val="28"/>
                                        <w:szCs w:val="28"/>
                                      </w:rPr>
                                    </w:pPr>
                                    <w:r>
                                      <w:rPr>
                                        <w:caps/>
                                        <w:color w:val="4472C4" w:themeColor="accent1"/>
                                        <w:sz w:val="28"/>
                                        <w:szCs w:val="28"/>
                                      </w:rPr>
                                      <w:t>June 10, 2020</w:t>
                                    </w:r>
                                  </w:p>
                                </w:sdtContent>
                              </w:sdt>
                              <w:p w14:paraId="0042C93B" w14:textId="67108267" w:rsidR="0068272D" w:rsidRDefault="0068272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Katie Marshall</w:t>
                                    </w:r>
                                  </w:sdtContent>
                                </w:sdt>
                              </w:p>
                              <w:p w14:paraId="1D2E8499" w14:textId="59B17539" w:rsidR="0068272D" w:rsidRDefault="0068272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1804648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26478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0T00:00:00Z">
                              <w:dateFormat w:val="MMMM d, yyyy"/>
                              <w:lid w:val="en-US"/>
                              <w:storeMappedDataAs w:val="dateTime"/>
                              <w:calendar w:val="gregorian"/>
                            </w:date>
                          </w:sdtPr>
                          <w:sdtContent>
                            <w:p w14:paraId="2668098A" w14:textId="5851A025" w:rsidR="0068272D" w:rsidRDefault="0068272D">
                              <w:pPr>
                                <w:pStyle w:val="NoSpacing"/>
                                <w:spacing w:after="40"/>
                                <w:jc w:val="center"/>
                                <w:rPr>
                                  <w:caps/>
                                  <w:color w:val="4472C4" w:themeColor="accent1"/>
                                  <w:sz w:val="28"/>
                                  <w:szCs w:val="28"/>
                                </w:rPr>
                              </w:pPr>
                              <w:r>
                                <w:rPr>
                                  <w:caps/>
                                  <w:color w:val="4472C4" w:themeColor="accent1"/>
                                  <w:sz w:val="28"/>
                                  <w:szCs w:val="28"/>
                                </w:rPr>
                                <w:t>June 10, 2020</w:t>
                              </w:r>
                            </w:p>
                          </w:sdtContent>
                        </w:sdt>
                        <w:p w14:paraId="0042C93B" w14:textId="67108267" w:rsidR="0068272D" w:rsidRDefault="0068272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Katie Marshall</w:t>
                              </w:r>
                            </w:sdtContent>
                          </w:sdt>
                        </w:p>
                        <w:p w14:paraId="1D2E8499" w14:textId="59B17539" w:rsidR="0068272D" w:rsidRDefault="0068272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1804648</w:t>
                              </w:r>
                            </w:sdtContent>
                          </w:sdt>
                        </w:p>
                      </w:txbxContent>
                    </v:textbox>
                    <w10:wrap anchorx="margin" anchory="page"/>
                  </v:shape>
                </w:pict>
              </mc:Fallback>
            </mc:AlternateContent>
          </w:r>
          <w:r>
            <w:rPr>
              <w:noProof/>
              <w:color w:val="4472C4" w:themeColor="accent1"/>
            </w:rPr>
            <w:drawing>
              <wp:inline distT="0" distB="0" distL="0" distR="0" wp14:anchorId="2A28F5AF" wp14:editId="0066163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BBA9D8" w14:textId="5857AA60" w:rsidR="0068272D" w:rsidRDefault="0068272D">
          <w:r>
            <w:br w:type="page"/>
          </w:r>
        </w:p>
      </w:sdtContent>
    </w:sdt>
    <w:p w14:paraId="2A5CA015" w14:textId="07EAFD3A" w:rsidR="00F17CA2" w:rsidRDefault="0068272D" w:rsidP="00F17CA2">
      <w:pPr>
        <w:rPr>
          <w:rFonts w:cs="Helvetica"/>
          <w:color w:val="000000"/>
        </w:rPr>
      </w:pPr>
      <w:r>
        <w:rPr>
          <w:rFonts w:cs="Helvetica"/>
          <w:color w:val="000000"/>
        </w:rPr>
        <w:lastRenderedPageBreak/>
        <w:tab/>
      </w:r>
      <w:r w:rsidR="00F17CA2">
        <w:rPr>
          <w:rFonts w:cs="Helvetica"/>
          <w:color w:val="000000"/>
        </w:rPr>
        <w:t>Integration of Tourism strategies was definitely a challenge when using a third world country as the case.  However, this case study attempts to explore the strategies from Mintzberg’s five “Ps”, Porter’s generic strategies and Poon’s four principles.  Although, there are similarities between the strategies the themes are different, integration occurs when the topics and strategies intersect.</w:t>
      </w:r>
    </w:p>
    <w:p w14:paraId="3E75FCB4" w14:textId="77777777" w:rsidR="00F17CA2" w:rsidRDefault="00F17CA2" w:rsidP="00F17CA2">
      <w:pPr>
        <w:rPr>
          <w:rFonts w:cs="Helvetica"/>
          <w:color w:val="000000"/>
        </w:rPr>
      </w:pPr>
    </w:p>
    <w:p w14:paraId="4F6C4C46" w14:textId="5D0154AA" w:rsidR="00F17CA2" w:rsidRDefault="0068272D" w:rsidP="00F17CA2">
      <w:pPr>
        <w:rPr>
          <w:rFonts w:cs="Helvetica"/>
          <w:color w:val="000000"/>
        </w:rPr>
      </w:pPr>
      <w:r>
        <w:rPr>
          <w:rFonts w:cs="Helvetica"/>
          <w:color w:val="000000"/>
        </w:rPr>
        <w:tab/>
      </w:r>
      <w:r w:rsidR="00F17CA2">
        <w:rPr>
          <w:rFonts w:cs="Helvetica"/>
          <w:color w:val="000000"/>
        </w:rPr>
        <w:t>In Peru, there has been a consistent, rapid increase of tourism in recent years with domestic tourism increasing by 4.2 percent per year while international tourism has increased by about eight percent per year. With a focus on income, Peru tourism has become the 3</w:t>
      </w:r>
      <w:r w:rsidR="00F17CA2" w:rsidRPr="0080416C">
        <w:rPr>
          <w:rFonts w:cs="Helvetica"/>
          <w:color w:val="000000"/>
          <w:vertAlign w:val="superscript"/>
        </w:rPr>
        <w:t>rd</w:t>
      </w:r>
      <w:r w:rsidR="00F17CA2">
        <w:rPr>
          <w:rFonts w:cs="Helvetica"/>
          <w:color w:val="000000"/>
        </w:rPr>
        <w:t xml:space="preserve"> largest sector of wealth generation behind mining and agriculture. Nearly one in twelve people in Peru are employed in the tourism sector which is eight percent of the working population at 1.3 million workers. </w:t>
      </w:r>
      <w:sdt>
        <w:sdtPr>
          <w:rPr>
            <w:rFonts w:cs="Helvetica"/>
            <w:color w:val="000000"/>
          </w:rPr>
          <w:id w:val="15205712"/>
          <w:citation/>
        </w:sdtPr>
        <w:sdtContent>
          <w:r w:rsidR="00F17CA2">
            <w:rPr>
              <w:rFonts w:cs="Helvetica"/>
              <w:color w:val="000000"/>
            </w:rPr>
            <w:fldChar w:fldCharType="begin"/>
          </w:r>
          <w:r w:rsidR="00F17CA2">
            <w:rPr>
              <w:rFonts w:cs="Helvetica"/>
              <w:color w:val="000000"/>
            </w:rPr>
            <w:instrText xml:space="preserve"> CITATION Dos18 \l 1033 </w:instrText>
          </w:r>
          <w:r w:rsidR="00F17CA2">
            <w:rPr>
              <w:rFonts w:cs="Helvetica"/>
              <w:color w:val="000000"/>
            </w:rPr>
            <w:fldChar w:fldCharType="separate"/>
          </w:r>
          <w:r w:rsidR="00F17CA2" w:rsidRPr="0080416C">
            <w:rPr>
              <w:rFonts w:cs="Helvetica"/>
              <w:noProof/>
              <w:color w:val="000000"/>
            </w:rPr>
            <w:t>(Dos Manos Peru News, 2018)</w:t>
          </w:r>
          <w:r w:rsidR="00F17CA2">
            <w:rPr>
              <w:rFonts w:cs="Helvetica"/>
              <w:color w:val="000000"/>
            </w:rPr>
            <w:fldChar w:fldCharType="end"/>
          </w:r>
        </w:sdtContent>
      </w:sdt>
      <w:r w:rsidR="00F17CA2">
        <w:rPr>
          <w:rFonts w:cs="Helvetica"/>
          <w:color w:val="000000"/>
        </w:rPr>
        <w:t xml:space="preserve"> It is estimated that tourism revenue could increase to $27 billion by 2027. Of the tourism sector, food service accounts for the largest portion at 29.5% of the entire industry. World Travel Awards, in 2018 and for the sixth consecutive year, voted Peru as a ‘Best Culinary Destination’. </w:t>
      </w:r>
      <w:sdt>
        <w:sdtPr>
          <w:rPr>
            <w:rFonts w:cs="Helvetica"/>
            <w:color w:val="000000"/>
          </w:rPr>
          <w:id w:val="395252140"/>
          <w:citation/>
        </w:sdtPr>
        <w:sdtContent>
          <w:r w:rsidR="00F17CA2">
            <w:rPr>
              <w:rFonts w:cs="Helvetica"/>
              <w:color w:val="000000"/>
            </w:rPr>
            <w:fldChar w:fldCharType="begin"/>
          </w:r>
          <w:r w:rsidR="00F17CA2">
            <w:rPr>
              <w:rFonts w:cs="Helvetica"/>
              <w:color w:val="000000"/>
            </w:rPr>
            <w:instrText xml:space="preserve"> CITATION Mar20 \l 1033 </w:instrText>
          </w:r>
          <w:r w:rsidR="00F17CA2">
            <w:rPr>
              <w:rFonts w:cs="Helvetica"/>
              <w:color w:val="000000"/>
            </w:rPr>
            <w:fldChar w:fldCharType="separate"/>
          </w:r>
          <w:r w:rsidR="00F17CA2" w:rsidRPr="00BB7DAB">
            <w:rPr>
              <w:rFonts w:cs="Helvetica"/>
              <w:noProof/>
              <w:color w:val="000000"/>
            </w:rPr>
            <w:t>(Market Line, 2020)</w:t>
          </w:r>
          <w:r w:rsidR="00F17CA2">
            <w:rPr>
              <w:rFonts w:cs="Helvetica"/>
              <w:color w:val="000000"/>
            </w:rPr>
            <w:fldChar w:fldCharType="end"/>
          </w:r>
        </w:sdtContent>
      </w:sdt>
      <w:r w:rsidR="00F17CA2">
        <w:rPr>
          <w:rFonts w:cs="Helvetica"/>
          <w:color w:val="000000"/>
        </w:rPr>
        <w:t xml:space="preserve"> With the incredible impact that tourism has on the country, it’s important to develop strategies and policies which will not only sustain current tourism but develop new markets to increase revenue. </w:t>
      </w:r>
      <w:r w:rsidR="00F17CA2">
        <w:rPr>
          <w:rFonts w:cs="Helvetica"/>
          <w:color w:val="000000"/>
        </w:rPr>
        <w:br/>
      </w:r>
    </w:p>
    <w:p w14:paraId="08B6ECD4" w14:textId="1719D940" w:rsidR="00F17CA2" w:rsidRDefault="0068272D" w:rsidP="00F17CA2">
      <w:pPr>
        <w:rPr>
          <w:rFonts w:cs="Helvetica"/>
          <w:color w:val="000000"/>
        </w:rPr>
      </w:pPr>
      <w:r>
        <w:rPr>
          <w:rFonts w:cs="Helvetica"/>
          <w:color w:val="000000"/>
        </w:rPr>
        <w:tab/>
      </w:r>
      <w:r w:rsidR="00F17CA2">
        <w:rPr>
          <w:rFonts w:cs="Helvetica"/>
          <w:color w:val="000000"/>
        </w:rPr>
        <w:t xml:space="preserve">All strategies started with the mission.  There are variations of strategies between the National Strategic Plan of 2025, Ministry of Tourism and Foreign Trade, the Bicentennial Plan, and the Master Plan as well as others. What they all have in common is the basic focus of specific strategies to improve tourism in Peru. For example, the National Strategic Plan of Tourism of Peru to 2025 has created four pillars to work towards in the next coming years. These include increasing the sustainability of tourism, tourists’ markets diversification, travel facilitation, and strengthening tourism through training. </w:t>
      </w:r>
      <w:sdt>
        <w:sdtPr>
          <w:rPr>
            <w:rFonts w:cs="Helvetica"/>
            <w:color w:val="000000"/>
          </w:rPr>
          <w:id w:val="1390997107"/>
          <w:citation/>
        </w:sdtPr>
        <w:sdtContent>
          <w:r w:rsidR="00F17CA2">
            <w:rPr>
              <w:rFonts w:cs="Helvetica"/>
              <w:color w:val="000000"/>
            </w:rPr>
            <w:fldChar w:fldCharType="begin"/>
          </w:r>
          <w:r w:rsidR="00F17CA2">
            <w:rPr>
              <w:rFonts w:cs="Helvetica"/>
              <w:color w:val="000000"/>
            </w:rPr>
            <w:instrText xml:space="preserve"> CITATION OEC20 \l 1033 </w:instrText>
          </w:r>
          <w:r w:rsidR="00F17CA2">
            <w:rPr>
              <w:rFonts w:cs="Helvetica"/>
              <w:color w:val="000000"/>
            </w:rPr>
            <w:fldChar w:fldCharType="separate"/>
          </w:r>
          <w:r w:rsidR="00F17CA2" w:rsidRPr="00EE0C45">
            <w:rPr>
              <w:rFonts w:cs="Helvetica"/>
              <w:noProof/>
              <w:color w:val="000000"/>
            </w:rPr>
            <w:t>(OECD Tourism Trends And Policies 2020, 2020)</w:t>
          </w:r>
          <w:r w:rsidR="00F17CA2">
            <w:rPr>
              <w:rFonts w:cs="Helvetica"/>
              <w:color w:val="000000"/>
            </w:rPr>
            <w:fldChar w:fldCharType="end"/>
          </w:r>
        </w:sdtContent>
      </w:sdt>
    </w:p>
    <w:p w14:paraId="6CA83ADC" w14:textId="77777777" w:rsidR="00F17CA2" w:rsidRDefault="00F17CA2" w:rsidP="00F17CA2">
      <w:pPr>
        <w:rPr>
          <w:rFonts w:cs="Helvetica"/>
          <w:color w:val="000000"/>
        </w:rPr>
      </w:pPr>
    </w:p>
    <w:p w14:paraId="0CE6EC75" w14:textId="21C7DE0D" w:rsidR="00F17CA2" w:rsidRDefault="0068272D" w:rsidP="00F17CA2">
      <w:pPr>
        <w:rPr>
          <w:rFonts w:cs="Helvetica"/>
          <w:color w:val="000000"/>
        </w:rPr>
      </w:pPr>
      <w:r>
        <w:rPr>
          <w:rFonts w:cs="Helvetica"/>
          <w:color w:val="000000"/>
        </w:rPr>
        <w:tab/>
      </w:r>
      <w:r w:rsidR="00F17CA2">
        <w:rPr>
          <w:rFonts w:cs="Helvetica"/>
          <w:color w:val="000000"/>
        </w:rPr>
        <w:t xml:space="preserve">This case study will focus on one of the largest strategy documents, however, the Ministry of Tourism and Foreign Trade (MINCETUR),  </w:t>
      </w:r>
      <w:r w:rsidR="00F17CA2" w:rsidRPr="00B47E97">
        <w:rPr>
          <w:rFonts w:cs="Helvetica"/>
          <w:color w:val="000000"/>
        </w:rPr>
        <w:t>Originally tourism issues were discussed and implemented under the Ministry of Tourism, Industry, and International Commerce (MITINCI). This changed in 2003, when tourism became more of a focal point, and is now called the Ministry of Foreign Trade and Tourism (</w:t>
      </w:r>
      <w:r w:rsidR="00F17CA2">
        <w:rPr>
          <w:rFonts w:cs="Helvetica"/>
          <w:color w:val="000000"/>
        </w:rPr>
        <w:t xml:space="preserve">MINECETUR) </w:t>
      </w:r>
      <w:sdt>
        <w:sdtPr>
          <w:rPr>
            <w:rFonts w:cs="Helvetica"/>
            <w:color w:val="000000"/>
          </w:rPr>
          <w:id w:val="1744065283"/>
          <w:citation/>
        </w:sdtPr>
        <w:sdtContent>
          <w:r w:rsidR="00F17CA2">
            <w:rPr>
              <w:rFonts w:cs="Helvetica"/>
              <w:color w:val="000000"/>
            </w:rPr>
            <w:fldChar w:fldCharType="begin"/>
          </w:r>
          <w:r w:rsidR="00F17CA2">
            <w:rPr>
              <w:rFonts w:cs="Helvetica"/>
              <w:color w:val="000000"/>
            </w:rPr>
            <w:instrText xml:space="preserve"> CITATION Gem04 \l 1033 </w:instrText>
          </w:r>
          <w:r w:rsidR="00F17CA2">
            <w:rPr>
              <w:rFonts w:cs="Helvetica"/>
              <w:color w:val="000000"/>
            </w:rPr>
            <w:fldChar w:fldCharType="separate"/>
          </w:r>
          <w:r w:rsidR="00F17CA2" w:rsidRPr="00B47E97">
            <w:rPr>
              <w:rFonts w:cs="Helvetica"/>
              <w:noProof/>
              <w:color w:val="000000"/>
            </w:rPr>
            <w:t>(McGrath, 2004)</w:t>
          </w:r>
          <w:r w:rsidR="00F17CA2">
            <w:rPr>
              <w:rFonts w:cs="Helvetica"/>
              <w:color w:val="000000"/>
            </w:rPr>
            <w:fldChar w:fldCharType="end"/>
          </w:r>
        </w:sdtContent>
      </w:sdt>
      <w:r w:rsidR="00F17CA2">
        <w:rPr>
          <w:rFonts w:cs="Helvetica"/>
          <w:color w:val="000000"/>
        </w:rPr>
        <w:t>.  The general strategic mission of the MINCETUR is to “make tourism a competitive, socially inclusive, and environmentally responsible economic activity that will serve as a tool for the nation’s sustainable development”. Although the Ministry uses the word competitive as part of the mission statement, more emphasis is placed upon social inclusion and environmentally responsible economic activity creating a balance between tourism and the environment.  The one strategy beyond the mission that did include competitiveness was to increase competitiveness internationally with handicrafts promoting greater competitiveness in handicraft-making and handicrafts’ access to the international markets.</w:t>
      </w:r>
      <w:r w:rsidR="00F17CA2" w:rsidRPr="003C6A35">
        <w:rPr>
          <w:rFonts w:cs="Helvetica"/>
          <w:color w:val="000000"/>
        </w:rPr>
        <w:t xml:space="preserve"> </w:t>
      </w:r>
      <w:r w:rsidR="00F17CA2">
        <w:rPr>
          <w:rFonts w:cs="Helvetica"/>
          <w:color w:val="000000"/>
        </w:rPr>
        <w:t xml:space="preserve">The Peruvians use geometric designs when creating textiles, metal is transformed into beautiful jewelry, flower petals weaved into carpets as well as various creations of pottery and wooden carvings depending on the area of purchase. In Ayacucho, the Sarhua and Quinua communities rely on </w:t>
      </w:r>
      <w:r w:rsidR="00F17CA2">
        <w:rPr>
          <w:rFonts w:cs="Helvetica"/>
          <w:color w:val="000000"/>
        </w:rPr>
        <w:lastRenderedPageBreak/>
        <w:t xml:space="preserve">these sales for survival as well as the thousands of other families in other various communities. </w:t>
      </w:r>
      <w:sdt>
        <w:sdtPr>
          <w:rPr>
            <w:rFonts w:cs="Helvetica"/>
            <w:color w:val="000000"/>
          </w:rPr>
          <w:id w:val="-1074818175"/>
          <w:citation/>
        </w:sdtPr>
        <w:sdtContent>
          <w:r w:rsidR="00F17CA2">
            <w:rPr>
              <w:rFonts w:cs="Helvetica"/>
              <w:color w:val="000000"/>
            </w:rPr>
            <w:fldChar w:fldCharType="begin"/>
          </w:r>
          <w:r w:rsidR="00F17CA2">
            <w:rPr>
              <w:rFonts w:cs="Helvetica"/>
              <w:color w:val="000000"/>
            </w:rPr>
            <w:instrText xml:space="preserve"> CITATION Go220 \l 1033 </w:instrText>
          </w:r>
          <w:r w:rsidR="00F17CA2">
            <w:rPr>
              <w:rFonts w:cs="Helvetica"/>
              <w:color w:val="000000"/>
            </w:rPr>
            <w:fldChar w:fldCharType="separate"/>
          </w:r>
          <w:r w:rsidR="00F17CA2" w:rsidRPr="00BB7DAB">
            <w:rPr>
              <w:rFonts w:cs="Helvetica"/>
              <w:noProof/>
              <w:color w:val="000000"/>
            </w:rPr>
            <w:t>(Go2Peru, 2020)</w:t>
          </w:r>
          <w:r w:rsidR="00F17CA2">
            <w:rPr>
              <w:rFonts w:cs="Helvetica"/>
              <w:color w:val="000000"/>
            </w:rPr>
            <w:fldChar w:fldCharType="end"/>
          </w:r>
        </w:sdtContent>
      </w:sdt>
      <w:r w:rsidR="00F17CA2">
        <w:rPr>
          <w:rFonts w:cs="Helvetica"/>
          <w:color w:val="000000"/>
        </w:rPr>
        <w:t xml:space="preserve">  </w:t>
      </w:r>
    </w:p>
    <w:p w14:paraId="1209F297" w14:textId="77777777" w:rsidR="00F17CA2" w:rsidRDefault="00F17CA2" w:rsidP="00F17CA2">
      <w:pPr>
        <w:rPr>
          <w:rFonts w:cs="Helvetica"/>
          <w:color w:val="000000"/>
        </w:rPr>
      </w:pPr>
    </w:p>
    <w:p w14:paraId="22AC332B" w14:textId="0B9E63BB" w:rsidR="00F17CA2" w:rsidRDefault="0068272D" w:rsidP="00F17CA2">
      <w:pPr>
        <w:rPr>
          <w:rFonts w:cs="Helvetica"/>
          <w:color w:val="000000"/>
        </w:rPr>
      </w:pPr>
      <w:r>
        <w:rPr>
          <w:rFonts w:cs="Helvetica"/>
          <w:color w:val="000000"/>
        </w:rPr>
        <w:tab/>
      </w:r>
      <w:r w:rsidR="00F17CA2">
        <w:rPr>
          <w:rFonts w:cs="Helvetica"/>
          <w:color w:val="000000"/>
        </w:rPr>
        <w:t xml:space="preserve">Other MINCETUR strategic initiatives include; investment in tourism; innovation in tourist products and destinations; development of types of tourism including rural tourism and eco-tourism; sustainable use of natural resources; inclusion of cultural heritage in tourism offerings; the strengthening of tourism culture and awareness; creating rules and regulations for tourist and handicraft related activities; private-public coordination of forums and tourism management; decentralize tourism and handicrafts leading to diversification of training and education for those in those fields; promoting Peru as a tourist destination which contributes to decentralization and sustained increase in foreign currency earnings; increase Peruvian tourism related revenues to full satisfaction of tourists; and consolidation of Peru’s tourist brand along with development of country brand.  </w:t>
      </w:r>
    </w:p>
    <w:p w14:paraId="4333C7D2" w14:textId="77777777" w:rsidR="00F17CA2" w:rsidRDefault="00F17CA2" w:rsidP="00F17CA2">
      <w:pPr>
        <w:rPr>
          <w:rFonts w:cs="Helvetica"/>
          <w:color w:val="000000"/>
        </w:rPr>
      </w:pPr>
    </w:p>
    <w:p w14:paraId="34859CE8" w14:textId="5664A997" w:rsidR="00F17CA2" w:rsidRDefault="00F17CA2" w:rsidP="00F17CA2">
      <w:pPr>
        <w:rPr>
          <w:rFonts w:cs="Helvetica"/>
          <w:color w:val="000000"/>
        </w:rPr>
      </w:pPr>
      <w:r>
        <w:rPr>
          <w:rFonts w:cs="Helvetica"/>
          <w:color w:val="000000"/>
        </w:rPr>
        <w:t>I</w:t>
      </w:r>
      <w:r w:rsidR="0068272D">
        <w:rPr>
          <w:rFonts w:cs="Helvetica"/>
          <w:color w:val="000000"/>
        </w:rPr>
        <w:tab/>
      </w:r>
      <w:r>
        <w:rPr>
          <w:rFonts w:cs="Helvetica"/>
          <w:color w:val="000000"/>
        </w:rPr>
        <w:t xml:space="preserve">n all of the MINCETUR strategies, elements of Mintzberg’s five P’s; plan; ploy; pattern; position; and perspective along with Porter’s generic strategies can be observed.  Additionally, Poon’s strategies of leadership of quality provision; putting customer needs first; and strengthening the organizational strategic position were directly addressed.  </w:t>
      </w:r>
    </w:p>
    <w:p w14:paraId="04E12D0D" w14:textId="77777777" w:rsidR="00F17CA2" w:rsidRDefault="00F17CA2" w:rsidP="00F17CA2">
      <w:pPr>
        <w:rPr>
          <w:rFonts w:cs="Helvetica"/>
          <w:color w:val="000000"/>
        </w:rPr>
      </w:pPr>
    </w:p>
    <w:p w14:paraId="4D8A0B1D" w14:textId="77777777" w:rsidR="00F17CA2" w:rsidRDefault="00F17CA2" w:rsidP="00F17CA2">
      <w:pPr>
        <w:rPr>
          <w:rFonts w:cs="Helvetica"/>
          <w:color w:val="000000"/>
        </w:rPr>
      </w:pPr>
    </w:p>
    <w:p w14:paraId="43D924A3" w14:textId="77777777" w:rsidR="00F17CA2" w:rsidRDefault="00F17CA2" w:rsidP="00F17CA2">
      <w:pPr>
        <w:rPr>
          <w:rFonts w:cs="Helvetica"/>
          <w:color w:val="000000"/>
        </w:rPr>
      </w:pPr>
      <w:r>
        <w:rPr>
          <w:rFonts w:cs="Helvetica"/>
          <w:color w:val="000000"/>
        </w:rPr>
        <w:t>Competitive Analysis</w:t>
      </w:r>
    </w:p>
    <w:p w14:paraId="7C5F5787" w14:textId="77777777" w:rsidR="00F17CA2" w:rsidRDefault="00F17CA2" w:rsidP="00F17CA2">
      <w:pPr>
        <w:rPr>
          <w:rFonts w:cs="Helvetica"/>
          <w:color w:val="000000"/>
        </w:rPr>
      </w:pPr>
    </w:p>
    <w:tbl>
      <w:tblPr>
        <w:tblStyle w:val="TableGrid"/>
        <w:tblW w:w="0" w:type="auto"/>
        <w:tblLayout w:type="fixed"/>
        <w:tblLook w:val="04A0" w:firstRow="1" w:lastRow="0" w:firstColumn="1" w:lastColumn="0" w:noHBand="0" w:noVBand="1"/>
      </w:tblPr>
      <w:tblGrid>
        <w:gridCol w:w="3955"/>
        <w:gridCol w:w="1710"/>
        <w:gridCol w:w="1620"/>
        <w:gridCol w:w="1800"/>
      </w:tblGrid>
      <w:tr w:rsidR="00F17CA2" w14:paraId="20D1FA75" w14:textId="77777777" w:rsidTr="00AE7C41">
        <w:tc>
          <w:tcPr>
            <w:tcW w:w="3955" w:type="dxa"/>
          </w:tcPr>
          <w:p w14:paraId="70ADDFD5" w14:textId="77777777" w:rsidR="00F17CA2" w:rsidRDefault="00F17CA2" w:rsidP="00AE7C41">
            <w:pPr>
              <w:rPr>
                <w:rFonts w:cs="Helvetica"/>
                <w:color w:val="000000"/>
              </w:rPr>
            </w:pPr>
          </w:p>
        </w:tc>
        <w:tc>
          <w:tcPr>
            <w:tcW w:w="1710" w:type="dxa"/>
          </w:tcPr>
          <w:p w14:paraId="5970F014" w14:textId="77777777" w:rsidR="00F17CA2" w:rsidRDefault="00F17CA2" w:rsidP="00AE7C41">
            <w:pPr>
              <w:rPr>
                <w:rFonts w:cs="Helvetica"/>
                <w:color w:val="000000"/>
              </w:rPr>
            </w:pPr>
            <w:r>
              <w:rPr>
                <w:rFonts w:cs="Helvetica"/>
                <w:color w:val="000000"/>
              </w:rPr>
              <w:t>Ranking 2013</w:t>
            </w:r>
          </w:p>
        </w:tc>
        <w:tc>
          <w:tcPr>
            <w:tcW w:w="1620" w:type="dxa"/>
          </w:tcPr>
          <w:p w14:paraId="5CB7194A" w14:textId="77777777" w:rsidR="00F17CA2" w:rsidRDefault="00F17CA2" w:rsidP="00AE7C41">
            <w:pPr>
              <w:rPr>
                <w:rFonts w:cs="Helvetica"/>
                <w:color w:val="000000"/>
              </w:rPr>
            </w:pPr>
            <w:r>
              <w:rPr>
                <w:rFonts w:cs="Helvetica"/>
                <w:color w:val="000000"/>
              </w:rPr>
              <w:t>Ranking 2019</w:t>
            </w:r>
          </w:p>
        </w:tc>
        <w:tc>
          <w:tcPr>
            <w:tcW w:w="1800" w:type="dxa"/>
          </w:tcPr>
          <w:p w14:paraId="7752068B" w14:textId="77777777" w:rsidR="00F17CA2" w:rsidRDefault="00F17CA2" w:rsidP="00AE7C41">
            <w:pPr>
              <w:rPr>
                <w:rFonts w:cs="Helvetica"/>
                <w:color w:val="000000"/>
              </w:rPr>
            </w:pPr>
            <w:r>
              <w:rPr>
                <w:rFonts w:cs="Helvetica"/>
                <w:color w:val="000000"/>
              </w:rPr>
              <w:t>Change</w:t>
            </w:r>
          </w:p>
        </w:tc>
      </w:tr>
      <w:tr w:rsidR="00F17CA2" w14:paraId="2D1E0062" w14:textId="77777777" w:rsidTr="00AE7C41">
        <w:tc>
          <w:tcPr>
            <w:tcW w:w="3955" w:type="dxa"/>
          </w:tcPr>
          <w:p w14:paraId="32822D00" w14:textId="77777777" w:rsidR="00F17CA2" w:rsidRDefault="00F17CA2" w:rsidP="00AE7C41">
            <w:pPr>
              <w:rPr>
                <w:rFonts w:cs="Helvetica"/>
                <w:color w:val="000000"/>
              </w:rPr>
            </w:pPr>
            <w:r>
              <w:rPr>
                <w:rFonts w:cs="Helvetica"/>
                <w:color w:val="000000"/>
              </w:rPr>
              <w:t>Policy Rules and Regulations</w:t>
            </w:r>
          </w:p>
        </w:tc>
        <w:tc>
          <w:tcPr>
            <w:tcW w:w="1710" w:type="dxa"/>
          </w:tcPr>
          <w:p w14:paraId="47053250" w14:textId="77777777" w:rsidR="00F17CA2" w:rsidRDefault="00F17CA2" w:rsidP="00AE7C41">
            <w:pPr>
              <w:rPr>
                <w:rFonts w:cs="Helvetica"/>
                <w:color w:val="000000"/>
              </w:rPr>
            </w:pPr>
            <w:r>
              <w:rPr>
                <w:rFonts w:cs="Helvetica"/>
                <w:color w:val="000000"/>
              </w:rPr>
              <w:t>70</w:t>
            </w:r>
          </w:p>
        </w:tc>
        <w:tc>
          <w:tcPr>
            <w:tcW w:w="1620" w:type="dxa"/>
          </w:tcPr>
          <w:p w14:paraId="2D6814AF" w14:textId="77777777" w:rsidR="00F17CA2" w:rsidRDefault="00F17CA2" w:rsidP="00AE7C41">
            <w:pPr>
              <w:rPr>
                <w:rFonts w:cs="Helvetica"/>
                <w:color w:val="000000"/>
              </w:rPr>
            </w:pPr>
            <w:r>
              <w:rPr>
                <w:rFonts w:cs="Helvetica"/>
                <w:color w:val="000000"/>
              </w:rPr>
              <w:t>30</w:t>
            </w:r>
          </w:p>
        </w:tc>
        <w:tc>
          <w:tcPr>
            <w:tcW w:w="1800" w:type="dxa"/>
          </w:tcPr>
          <w:p w14:paraId="0CEE4D74" w14:textId="77777777" w:rsidR="00F17CA2" w:rsidRDefault="00F17CA2" w:rsidP="00AE7C41">
            <w:pPr>
              <w:rPr>
                <w:rFonts w:cs="Helvetica"/>
                <w:color w:val="000000"/>
              </w:rPr>
            </w:pPr>
            <w:r>
              <w:rPr>
                <w:rFonts w:cs="Helvetica"/>
                <w:color w:val="000000"/>
              </w:rPr>
              <w:t>+40</w:t>
            </w:r>
          </w:p>
        </w:tc>
      </w:tr>
      <w:tr w:rsidR="00F17CA2" w14:paraId="74B046F1" w14:textId="77777777" w:rsidTr="00AE7C41">
        <w:tc>
          <w:tcPr>
            <w:tcW w:w="3955" w:type="dxa"/>
          </w:tcPr>
          <w:p w14:paraId="73016DA4" w14:textId="7BE8BC64" w:rsidR="00F17CA2" w:rsidRDefault="00F17CA2" w:rsidP="00AE7C41">
            <w:pPr>
              <w:rPr>
                <w:rFonts w:cs="Helvetica"/>
                <w:color w:val="000000"/>
              </w:rPr>
            </w:pPr>
            <w:r>
              <w:rPr>
                <w:rFonts w:cs="Helvetica"/>
                <w:color w:val="000000"/>
              </w:rPr>
              <w:t xml:space="preserve">Environmental </w:t>
            </w:r>
            <w:r w:rsidR="00BF26E3">
              <w:rPr>
                <w:rFonts w:cs="Helvetica"/>
                <w:color w:val="000000"/>
              </w:rPr>
              <w:t>Sustainability</w:t>
            </w:r>
          </w:p>
        </w:tc>
        <w:tc>
          <w:tcPr>
            <w:tcW w:w="1710" w:type="dxa"/>
          </w:tcPr>
          <w:p w14:paraId="18D815B5" w14:textId="77777777" w:rsidR="00F17CA2" w:rsidRDefault="00F17CA2" w:rsidP="00AE7C41">
            <w:pPr>
              <w:rPr>
                <w:rFonts w:cs="Helvetica"/>
                <w:color w:val="000000"/>
              </w:rPr>
            </w:pPr>
            <w:r>
              <w:rPr>
                <w:rFonts w:cs="Helvetica"/>
                <w:color w:val="000000"/>
              </w:rPr>
              <w:t>85</w:t>
            </w:r>
          </w:p>
        </w:tc>
        <w:tc>
          <w:tcPr>
            <w:tcW w:w="1620" w:type="dxa"/>
          </w:tcPr>
          <w:p w14:paraId="34C56E3D" w14:textId="77777777" w:rsidR="00F17CA2" w:rsidRDefault="00F17CA2" w:rsidP="00AE7C41">
            <w:pPr>
              <w:rPr>
                <w:rFonts w:cs="Helvetica"/>
                <w:color w:val="000000"/>
              </w:rPr>
            </w:pPr>
            <w:r>
              <w:rPr>
                <w:rFonts w:cs="Helvetica"/>
                <w:color w:val="000000"/>
              </w:rPr>
              <w:t>47</w:t>
            </w:r>
          </w:p>
        </w:tc>
        <w:tc>
          <w:tcPr>
            <w:tcW w:w="1800" w:type="dxa"/>
          </w:tcPr>
          <w:p w14:paraId="1522D774" w14:textId="77777777" w:rsidR="00F17CA2" w:rsidRDefault="00F17CA2" w:rsidP="00AE7C41">
            <w:pPr>
              <w:rPr>
                <w:rFonts w:cs="Helvetica"/>
                <w:color w:val="000000"/>
              </w:rPr>
            </w:pPr>
            <w:r>
              <w:rPr>
                <w:rFonts w:cs="Helvetica"/>
                <w:color w:val="000000"/>
              </w:rPr>
              <w:t>+38</w:t>
            </w:r>
          </w:p>
        </w:tc>
      </w:tr>
      <w:tr w:rsidR="00F17CA2" w14:paraId="389AE166" w14:textId="77777777" w:rsidTr="00AE7C41">
        <w:tc>
          <w:tcPr>
            <w:tcW w:w="3955" w:type="dxa"/>
          </w:tcPr>
          <w:p w14:paraId="299E8888" w14:textId="77777777" w:rsidR="00F17CA2" w:rsidRDefault="00F17CA2" w:rsidP="00AE7C41">
            <w:pPr>
              <w:rPr>
                <w:rFonts w:cs="Helvetica"/>
                <w:color w:val="000000"/>
              </w:rPr>
            </w:pPr>
            <w:r>
              <w:rPr>
                <w:rFonts w:cs="Helvetica"/>
                <w:color w:val="000000"/>
              </w:rPr>
              <w:t>Safety and Security</w:t>
            </w:r>
          </w:p>
        </w:tc>
        <w:tc>
          <w:tcPr>
            <w:tcW w:w="1710" w:type="dxa"/>
          </w:tcPr>
          <w:p w14:paraId="41E8A259" w14:textId="77777777" w:rsidR="00F17CA2" w:rsidRDefault="00F17CA2" w:rsidP="00AE7C41">
            <w:pPr>
              <w:rPr>
                <w:rFonts w:cs="Helvetica"/>
                <w:color w:val="000000"/>
              </w:rPr>
            </w:pPr>
            <w:r>
              <w:rPr>
                <w:rFonts w:cs="Helvetica"/>
                <w:color w:val="000000"/>
              </w:rPr>
              <w:t>118</w:t>
            </w:r>
          </w:p>
        </w:tc>
        <w:tc>
          <w:tcPr>
            <w:tcW w:w="1620" w:type="dxa"/>
          </w:tcPr>
          <w:p w14:paraId="14A8FB1D" w14:textId="77777777" w:rsidR="00F17CA2" w:rsidRDefault="00F17CA2" w:rsidP="00AE7C41">
            <w:pPr>
              <w:rPr>
                <w:rFonts w:cs="Helvetica"/>
                <w:color w:val="000000"/>
              </w:rPr>
            </w:pPr>
            <w:r>
              <w:rPr>
                <w:rFonts w:cs="Helvetica"/>
                <w:color w:val="000000"/>
              </w:rPr>
              <w:t>118</w:t>
            </w:r>
          </w:p>
        </w:tc>
        <w:tc>
          <w:tcPr>
            <w:tcW w:w="1800" w:type="dxa"/>
          </w:tcPr>
          <w:p w14:paraId="31B645A7" w14:textId="77777777" w:rsidR="00F17CA2" w:rsidRDefault="00F17CA2" w:rsidP="00AE7C41">
            <w:pPr>
              <w:rPr>
                <w:rFonts w:cs="Helvetica"/>
                <w:color w:val="000000"/>
              </w:rPr>
            </w:pPr>
            <w:r>
              <w:rPr>
                <w:rFonts w:cs="Helvetica"/>
                <w:color w:val="000000"/>
              </w:rPr>
              <w:t>0</w:t>
            </w:r>
          </w:p>
        </w:tc>
      </w:tr>
      <w:tr w:rsidR="00F17CA2" w14:paraId="68A2D178" w14:textId="77777777" w:rsidTr="00AE7C41">
        <w:tc>
          <w:tcPr>
            <w:tcW w:w="3955" w:type="dxa"/>
          </w:tcPr>
          <w:p w14:paraId="28C5D5B5" w14:textId="77777777" w:rsidR="00F17CA2" w:rsidRDefault="00F17CA2" w:rsidP="00AE7C41">
            <w:pPr>
              <w:rPr>
                <w:rFonts w:cs="Helvetica"/>
                <w:color w:val="000000"/>
              </w:rPr>
            </w:pPr>
            <w:r>
              <w:rPr>
                <w:rFonts w:cs="Helvetica"/>
                <w:color w:val="000000"/>
              </w:rPr>
              <w:t>Health and Hygiene</w:t>
            </w:r>
          </w:p>
        </w:tc>
        <w:tc>
          <w:tcPr>
            <w:tcW w:w="1710" w:type="dxa"/>
          </w:tcPr>
          <w:p w14:paraId="48A43774" w14:textId="77777777" w:rsidR="00F17CA2" w:rsidRDefault="00F17CA2" w:rsidP="00AE7C41">
            <w:pPr>
              <w:rPr>
                <w:rFonts w:cs="Helvetica"/>
                <w:color w:val="000000"/>
              </w:rPr>
            </w:pPr>
            <w:r>
              <w:rPr>
                <w:rFonts w:cs="Helvetica"/>
                <w:color w:val="000000"/>
              </w:rPr>
              <w:t>98</w:t>
            </w:r>
          </w:p>
        </w:tc>
        <w:tc>
          <w:tcPr>
            <w:tcW w:w="1620" w:type="dxa"/>
          </w:tcPr>
          <w:p w14:paraId="5EF0278B" w14:textId="77777777" w:rsidR="00F17CA2" w:rsidRDefault="00F17CA2" w:rsidP="00AE7C41">
            <w:pPr>
              <w:rPr>
                <w:rFonts w:cs="Helvetica"/>
                <w:color w:val="000000"/>
              </w:rPr>
            </w:pPr>
            <w:r>
              <w:rPr>
                <w:rFonts w:cs="Helvetica"/>
                <w:color w:val="000000"/>
              </w:rPr>
              <w:t>93</w:t>
            </w:r>
          </w:p>
        </w:tc>
        <w:tc>
          <w:tcPr>
            <w:tcW w:w="1800" w:type="dxa"/>
          </w:tcPr>
          <w:p w14:paraId="3E29E77F" w14:textId="77777777" w:rsidR="00F17CA2" w:rsidRDefault="00F17CA2" w:rsidP="00AE7C41">
            <w:pPr>
              <w:rPr>
                <w:rFonts w:cs="Helvetica"/>
                <w:color w:val="000000"/>
              </w:rPr>
            </w:pPr>
            <w:r>
              <w:rPr>
                <w:rFonts w:cs="Helvetica"/>
                <w:color w:val="000000"/>
              </w:rPr>
              <w:t>+5</w:t>
            </w:r>
          </w:p>
        </w:tc>
      </w:tr>
      <w:tr w:rsidR="00F17CA2" w14:paraId="0E7EFED7" w14:textId="77777777" w:rsidTr="00AE7C41">
        <w:tc>
          <w:tcPr>
            <w:tcW w:w="3955" w:type="dxa"/>
          </w:tcPr>
          <w:p w14:paraId="494ADCBB" w14:textId="77777777" w:rsidR="00F17CA2" w:rsidRDefault="00F17CA2" w:rsidP="00AE7C41">
            <w:pPr>
              <w:rPr>
                <w:rFonts w:cs="Helvetica"/>
                <w:color w:val="000000"/>
              </w:rPr>
            </w:pPr>
            <w:r>
              <w:rPr>
                <w:rFonts w:cs="Helvetica"/>
                <w:color w:val="000000"/>
              </w:rPr>
              <w:t>Prioritization of Travel and Tourism</w:t>
            </w:r>
          </w:p>
        </w:tc>
        <w:tc>
          <w:tcPr>
            <w:tcW w:w="1710" w:type="dxa"/>
          </w:tcPr>
          <w:p w14:paraId="5802E09A" w14:textId="77777777" w:rsidR="00F17CA2" w:rsidRDefault="00F17CA2" w:rsidP="00AE7C41">
            <w:pPr>
              <w:rPr>
                <w:rFonts w:cs="Helvetica"/>
                <w:color w:val="000000"/>
              </w:rPr>
            </w:pPr>
            <w:r>
              <w:rPr>
                <w:rFonts w:cs="Helvetica"/>
                <w:color w:val="000000"/>
              </w:rPr>
              <w:t>58</w:t>
            </w:r>
          </w:p>
        </w:tc>
        <w:tc>
          <w:tcPr>
            <w:tcW w:w="1620" w:type="dxa"/>
          </w:tcPr>
          <w:p w14:paraId="016F58A7" w14:textId="77777777" w:rsidR="00F17CA2" w:rsidRDefault="00F17CA2" w:rsidP="00AE7C41">
            <w:pPr>
              <w:rPr>
                <w:rFonts w:cs="Helvetica"/>
                <w:color w:val="000000"/>
              </w:rPr>
            </w:pPr>
            <w:r>
              <w:rPr>
                <w:rFonts w:cs="Helvetica"/>
                <w:color w:val="000000"/>
              </w:rPr>
              <w:t>72</w:t>
            </w:r>
          </w:p>
        </w:tc>
        <w:tc>
          <w:tcPr>
            <w:tcW w:w="1800" w:type="dxa"/>
          </w:tcPr>
          <w:p w14:paraId="27A8B6F1" w14:textId="77777777" w:rsidR="00F17CA2" w:rsidRDefault="00F17CA2" w:rsidP="00AE7C41">
            <w:pPr>
              <w:rPr>
                <w:rFonts w:cs="Helvetica"/>
                <w:color w:val="000000"/>
              </w:rPr>
            </w:pPr>
            <w:r>
              <w:rPr>
                <w:rFonts w:cs="Helvetica"/>
                <w:color w:val="000000"/>
              </w:rPr>
              <w:t>-14</w:t>
            </w:r>
          </w:p>
        </w:tc>
      </w:tr>
      <w:tr w:rsidR="00F17CA2" w14:paraId="2CC17604" w14:textId="77777777" w:rsidTr="00AE7C41">
        <w:tc>
          <w:tcPr>
            <w:tcW w:w="3955" w:type="dxa"/>
          </w:tcPr>
          <w:p w14:paraId="3903416E" w14:textId="77777777" w:rsidR="00F17CA2" w:rsidRDefault="00F17CA2" w:rsidP="00AE7C41">
            <w:pPr>
              <w:rPr>
                <w:rFonts w:cs="Helvetica"/>
                <w:color w:val="000000"/>
              </w:rPr>
            </w:pPr>
            <w:r>
              <w:rPr>
                <w:rFonts w:cs="Helvetica"/>
                <w:color w:val="000000"/>
              </w:rPr>
              <w:t>Air Transport Infrastructure</w:t>
            </w:r>
          </w:p>
        </w:tc>
        <w:tc>
          <w:tcPr>
            <w:tcW w:w="1710" w:type="dxa"/>
          </w:tcPr>
          <w:p w14:paraId="4CF1E773" w14:textId="77777777" w:rsidR="00F17CA2" w:rsidRDefault="00F17CA2" w:rsidP="00AE7C41">
            <w:pPr>
              <w:rPr>
                <w:rFonts w:cs="Helvetica"/>
                <w:color w:val="000000"/>
              </w:rPr>
            </w:pPr>
            <w:r>
              <w:rPr>
                <w:rFonts w:cs="Helvetica"/>
                <w:color w:val="000000"/>
              </w:rPr>
              <w:t>75</w:t>
            </w:r>
          </w:p>
        </w:tc>
        <w:tc>
          <w:tcPr>
            <w:tcW w:w="1620" w:type="dxa"/>
          </w:tcPr>
          <w:p w14:paraId="7748F7B2" w14:textId="77777777" w:rsidR="00F17CA2" w:rsidRDefault="00F17CA2" w:rsidP="00AE7C41">
            <w:pPr>
              <w:rPr>
                <w:rFonts w:cs="Helvetica"/>
                <w:color w:val="000000"/>
              </w:rPr>
            </w:pPr>
            <w:r>
              <w:rPr>
                <w:rFonts w:cs="Helvetica"/>
                <w:color w:val="000000"/>
              </w:rPr>
              <w:t>68</w:t>
            </w:r>
          </w:p>
        </w:tc>
        <w:tc>
          <w:tcPr>
            <w:tcW w:w="1800" w:type="dxa"/>
          </w:tcPr>
          <w:p w14:paraId="45536E76" w14:textId="77777777" w:rsidR="00F17CA2" w:rsidRDefault="00F17CA2" w:rsidP="00AE7C41">
            <w:pPr>
              <w:rPr>
                <w:rFonts w:cs="Helvetica"/>
                <w:color w:val="000000"/>
              </w:rPr>
            </w:pPr>
            <w:r>
              <w:rPr>
                <w:rFonts w:cs="Helvetica"/>
                <w:color w:val="000000"/>
              </w:rPr>
              <w:t>+7</w:t>
            </w:r>
          </w:p>
        </w:tc>
      </w:tr>
      <w:tr w:rsidR="00F17CA2" w14:paraId="2B3ADD6D" w14:textId="77777777" w:rsidTr="00AE7C41">
        <w:tc>
          <w:tcPr>
            <w:tcW w:w="3955" w:type="dxa"/>
          </w:tcPr>
          <w:p w14:paraId="14D9466E" w14:textId="77777777" w:rsidR="00F17CA2" w:rsidRDefault="00F17CA2" w:rsidP="00AE7C41">
            <w:pPr>
              <w:rPr>
                <w:rFonts w:cs="Helvetica"/>
                <w:color w:val="000000"/>
              </w:rPr>
            </w:pPr>
            <w:r>
              <w:rPr>
                <w:rFonts w:cs="Helvetica"/>
                <w:color w:val="000000"/>
              </w:rPr>
              <w:t>Ground Transport Infrastructure</w:t>
            </w:r>
          </w:p>
        </w:tc>
        <w:tc>
          <w:tcPr>
            <w:tcW w:w="1710" w:type="dxa"/>
          </w:tcPr>
          <w:p w14:paraId="6E6FAEAB" w14:textId="77777777" w:rsidR="00F17CA2" w:rsidRDefault="00F17CA2" w:rsidP="00AE7C41">
            <w:pPr>
              <w:rPr>
                <w:rFonts w:cs="Helvetica"/>
                <w:color w:val="000000"/>
              </w:rPr>
            </w:pPr>
            <w:r>
              <w:rPr>
                <w:rFonts w:cs="Helvetica"/>
                <w:color w:val="000000"/>
              </w:rPr>
              <w:t>121</w:t>
            </w:r>
          </w:p>
        </w:tc>
        <w:tc>
          <w:tcPr>
            <w:tcW w:w="1620" w:type="dxa"/>
          </w:tcPr>
          <w:p w14:paraId="4D8CC59D" w14:textId="77777777" w:rsidR="00F17CA2" w:rsidRDefault="00F17CA2" w:rsidP="00AE7C41">
            <w:pPr>
              <w:rPr>
                <w:rFonts w:cs="Helvetica"/>
                <w:color w:val="000000"/>
              </w:rPr>
            </w:pPr>
            <w:r>
              <w:rPr>
                <w:rFonts w:cs="Helvetica"/>
                <w:color w:val="000000"/>
              </w:rPr>
              <w:t>107</w:t>
            </w:r>
          </w:p>
        </w:tc>
        <w:tc>
          <w:tcPr>
            <w:tcW w:w="1800" w:type="dxa"/>
          </w:tcPr>
          <w:p w14:paraId="2C85FCAA" w14:textId="77777777" w:rsidR="00F17CA2" w:rsidRDefault="00F17CA2" w:rsidP="00AE7C41">
            <w:pPr>
              <w:rPr>
                <w:rFonts w:cs="Helvetica"/>
                <w:color w:val="000000"/>
              </w:rPr>
            </w:pPr>
            <w:r>
              <w:rPr>
                <w:rFonts w:cs="Helvetica"/>
                <w:color w:val="000000"/>
              </w:rPr>
              <w:t>+14</w:t>
            </w:r>
          </w:p>
        </w:tc>
      </w:tr>
      <w:tr w:rsidR="00F17CA2" w14:paraId="3E79BD5D" w14:textId="77777777" w:rsidTr="00AE7C41">
        <w:tc>
          <w:tcPr>
            <w:tcW w:w="3955" w:type="dxa"/>
          </w:tcPr>
          <w:p w14:paraId="0C4D6602" w14:textId="77777777" w:rsidR="00F17CA2" w:rsidRDefault="00F17CA2" w:rsidP="00AE7C41">
            <w:pPr>
              <w:rPr>
                <w:rFonts w:cs="Helvetica"/>
                <w:color w:val="000000"/>
              </w:rPr>
            </w:pPr>
            <w:r>
              <w:rPr>
                <w:rFonts w:cs="Helvetica"/>
                <w:color w:val="000000"/>
              </w:rPr>
              <w:t>Tourism Infrastructure</w:t>
            </w:r>
          </w:p>
        </w:tc>
        <w:tc>
          <w:tcPr>
            <w:tcW w:w="1710" w:type="dxa"/>
          </w:tcPr>
          <w:p w14:paraId="104F122D" w14:textId="77777777" w:rsidR="00F17CA2" w:rsidRDefault="00F17CA2" w:rsidP="00AE7C41">
            <w:pPr>
              <w:rPr>
                <w:rFonts w:cs="Helvetica"/>
                <w:color w:val="000000"/>
              </w:rPr>
            </w:pPr>
            <w:r>
              <w:rPr>
                <w:rFonts w:cs="Helvetica"/>
                <w:color w:val="000000"/>
              </w:rPr>
              <w:t>67</w:t>
            </w:r>
          </w:p>
        </w:tc>
        <w:tc>
          <w:tcPr>
            <w:tcW w:w="1620" w:type="dxa"/>
          </w:tcPr>
          <w:p w14:paraId="44790BB5" w14:textId="77777777" w:rsidR="00F17CA2" w:rsidRDefault="00F17CA2" w:rsidP="00AE7C41">
            <w:pPr>
              <w:rPr>
                <w:rFonts w:cs="Helvetica"/>
                <w:color w:val="000000"/>
              </w:rPr>
            </w:pPr>
            <w:r>
              <w:rPr>
                <w:rFonts w:cs="Helvetica"/>
                <w:color w:val="000000"/>
              </w:rPr>
              <w:t>31</w:t>
            </w:r>
          </w:p>
        </w:tc>
        <w:tc>
          <w:tcPr>
            <w:tcW w:w="1800" w:type="dxa"/>
          </w:tcPr>
          <w:p w14:paraId="72C303E8" w14:textId="77777777" w:rsidR="00F17CA2" w:rsidRDefault="00F17CA2" w:rsidP="00AE7C41">
            <w:pPr>
              <w:rPr>
                <w:rFonts w:cs="Helvetica"/>
                <w:color w:val="000000"/>
              </w:rPr>
            </w:pPr>
            <w:r>
              <w:rPr>
                <w:rFonts w:cs="Helvetica"/>
                <w:color w:val="000000"/>
              </w:rPr>
              <w:t>+36</w:t>
            </w:r>
          </w:p>
        </w:tc>
      </w:tr>
      <w:tr w:rsidR="00F17CA2" w14:paraId="31AEFDC8" w14:textId="77777777" w:rsidTr="00AE7C41">
        <w:tc>
          <w:tcPr>
            <w:tcW w:w="3955" w:type="dxa"/>
          </w:tcPr>
          <w:p w14:paraId="5F6269C8" w14:textId="77777777" w:rsidR="00F17CA2" w:rsidRDefault="00F17CA2" w:rsidP="00AE7C41">
            <w:pPr>
              <w:rPr>
                <w:rFonts w:cs="Helvetica"/>
                <w:color w:val="000000"/>
              </w:rPr>
            </w:pPr>
            <w:r>
              <w:rPr>
                <w:rFonts w:cs="Helvetica"/>
                <w:color w:val="000000"/>
              </w:rPr>
              <w:t>ICT Infrastructure</w:t>
            </w:r>
          </w:p>
        </w:tc>
        <w:tc>
          <w:tcPr>
            <w:tcW w:w="1710" w:type="dxa"/>
          </w:tcPr>
          <w:p w14:paraId="5D81050E" w14:textId="77777777" w:rsidR="00F17CA2" w:rsidRDefault="00F17CA2" w:rsidP="00AE7C41">
            <w:pPr>
              <w:rPr>
                <w:rFonts w:cs="Helvetica"/>
                <w:color w:val="000000"/>
              </w:rPr>
            </w:pPr>
            <w:r>
              <w:rPr>
                <w:rFonts w:cs="Helvetica"/>
                <w:color w:val="000000"/>
              </w:rPr>
              <w:t>83</w:t>
            </w:r>
          </w:p>
        </w:tc>
        <w:tc>
          <w:tcPr>
            <w:tcW w:w="1620" w:type="dxa"/>
          </w:tcPr>
          <w:p w14:paraId="39ABDD67" w14:textId="77777777" w:rsidR="00F17CA2" w:rsidRDefault="00F17CA2" w:rsidP="00AE7C41">
            <w:pPr>
              <w:rPr>
                <w:rFonts w:cs="Helvetica"/>
                <w:color w:val="000000"/>
              </w:rPr>
            </w:pPr>
            <w:r>
              <w:rPr>
                <w:rFonts w:cs="Helvetica"/>
                <w:color w:val="000000"/>
              </w:rPr>
              <w:t>65</w:t>
            </w:r>
          </w:p>
        </w:tc>
        <w:tc>
          <w:tcPr>
            <w:tcW w:w="1800" w:type="dxa"/>
          </w:tcPr>
          <w:p w14:paraId="115980CD" w14:textId="77777777" w:rsidR="00F17CA2" w:rsidRDefault="00F17CA2" w:rsidP="00AE7C41">
            <w:pPr>
              <w:rPr>
                <w:rFonts w:cs="Helvetica"/>
                <w:color w:val="000000"/>
              </w:rPr>
            </w:pPr>
            <w:r>
              <w:rPr>
                <w:rFonts w:cs="Helvetica"/>
                <w:color w:val="000000"/>
              </w:rPr>
              <w:t>+18</w:t>
            </w:r>
          </w:p>
        </w:tc>
      </w:tr>
      <w:tr w:rsidR="00F17CA2" w14:paraId="32CF0CB4" w14:textId="77777777" w:rsidTr="00AE7C41">
        <w:tc>
          <w:tcPr>
            <w:tcW w:w="3955" w:type="dxa"/>
          </w:tcPr>
          <w:p w14:paraId="214ABC2C" w14:textId="77777777" w:rsidR="00F17CA2" w:rsidRDefault="00F17CA2" w:rsidP="00AE7C41">
            <w:pPr>
              <w:rPr>
                <w:rFonts w:cs="Helvetica"/>
                <w:color w:val="000000"/>
              </w:rPr>
            </w:pPr>
            <w:r>
              <w:rPr>
                <w:rFonts w:cs="Helvetica"/>
                <w:color w:val="000000"/>
              </w:rPr>
              <w:t>Price Competitiveness in T and T</w:t>
            </w:r>
          </w:p>
        </w:tc>
        <w:tc>
          <w:tcPr>
            <w:tcW w:w="1710" w:type="dxa"/>
          </w:tcPr>
          <w:p w14:paraId="4B21A7A5" w14:textId="77777777" w:rsidR="00F17CA2" w:rsidRDefault="00F17CA2" w:rsidP="00AE7C41">
            <w:pPr>
              <w:rPr>
                <w:rFonts w:cs="Helvetica"/>
                <w:color w:val="000000"/>
              </w:rPr>
            </w:pPr>
            <w:r>
              <w:rPr>
                <w:rFonts w:cs="Helvetica"/>
                <w:color w:val="000000"/>
              </w:rPr>
              <w:t>103</w:t>
            </w:r>
          </w:p>
        </w:tc>
        <w:tc>
          <w:tcPr>
            <w:tcW w:w="1620" w:type="dxa"/>
          </w:tcPr>
          <w:p w14:paraId="65293F9A" w14:textId="77777777" w:rsidR="00F17CA2" w:rsidRDefault="00F17CA2" w:rsidP="00AE7C41">
            <w:pPr>
              <w:rPr>
                <w:rFonts w:cs="Helvetica"/>
                <w:color w:val="000000"/>
              </w:rPr>
            </w:pPr>
            <w:r>
              <w:rPr>
                <w:rFonts w:cs="Helvetica"/>
                <w:color w:val="000000"/>
              </w:rPr>
              <w:t>82</w:t>
            </w:r>
          </w:p>
        </w:tc>
        <w:tc>
          <w:tcPr>
            <w:tcW w:w="1800" w:type="dxa"/>
          </w:tcPr>
          <w:p w14:paraId="7A79EEE7" w14:textId="77777777" w:rsidR="00F17CA2" w:rsidRDefault="00F17CA2" w:rsidP="00AE7C41">
            <w:pPr>
              <w:rPr>
                <w:rFonts w:cs="Helvetica"/>
                <w:color w:val="000000"/>
              </w:rPr>
            </w:pPr>
            <w:r>
              <w:rPr>
                <w:rFonts w:cs="Helvetica"/>
                <w:color w:val="000000"/>
              </w:rPr>
              <w:t>+21</w:t>
            </w:r>
          </w:p>
        </w:tc>
      </w:tr>
      <w:tr w:rsidR="00F17CA2" w14:paraId="065E79F8" w14:textId="77777777" w:rsidTr="00AE7C41">
        <w:tc>
          <w:tcPr>
            <w:tcW w:w="3955" w:type="dxa"/>
          </w:tcPr>
          <w:p w14:paraId="4C2727BD" w14:textId="77777777" w:rsidR="00F17CA2" w:rsidRDefault="00F17CA2" w:rsidP="00AE7C41">
            <w:pPr>
              <w:rPr>
                <w:rFonts w:cs="Helvetica"/>
                <w:color w:val="000000"/>
              </w:rPr>
            </w:pPr>
            <w:r>
              <w:rPr>
                <w:rFonts w:cs="Helvetica"/>
                <w:color w:val="000000"/>
              </w:rPr>
              <w:t>Human Resources</w:t>
            </w:r>
          </w:p>
        </w:tc>
        <w:tc>
          <w:tcPr>
            <w:tcW w:w="1710" w:type="dxa"/>
          </w:tcPr>
          <w:p w14:paraId="152C490A" w14:textId="77777777" w:rsidR="00F17CA2" w:rsidRDefault="00F17CA2" w:rsidP="00AE7C41">
            <w:pPr>
              <w:rPr>
                <w:rFonts w:cs="Helvetica"/>
                <w:color w:val="000000"/>
              </w:rPr>
            </w:pPr>
            <w:r>
              <w:rPr>
                <w:rFonts w:cs="Helvetica"/>
                <w:color w:val="000000"/>
              </w:rPr>
              <w:t>80</w:t>
            </w:r>
          </w:p>
        </w:tc>
        <w:tc>
          <w:tcPr>
            <w:tcW w:w="1620" w:type="dxa"/>
          </w:tcPr>
          <w:p w14:paraId="5EFAD421" w14:textId="77777777" w:rsidR="00F17CA2" w:rsidRDefault="00F17CA2" w:rsidP="00AE7C41">
            <w:pPr>
              <w:rPr>
                <w:rFonts w:cs="Helvetica"/>
                <w:color w:val="000000"/>
              </w:rPr>
            </w:pPr>
            <w:r>
              <w:rPr>
                <w:rFonts w:cs="Helvetica"/>
                <w:color w:val="000000"/>
              </w:rPr>
              <w:t>72</w:t>
            </w:r>
          </w:p>
        </w:tc>
        <w:tc>
          <w:tcPr>
            <w:tcW w:w="1800" w:type="dxa"/>
          </w:tcPr>
          <w:p w14:paraId="57A8EB7A" w14:textId="77777777" w:rsidR="00F17CA2" w:rsidRDefault="00F17CA2" w:rsidP="00AE7C41">
            <w:pPr>
              <w:rPr>
                <w:rFonts w:cs="Helvetica"/>
                <w:color w:val="000000"/>
              </w:rPr>
            </w:pPr>
            <w:r>
              <w:rPr>
                <w:rFonts w:cs="Helvetica"/>
                <w:color w:val="000000"/>
              </w:rPr>
              <w:t>+8</w:t>
            </w:r>
          </w:p>
        </w:tc>
      </w:tr>
      <w:tr w:rsidR="00F17CA2" w14:paraId="2481D6C8" w14:textId="77777777" w:rsidTr="00AE7C41">
        <w:tc>
          <w:tcPr>
            <w:tcW w:w="3955" w:type="dxa"/>
          </w:tcPr>
          <w:p w14:paraId="7179DFFB" w14:textId="77777777" w:rsidR="00F17CA2" w:rsidRDefault="00F17CA2" w:rsidP="00AE7C41">
            <w:pPr>
              <w:rPr>
                <w:rFonts w:cs="Helvetica"/>
                <w:color w:val="000000"/>
              </w:rPr>
            </w:pPr>
            <w:r>
              <w:rPr>
                <w:rFonts w:cs="Helvetica"/>
                <w:color w:val="000000"/>
              </w:rPr>
              <w:t>Affinity for Travel and Tourism</w:t>
            </w:r>
          </w:p>
        </w:tc>
        <w:tc>
          <w:tcPr>
            <w:tcW w:w="1710" w:type="dxa"/>
          </w:tcPr>
          <w:p w14:paraId="6B92858F" w14:textId="77777777" w:rsidR="00F17CA2" w:rsidRDefault="00F17CA2" w:rsidP="00AE7C41">
            <w:pPr>
              <w:rPr>
                <w:rFonts w:cs="Helvetica"/>
                <w:color w:val="000000"/>
              </w:rPr>
            </w:pPr>
            <w:r>
              <w:rPr>
                <w:rFonts w:cs="Helvetica"/>
                <w:color w:val="000000"/>
              </w:rPr>
              <w:t>82</w:t>
            </w:r>
          </w:p>
        </w:tc>
        <w:tc>
          <w:tcPr>
            <w:tcW w:w="1620" w:type="dxa"/>
          </w:tcPr>
          <w:p w14:paraId="6F1AB602" w14:textId="77777777" w:rsidR="00F17CA2" w:rsidRDefault="00F17CA2" w:rsidP="00AE7C41">
            <w:pPr>
              <w:rPr>
                <w:rFonts w:cs="Helvetica"/>
                <w:color w:val="000000"/>
              </w:rPr>
            </w:pPr>
            <w:r>
              <w:rPr>
                <w:rFonts w:cs="Helvetica"/>
                <w:color w:val="000000"/>
              </w:rPr>
              <w:t>8</w:t>
            </w:r>
          </w:p>
        </w:tc>
        <w:tc>
          <w:tcPr>
            <w:tcW w:w="1800" w:type="dxa"/>
          </w:tcPr>
          <w:p w14:paraId="6EC55CB1" w14:textId="77777777" w:rsidR="00F17CA2" w:rsidRDefault="00F17CA2" w:rsidP="00AE7C41">
            <w:pPr>
              <w:rPr>
                <w:rFonts w:cs="Helvetica"/>
                <w:color w:val="000000"/>
              </w:rPr>
            </w:pPr>
            <w:r>
              <w:rPr>
                <w:rFonts w:cs="Helvetica"/>
                <w:color w:val="000000"/>
              </w:rPr>
              <w:t>+74</w:t>
            </w:r>
          </w:p>
        </w:tc>
      </w:tr>
      <w:tr w:rsidR="00F17CA2" w14:paraId="0F4261EC" w14:textId="77777777" w:rsidTr="00AE7C41">
        <w:tc>
          <w:tcPr>
            <w:tcW w:w="3955" w:type="dxa"/>
          </w:tcPr>
          <w:p w14:paraId="24198076" w14:textId="77777777" w:rsidR="00F17CA2" w:rsidRDefault="00F17CA2" w:rsidP="00AE7C41">
            <w:pPr>
              <w:rPr>
                <w:rFonts w:cs="Helvetica"/>
                <w:color w:val="000000"/>
              </w:rPr>
            </w:pPr>
            <w:r>
              <w:rPr>
                <w:rFonts w:cs="Helvetica"/>
                <w:color w:val="000000"/>
              </w:rPr>
              <w:t>Natural Resources</w:t>
            </w:r>
          </w:p>
        </w:tc>
        <w:tc>
          <w:tcPr>
            <w:tcW w:w="1710" w:type="dxa"/>
          </w:tcPr>
          <w:p w14:paraId="0162057D" w14:textId="77777777" w:rsidR="00F17CA2" w:rsidRDefault="00F17CA2" w:rsidP="00AE7C41">
            <w:pPr>
              <w:rPr>
                <w:rFonts w:cs="Helvetica"/>
                <w:color w:val="000000"/>
              </w:rPr>
            </w:pPr>
            <w:r>
              <w:rPr>
                <w:rFonts w:cs="Helvetica"/>
                <w:color w:val="000000"/>
              </w:rPr>
              <w:t>12</w:t>
            </w:r>
          </w:p>
        </w:tc>
        <w:tc>
          <w:tcPr>
            <w:tcW w:w="1620" w:type="dxa"/>
          </w:tcPr>
          <w:p w14:paraId="28793EFD" w14:textId="77777777" w:rsidR="00F17CA2" w:rsidRDefault="00F17CA2" w:rsidP="00AE7C41">
            <w:pPr>
              <w:rPr>
                <w:rFonts w:cs="Helvetica"/>
                <w:color w:val="000000"/>
              </w:rPr>
            </w:pPr>
            <w:r>
              <w:rPr>
                <w:rFonts w:cs="Helvetica"/>
                <w:color w:val="000000"/>
              </w:rPr>
              <w:t>13</w:t>
            </w:r>
          </w:p>
        </w:tc>
        <w:tc>
          <w:tcPr>
            <w:tcW w:w="1800" w:type="dxa"/>
          </w:tcPr>
          <w:p w14:paraId="4E723AB0" w14:textId="77777777" w:rsidR="00F17CA2" w:rsidRDefault="00F17CA2" w:rsidP="00AE7C41">
            <w:pPr>
              <w:rPr>
                <w:rFonts w:cs="Helvetica"/>
                <w:color w:val="000000"/>
              </w:rPr>
            </w:pPr>
            <w:r>
              <w:rPr>
                <w:rFonts w:cs="Helvetica"/>
                <w:color w:val="000000"/>
              </w:rPr>
              <w:t>-1</w:t>
            </w:r>
          </w:p>
        </w:tc>
      </w:tr>
      <w:tr w:rsidR="00F17CA2" w14:paraId="4CB992EE" w14:textId="77777777" w:rsidTr="00AE7C41">
        <w:tc>
          <w:tcPr>
            <w:tcW w:w="3955" w:type="dxa"/>
          </w:tcPr>
          <w:p w14:paraId="00B34CCA" w14:textId="77777777" w:rsidR="00F17CA2" w:rsidRDefault="00F17CA2" w:rsidP="00AE7C41">
            <w:pPr>
              <w:rPr>
                <w:rFonts w:cs="Helvetica"/>
                <w:color w:val="000000"/>
              </w:rPr>
            </w:pPr>
            <w:r>
              <w:rPr>
                <w:rFonts w:cs="Helvetica"/>
                <w:color w:val="000000"/>
              </w:rPr>
              <w:t>Cultural Resources</w:t>
            </w:r>
          </w:p>
        </w:tc>
        <w:tc>
          <w:tcPr>
            <w:tcW w:w="1710" w:type="dxa"/>
          </w:tcPr>
          <w:p w14:paraId="7995A1BE" w14:textId="77777777" w:rsidR="00F17CA2" w:rsidRDefault="00F17CA2" w:rsidP="00AE7C41">
            <w:pPr>
              <w:rPr>
                <w:rFonts w:cs="Helvetica"/>
                <w:color w:val="000000"/>
              </w:rPr>
            </w:pPr>
            <w:r>
              <w:rPr>
                <w:rFonts w:cs="Helvetica"/>
                <w:color w:val="000000"/>
              </w:rPr>
              <w:t>43</w:t>
            </w:r>
          </w:p>
        </w:tc>
        <w:tc>
          <w:tcPr>
            <w:tcW w:w="1620" w:type="dxa"/>
          </w:tcPr>
          <w:p w14:paraId="7C6AF759" w14:textId="77777777" w:rsidR="00F17CA2" w:rsidRDefault="00F17CA2" w:rsidP="00AE7C41">
            <w:pPr>
              <w:rPr>
                <w:rFonts w:cs="Helvetica"/>
                <w:color w:val="000000"/>
              </w:rPr>
            </w:pPr>
            <w:r>
              <w:rPr>
                <w:rFonts w:cs="Helvetica"/>
                <w:color w:val="000000"/>
              </w:rPr>
              <w:t>27</w:t>
            </w:r>
          </w:p>
        </w:tc>
        <w:tc>
          <w:tcPr>
            <w:tcW w:w="1800" w:type="dxa"/>
          </w:tcPr>
          <w:p w14:paraId="2EA00A58" w14:textId="77777777" w:rsidR="00F17CA2" w:rsidRDefault="00F17CA2" w:rsidP="00AE7C41">
            <w:pPr>
              <w:rPr>
                <w:rFonts w:cs="Helvetica"/>
                <w:color w:val="000000"/>
              </w:rPr>
            </w:pPr>
            <w:r>
              <w:rPr>
                <w:rFonts w:cs="Helvetica"/>
                <w:color w:val="000000"/>
              </w:rPr>
              <w:t>+16</w:t>
            </w:r>
          </w:p>
        </w:tc>
      </w:tr>
      <w:tr w:rsidR="00F17CA2" w14:paraId="307F42C7" w14:textId="77777777" w:rsidTr="00AE7C41">
        <w:tc>
          <w:tcPr>
            <w:tcW w:w="3955" w:type="dxa"/>
          </w:tcPr>
          <w:p w14:paraId="0646A0D0" w14:textId="77777777" w:rsidR="00F17CA2" w:rsidRDefault="00F17CA2" w:rsidP="00AE7C41">
            <w:pPr>
              <w:rPr>
                <w:rFonts w:cs="Helvetica"/>
                <w:color w:val="000000"/>
              </w:rPr>
            </w:pPr>
            <w:r>
              <w:rPr>
                <w:rFonts w:cs="Helvetica"/>
                <w:color w:val="000000"/>
              </w:rPr>
              <w:t>Overall</w:t>
            </w:r>
          </w:p>
        </w:tc>
        <w:tc>
          <w:tcPr>
            <w:tcW w:w="1710" w:type="dxa"/>
          </w:tcPr>
          <w:p w14:paraId="5E93F1B3" w14:textId="77777777" w:rsidR="00F17CA2" w:rsidRDefault="00F17CA2" w:rsidP="00AE7C41">
            <w:pPr>
              <w:rPr>
                <w:rFonts w:cs="Helvetica"/>
                <w:color w:val="000000"/>
              </w:rPr>
            </w:pPr>
            <w:r>
              <w:rPr>
                <w:rFonts w:cs="Helvetica"/>
                <w:color w:val="000000"/>
              </w:rPr>
              <w:t>73</w:t>
            </w:r>
          </w:p>
        </w:tc>
        <w:tc>
          <w:tcPr>
            <w:tcW w:w="1620" w:type="dxa"/>
          </w:tcPr>
          <w:p w14:paraId="6CAC4B52" w14:textId="77777777" w:rsidR="00F17CA2" w:rsidRDefault="00F17CA2" w:rsidP="00AE7C41">
            <w:pPr>
              <w:rPr>
                <w:rFonts w:cs="Helvetica"/>
                <w:color w:val="000000"/>
              </w:rPr>
            </w:pPr>
            <w:r>
              <w:rPr>
                <w:rFonts w:cs="Helvetica"/>
                <w:color w:val="000000"/>
              </w:rPr>
              <w:t>49</w:t>
            </w:r>
          </w:p>
        </w:tc>
        <w:tc>
          <w:tcPr>
            <w:tcW w:w="1800" w:type="dxa"/>
          </w:tcPr>
          <w:p w14:paraId="28D28D30" w14:textId="77777777" w:rsidR="00F17CA2" w:rsidRDefault="00F17CA2" w:rsidP="00AE7C41">
            <w:pPr>
              <w:rPr>
                <w:rFonts w:cs="Helvetica"/>
                <w:color w:val="000000"/>
              </w:rPr>
            </w:pPr>
            <w:r>
              <w:rPr>
                <w:rFonts w:cs="Helvetica"/>
                <w:color w:val="000000"/>
              </w:rPr>
              <w:t>+24</w:t>
            </w:r>
          </w:p>
        </w:tc>
      </w:tr>
    </w:tbl>
    <w:p w14:paraId="1D31AC0E" w14:textId="6ECAE995" w:rsidR="00F17CA2" w:rsidRDefault="00F17CA2" w:rsidP="00F17CA2">
      <w:pPr>
        <w:rPr>
          <w:rFonts w:cs="Helvetica"/>
          <w:color w:val="000000"/>
        </w:rPr>
      </w:pPr>
      <w:r>
        <w:rPr>
          <w:rFonts w:cs="Helvetica"/>
          <w:color w:val="000000"/>
        </w:rPr>
        <w:br/>
      </w:r>
      <w:r w:rsidR="0068272D">
        <w:rPr>
          <w:rFonts w:cs="Helvetica"/>
          <w:color w:val="000000"/>
        </w:rPr>
        <w:tab/>
      </w:r>
      <w:r>
        <w:rPr>
          <w:rFonts w:cs="Helvetica"/>
          <w:color w:val="000000"/>
        </w:rPr>
        <w:t xml:space="preserve">The competitive analysis was taken from the Travel &amp; Tourism Competitiveness Report and could be interwoven with Mintzberg’s Pattern with regards to successes and failures.  The biggest change, affinity for travel and tourism was identified numerous times in the Ministry 2020 strategies and has the greatest improvement from 2013-2019 which suggest there was a </w:t>
      </w:r>
      <w:r>
        <w:rPr>
          <w:rFonts w:cs="Helvetica"/>
          <w:color w:val="000000"/>
        </w:rPr>
        <w:lastRenderedPageBreak/>
        <w:t xml:space="preserve">focus on it previously.  </w:t>
      </w:r>
      <w:r w:rsidRPr="00147229">
        <w:rPr>
          <w:rFonts w:cs="Helvetica"/>
          <w:color w:val="000000"/>
        </w:rPr>
        <w:t xml:space="preserve">Although some of the categories have changed or expanded, they </w:t>
      </w:r>
      <w:r>
        <w:rPr>
          <w:rFonts w:cs="Helvetica"/>
          <w:color w:val="000000"/>
        </w:rPr>
        <w:t>show success</w:t>
      </w:r>
      <w:r w:rsidRPr="00147229">
        <w:rPr>
          <w:rFonts w:cs="Helvetica"/>
          <w:color w:val="000000"/>
        </w:rPr>
        <w:t xml:space="preserve"> in all pillars </w:t>
      </w:r>
      <w:r>
        <w:rPr>
          <w:rFonts w:cs="Helvetica"/>
          <w:color w:val="000000"/>
        </w:rPr>
        <w:t>with the exception of</w:t>
      </w:r>
      <w:r w:rsidRPr="00147229">
        <w:rPr>
          <w:rFonts w:cs="Helvetica"/>
          <w:color w:val="000000"/>
        </w:rPr>
        <w:t xml:space="preserve"> natural resources and prioritization of travel &amp; tourism</w:t>
      </w:r>
      <w:r>
        <w:rPr>
          <w:rFonts w:cs="Helvetica"/>
          <w:color w:val="000000"/>
        </w:rPr>
        <w:t>.  Safety and security stayed the same which seems a little odd given that issues that safety and security present when traveling in third world countries.  A final success is the overall score has increased from being ranked 73 out of 140 countries to 49</w:t>
      </w:r>
      <w:r w:rsidRPr="00147229">
        <w:rPr>
          <w:rFonts w:cs="Helvetica"/>
          <w:color w:val="000000"/>
          <w:vertAlign w:val="superscript"/>
        </w:rPr>
        <w:t>th</w:t>
      </w:r>
      <w:r>
        <w:rPr>
          <w:rFonts w:cs="Helvetica"/>
          <w:color w:val="000000"/>
        </w:rPr>
        <w:t xml:space="preserve">. </w:t>
      </w:r>
      <w:sdt>
        <w:sdtPr>
          <w:rPr>
            <w:rFonts w:cs="Helvetica"/>
            <w:color w:val="000000"/>
          </w:rPr>
          <w:id w:val="725886239"/>
          <w:citation/>
        </w:sdtPr>
        <w:sdtContent>
          <w:r>
            <w:rPr>
              <w:rFonts w:cs="Helvetica"/>
              <w:color w:val="000000"/>
            </w:rPr>
            <w:fldChar w:fldCharType="begin"/>
          </w:r>
          <w:r>
            <w:rPr>
              <w:rFonts w:cs="Helvetica"/>
              <w:color w:val="000000"/>
            </w:rPr>
            <w:instrText xml:space="preserve"> CITATION Cal19 \l 1033 </w:instrText>
          </w:r>
          <w:r>
            <w:rPr>
              <w:rFonts w:cs="Helvetica"/>
              <w:color w:val="000000"/>
            </w:rPr>
            <w:fldChar w:fldCharType="separate"/>
          </w:r>
          <w:r w:rsidRPr="00147229">
            <w:rPr>
              <w:rFonts w:cs="Helvetica"/>
              <w:noProof/>
              <w:color w:val="000000"/>
            </w:rPr>
            <w:t>(Calderwood &amp; Soshkin, 2019)</w:t>
          </w:r>
          <w:r>
            <w:rPr>
              <w:rFonts w:cs="Helvetica"/>
              <w:color w:val="000000"/>
            </w:rPr>
            <w:fldChar w:fldCharType="end"/>
          </w:r>
        </w:sdtContent>
      </w:sdt>
      <w:r>
        <w:rPr>
          <w:rFonts w:cs="Helvetica"/>
          <w:color w:val="000000"/>
        </w:rPr>
        <w:t xml:space="preserve"> </w:t>
      </w:r>
      <w:sdt>
        <w:sdtPr>
          <w:rPr>
            <w:rFonts w:cs="Helvetica"/>
            <w:color w:val="000000"/>
          </w:rPr>
          <w:id w:val="-1783334808"/>
          <w:citation/>
        </w:sdtPr>
        <w:sdtContent>
          <w:r>
            <w:rPr>
              <w:rFonts w:cs="Helvetica"/>
              <w:color w:val="000000"/>
            </w:rPr>
            <w:fldChar w:fldCharType="begin"/>
          </w:r>
          <w:r>
            <w:rPr>
              <w:rFonts w:cs="Helvetica"/>
              <w:color w:val="000000"/>
            </w:rPr>
            <w:instrText xml:space="preserve"> CITATION Chi13 \l 1033 </w:instrText>
          </w:r>
          <w:r>
            <w:rPr>
              <w:rFonts w:cs="Helvetica"/>
              <w:color w:val="000000"/>
            </w:rPr>
            <w:fldChar w:fldCharType="separate"/>
          </w:r>
          <w:r w:rsidRPr="00147229">
            <w:rPr>
              <w:rFonts w:cs="Helvetica"/>
              <w:noProof/>
              <w:color w:val="000000"/>
            </w:rPr>
            <w:t>(Chiesa, et al., 2013)</w:t>
          </w:r>
          <w:r>
            <w:rPr>
              <w:rFonts w:cs="Helvetica"/>
              <w:color w:val="000000"/>
            </w:rPr>
            <w:fldChar w:fldCharType="end"/>
          </w:r>
        </w:sdtContent>
      </w:sdt>
    </w:p>
    <w:p w14:paraId="15A24DCF" w14:textId="77777777" w:rsidR="00F17CA2" w:rsidRDefault="00F17CA2" w:rsidP="00F17CA2">
      <w:pPr>
        <w:rPr>
          <w:rFonts w:cs="Helvetica"/>
          <w:color w:val="000000"/>
        </w:rPr>
      </w:pPr>
    </w:p>
    <w:p w14:paraId="0E8FC4EF" w14:textId="796FF043" w:rsidR="00F17CA2" w:rsidRDefault="0068272D" w:rsidP="00F17CA2">
      <w:pPr>
        <w:rPr>
          <w:rFonts w:cs="Helvetica"/>
          <w:color w:val="000000"/>
        </w:rPr>
      </w:pPr>
      <w:r>
        <w:rPr>
          <w:rFonts w:cs="Helvetica"/>
          <w:color w:val="000000"/>
        </w:rPr>
        <w:tab/>
      </w:r>
      <w:r w:rsidR="00F17CA2">
        <w:rPr>
          <w:rFonts w:cs="Helvetica"/>
          <w:color w:val="000000"/>
        </w:rPr>
        <w:t xml:space="preserve">As identified above, one </w:t>
      </w:r>
      <w:r w:rsidR="00BF26E3">
        <w:rPr>
          <w:rFonts w:cs="Helvetica"/>
          <w:color w:val="000000"/>
        </w:rPr>
        <w:t>disconnects</w:t>
      </w:r>
      <w:r w:rsidR="00F17CA2">
        <w:rPr>
          <w:rFonts w:cs="Helvetica"/>
          <w:color w:val="000000"/>
        </w:rPr>
        <w:t xml:space="preserve"> in the data is the area of natural resources.  There is a heavy focus in the general strategic objective regarding environmentally responsible economic development and yet the natural resources data in the competitive report shows a decline, by only one point, of that focus.  It could be that the Ministry recognized the slipping and decide to put more focus on that in the strategy beginning 2020.    It is critical that countries create a balance between safeguarding the environment and economic growth through tourism.  Without strategic initiatives in place the risks are high, especially for third world countries.  For Peru, a major risk is this loss of biodiversity which will impact thousands of plant and animal species including butterflies in which the most species are located in Peru. </w:t>
      </w:r>
      <w:sdt>
        <w:sdtPr>
          <w:id w:val="114190925"/>
          <w:citation/>
        </w:sdtPr>
        <w:sdtContent>
          <w:r w:rsidR="00F17CA2" w:rsidRPr="009B2D7F">
            <w:rPr>
              <w:rFonts w:cs="Helvetica"/>
              <w:color w:val="000000"/>
            </w:rPr>
            <w:fldChar w:fldCharType="begin"/>
          </w:r>
          <w:r w:rsidR="00F17CA2" w:rsidRPr="009B2D7F">
            <w:rPr>
              <w:rFonts w:cs="Helvetica"/>
              <w:color w:val="000000"/>
            </w:rPr>
            <w:instrText xml:space="preserve"> CITATION The17 \l 1033 </w:instrText>
          </w:r>
          <w:r w:rsidR="00F17CA2" w:rsidRPr="009B2D7F">
            <w:rPr>
              <w:rFonts w:cs="Helvetica"/>
              <w:color w:val="000000"/>
            </w:rPr>
            <w:fldChar w:fldCharType="separate"/>
          </w:r>
          <w:r w:rsidR="00F17CA2" w:rsidRPr="009B2D7F">
            <w:rPr>
              <w:rFonts w:cs="Helvetica"/>
              <w:noProof/>
              <w:color w:val="000000"/>
            </w:rPr>
            <w:t>(The Biodiversity Finance Initiative, 2017)</w:t>
          </w:r>
          <w:r w:rsidR="00F17CA2" w:rsidRPr="009B2D7F">
            <w:rPr>
              <w:rFonts w:cs="Helvetica"/>
              <w:color w:val="000000"/>
            </w:rPr>
            <w:fldChar w:fldCharType="end"/>
          </w:r>
        </w:sdtContent>
      </w:sdt>
      <w:r w:rsidR="00F17CA2">
        <w:rPr>
          <w:rFonts w:cs="Helvetica"/>
          <w:color w:val="000000"/>
        </w:rPr>
        <w:t xml:space="preserve"> </w:t>
      </w:r>
      <w:r w:rsidR="00F17CA2">
        <w:t xml:space="preserve">Additionally, tourism is also impacting the rainforest, often referred to as the “lungs of the earth” as the country needs the rainforests protected to </w:t>
      </w:r>
      <w:r w:rsidR="00F17CA2">
        <w:rPr>
          <w:rFonts w:cs="Helvetica"/>
          <w:color w:val="000000"/>
        </w:rPr>
        <w:t xml:space="preserve">absorb the CO2 from all human activities thus reducing the carbon dioxide reaching the ozone layer.  </w:t>
      </w:r>
      <w:r w:rsidR="00F17CA2" w:rsidRPr="00EE0C45">
        <w:rPr>
          <w:rFonts w:cs="Helvetica"/>
          <w:color w:val="000000"/>
        </w:rPr>
        <w:t>According to UNWTO, there is a project in the planning stages for forests near ecolodges for $12 million to create more sustainable areas brought together through not only a grant but also the International Finance Corporation.</w:t>
      </w:r>
      <w:r w:rsidR="00F17CA2">
        <w:rPr>
          <w:rFonts w:cs="Helvetica"/>
          <w:color w:val="000000"/>
        </w:rPr>
        <w:t xml:space="preserve"> </w:t>
      </w:r>
      <w:sdt>
        <w:sdtPr>
          <w:rPr>
            <w:rFonts w:cs="Helvetica"/>
            <w:color w:val="000000"/>
          </w:rPr>
          <w:id w:val="92910824"/>
          <w:citation/>
        </w:sdtPr>
        <w:sdtContent>
          <w:r w:rsidR="00F17CA2">
            <w:rPr>
              <w:rFonts w:cs="Helvetica"/>
              <w:color w:val="000000"/>
            </w:rPr>
            <w:fldChar w:fldCharType="begin"/>
          </w:r>
          <w:r w:rsidR="00F17CA2">
            <w:rPr>
              <w:rFonts w:cs="Helvetica"/>
              <w:color w:val="000000"/>
            </w:rPr>
            <w:instrText xml:space="preserve"> CITATION Wor17 \l 1033 </w:instrText>
          </w:r>
          <w:r w:rsidR="00F17CA2">
            <w:rPr>
              <w:rFonts w:cs="Helvetica"/>
              <w:color w:val="000000"/>
            </w:rPr>
            <w:fldChar w:fldCharType="separate"/>
          </w:r>
          <w:r w:rsidR="00F17CA2" w:rsidRPr="00EE0C45">
            <w:rPr>
              <w:rFonts w:cs="Helvetica"/>
              <w:noProof/>
              <w:color w:val="000000"/>
            </w:rPr>
            <w:t>(World Tourism Organization (UNWTO), 2017)</w:t>
          </w:r>
          <w:r w:rsidR="00F17CA2">
            <w:rPr>
              <w:rFonts w:cs="Helvetica"/>
              <w:color w:val="000000"/>
            </w:rPr>
            <w:fldChar w:fldCharType="end"/>
          </w:r>
        </w:sdtContent>
      </w:sdt>
      <w:r w:rsidR="00F17CA2">
        <w:rPr>
          <w:rFonts w:cs="Helvetica"/>
          <w:color w:val="000000"/>
        </w:rPr>
        <w:br/>
      </w:r>
    </w:p>
    <w:p w14:paraId="3C82CA49" w14:textId="56613359" w:rsidR="00F17CA2" w:rsidRDefault="0068272D" w:rsidP="00F17CA2">
      <w:pPr>
        <w:rPr>
          <w:rFonts w:cs="Helvetica"/>
          <w:color w:val="000000"/>
        </w:rPr>
      </w:pPr>
      <w:r>
        <w:rPr>
          <w:rFonts w:cs="Helvetica"/>
          <w:color w:val="000000"/>
        </w:rPr>
        <w:tab/>
      </w:r>
      <w:r w:rsidR="00F17CA2">
        <w:rPr>
          <w:rFonts w:cs="Helvetica"/>
          <w:color w:val="000000"/>
        </w:rPr>
        <w:t xml:space="preserve">From a strategic direction perspective, which is that of sustainable tourism which was identified as a component of the overall objective.  The World Tourism Organization has guidelines and practices that Peru adheres to with regards to sustainability. They describe sustainable tourism using many factors such as preserving ecological processes as well as conserving the natural heritage, culture, and biodiversity of the region.  The organization believes that there should be a fair distribution of economic benefits to host communities such as job opportunities, social services, and poverty alleviation.  Further they state a tolerance of intercultural interaction between host communities and the tourists should be part of the strategy. </w:t>
      </w:r>
      <w:sdt>
        <w:sdtPr>
          <w:rPr>
            <w:rFonts w:cs="Helvetica"/>
            <w:color w:val="000000"/>
          </w:rPr>
          <w:id w:val="2049261674"/>
          <w:citation/>
        </w:sdtPr>
        <w:sdtContent>
          <w:r w:rsidR="00F17CA2">
            <w:rPr>
              <w:rFonts w:cs="Helvetica"/>
              <w:color w:val="000000"/>
            </w:rPr>
            <w:fldChar w:fldCharType="begin"/>
          </w:r>
          <w:r w:rsidR="00F17CA2">
            <w:rPr>
              <w:rFonts w:cs="Helvetica"/>
              <w:color w:val="000000"/>
            </w:rPr>
            <w:instrText xml:space="preserve"> CITATION Pro16 \l 1033 </w:instrText>
          </w:r>
          <w:r w:rsidR="00F17CA2">
            <w:rPr>
              <w:rFonts w:cs="Helvetica"/>
              <w:color w:val="000000"/>
            </w:rPr>
            <w:fldChar w:fldCharType="separate"/>
          </w:r>
          <w:r w:rsidR="00F17CA2" w:rsidRPr="00EE0C45">
            <w:rPr>
              <w:rFonts w:cs="Helvetica"/>
              <w:noProof/>
              <w:color w:val="000000"/>
            </w:rPr>
            <w:t>(Progress Report To The UNWTO Committee On Tourism And Competitiveness, 2016)</w:t>
          </w:r>
          <w:r w:rsidR="00F17CA2">
            <w:rPr>
              <w:rFonts w:cs="Helvetica"/>
              <w:color w:val="000000"/>
            </w:rPr>
            <w:fldChar w:fldCharType="end"/>
          </w:r>
        </w:sdtContent>
      </w:sdt>
    </w:p>
    <w:p w14:paraId="0097149C" w14:textId="69FBC4A8" w:rsidR="00F17CA2" w:rsidRDefault="00F17CA2" w:rsidP="00F17CA2">
      <w:pPr>
        <w:rPr>
          <w:rFonts w:cs="Helvetica"/>
          <w:color w:val="000000"/>
        </w:rPr>
      </w:pPr>
      <w:r>
        <w:rPr>
          <w:rFonts w:cs="Helvetica"/>
          <w:color w:val="000000"/>
        </w:rPr>
        <w:br/>
      </w:r>
      <w:r w:rsidR="0068272D">
        <w:rPr>
          <w:rFonts w:cs="Helvetica"/>
          <w:color w:val="000000"/>
        </w:rPr>
        <w:tab/>
      </w:r>
      <w:r>
        <w:rPr>
          <w:rFonts w:cs="Helvetica"/>
          <w:color w:val="000000"/>
        </w:rPr>
        <w:t xml:space="preserve">Another strategic direction view, it seems that simply labeling an area as protect increases the interest in visiting an area increases the traffic from tourism to the area.  </w:t>
      </w:r>
      <w:r w:rsidRPr="00EE0C45">
        <w:rPr>
          <w:rFonts w:cs="Helvetica"/>
          <w:color w:val="000000"/>
        </w:rPr>
        <w:t>A study conducted in some of Peru’s protected areas found that labeling these locations as protected can increase tourism anywhere between thirty-three and one hundred percent. Other critical findings of this study were these areas generated $720 million in 2017 as well as employing more than 36,000 people.</w:t>
      </w:r>
      <w:r>
        <w:rPr>
          <w:rFonts w:cs="Helvetica"/>
          <w:color w:val="000000"/>
        </w:rPr>
        <w:t xml:space="preserve"> </w:t>
      </w:r>
      <w:sdt>
        <w:sdtPr>
          <w:rPr>
            <w:rFonts w:cs="Helvetica"/>
            <w:color w:val="000000"/>
          </w:rPr>
          <w:id w:val="1913892326"/>
          <w:citation/>
        </w:sdtPr>
        <w:sdtContent>
          <w:r>
            <w:rPr>
              <w:rFonts w:cs="Helvetica"/>
              <w:color w:val="000000"/>
            </w:rPr>
            <w:fldChar w:fldCharType="begin"/>
          </w:r>
          <w:r>
            <w:rPr>
              <w:rFonts w:cs="Helvetica"/>
              <w:color w:val="000000"/>
            </w:rPr>
            <w:instrText xml:space="preserve"> CITATION Nik18 \l 1033 </w:instrText>
          </w:r>
          <w:r>
            <w:rPr>
              <w:rFonts w:cs="Helvetica"/>
              <w:color w:val="000000"/>
            </w:rPr>
            <w:fldChar w:fldCharType="separate"/>
          </w:r>
          <w:r w:rsidRPr="00EE0C45">
            <w:rPr>
              <w:rFonts w:cs="Helvetica"/>
              <w:noProof/>
              <w:color w:val="000000"/>
            </w:rPr>
            <w:t>(Gribi, 2018)</w:t>
          </w:r>
          <w:r>
            <w:rPr>
              <w:rFonts w:cs="Helvetica"/>
              <w:color w:val="000000"/>
            </w:rPr>
            <w:fldChar w:fldCharType="end"/>
          </w:r>
        </w:sdtContent>
      </w:sdt>
    </w:p>
    <w:p w14:paraId="3EFE6017" w14:textId="77777777" w:rsidR="00F17CA2" w:rsidRDefault="00F17CA2" w:rsidP="00F17CA2">
      <w:pPr>
        <w:rPr>
          <w:rFonts w:cs="Helvetica"/>
          <w:color w:val="000000"/>
        </w:rPr>
      </w:pPr>
    </w:p>
    <w:p w14:paraId="3FB92DC5" w14:textId="7AB44D60" w:rsidR="00F17CA2" w:rsidRDefault="0068272D" w:rsidP="00F17CA2">
      <w:pPr>
        <w:rPr>
          <w:rFonts w:cs="Helvetica"/>
          <w:color w:val="000000"/>
        </w:rPr>
      </w:pPr>
      <w:r>
        <w:rPr>
          <w:rFonts w:cs="Helvetica"/>
          <w:color w:val="000000"/>
        </w:rPr>
        <w:tab/>
      </w:r>
      <w:r w:rsidR="00F17CA2">
        <w:rPr>
          <w:rFonts w:cs="Helvetica"/>
          <w:color w:val="000000"/>
        </w:rPr>
        <w:t xml:space="preserve">Other funding for sustainable tourism includes a project sponsored by Turismo Emprende.  </w:t>
      </w:r>
      <w:r w:rsidR="00F17CA2" w:rsidRPr="00EE0C45">
        <w:rPr>
          <w:rFonts w:cs="Helvetica"/>
          <w:color w:val="000000"/>
        </w:rPr>
        <w:t xml:space="preserve">A $3 million-dollar fund was created </w:t>
      </w:r>
      <w:r w:rsidR="00F17CA2">
        <w:rPr>
          <w:rFonts w:cs="Helvetica"/>
          <w:color w:val="000000"/>
        </w:rPr>
        <w:t>by the group</w:t>
      </w:r>
      <w:r w:rsidR="00F17CA2" w:rsidRPr="00EE0C45">
        <w:rPr>
          <w:rFonts w:cs="Helvetica"/>
          <w:color w:val="000000"/>
        </w:rPr>
        <w:t xml:space="preserve"> for the purpose of </w:t>
      </w:r>
      <w:r w:rsidR="00F17CA2">
        <w:rPr>
          <w:rFonts w:cs="Helvetica"/>
          <w:color w:val="000000"/>
        </w:rPr>
        <w:t xml:space="preserve">smaller </w:t>
      </w:r>
      <w:r w:rsidR="00F17CA2" w:rsidRPr="00EE0C45">
        <w:rPr>
          <w:rFonts w:cs="Helvetica"/>
          <w:color w:val="000000"/>
        </w:rPr>
        <w:t>sustainable tourism projects, especially for remote communities.</w:t>
      </w:r>
      <w:r w:rsidR="00F17CA2">
        <w:rPr>
          <w:rFonts w:cs="Helvetica"/>
          <w:color w:val="000000"/>
        </w:rPr>
        <w:t xml:space="preserve"> </w:t>
      </w:r>
      <w:sdt>
        <w:sdtPr>
          <w:rPr>
            <w:rFonts w:cs="Helvetica"/>
            <w:color w:val="000000"/>
          </w:rPr>
          <w:id w:val="1561213934"/>
          <w:citation/>
        </w:sdtPr>
        <w:sdtContent>
          <w:r w:rsidR="00F17CA2">
            <w:rPr>
              <w:rFonts w:cs="Helvetica"/>
              <w:color w:val="000000"/>
            </w:rPr>
            <w:fldChar w:fldCharType="begin"/>
          </w:r>
          <w:r w:rsidR="00F17CA2">
            <w:rPr>
              <w:rFonts w:cs="Helvetica"/>
              <w:color w:val="000000"/>
            </w:rPr>
            <w:instrText xml:space="preserve"> CITATION Oxf17 \l 1033 </w:instrText>
          </w:r>
          <w:r w:rsidR="00F17CA2">
            <w:rPr>
              <w:rFonts w:cs="Helvetica"/>
              <w:color w:val="000000"/>
            </w:rPr>
            <w:fldChar w:fldCharType="separate"/>
          </w:r>
          <w:r w:rsidR="00F17CA2" w:rsidRPr="00EE0C45">
            <w:rPr>
              <w:rFonts w:cs="Helvetica"/>
              <w:noProof/>
              <w:color w:val="000000"/>
            </w:rPr>
            <w:t>(Oxford Business Group, 2017)</w:t>
          </w:r>
          <w:r w:rsidR="00F17CA2">
            <w:rPr>
              <w:rFonts w:cs="Helvetica"/>
              <w:color w:val="000000"/>
            </w:rPr>
            <w:fldChar w:fldCharType="end"/>
          </w:r>
        </w:sdtContent>
      </w:sdt>
      <w:r w:rsidR="00F17CA2">
        <w:rPr>
          <w:rFonts w:cs="Helvetica"/>
          <w:color w:val="000000"/>
        </w:rPr>
        <w:t xml:space="preserve">  In many situations, the investment is paying off.    </w:t>
      </w:r>
      <w:r w:rsidR="00F17CA2" w:rsidRPr="00B47E97">
        <w:rPr>
          <w:rFonts w:cs="Helvetica"/>
          <w:color w:val="000000"/>
        </w:rPr>
        <w:t xml:space="preserve">“For every $1 invested in the effective </w:t>
      </w:r>
      <w:r w:rsidR="00F17CA2" w:rsidRPr="00B47E97">
        <w:rPr>
          <w:rFonts w:cs="Helvetica"/>
          <w:color w:val="000000"/>
        </w:rPr>
        <w:lastRenderedPageBreak/>
        <w:t>management of natural resources in protected areas, we get $100 worth of value in benefits for people - in the form of clean water, food, natural medicines, and more.”</w:t>
      </w:r>
      <w:r w:rsidR="00F17CA2">
        <w:rPr>
          <w:rFonts w:cs="Helvetica"/>
          <w:color w:val="000000"/>
        </w:rPr>
        <w:t xml:space="preserve"> </w:t>
      </w:r>
      <w:sdt>
        <w:sdtPr>
          <w:rPr>
            <w:rFonts w:cs="Helvetica"/>
            <w:color w:val="000000"/>
          </w:rPr>
          <w:id w:val="-688991749"/>
          <w:citation/>
        </w:sdtPr>
        <w:sdtContent>
          <w:r w:rsidR="00F17CA2">
            <w:rPr>
              <w:rFonts w:cs="Helvetica"/>
              <w:color w:val="000000"/>
            </w:rPr>
            <w:fldChar w:fldCharType="begin"/>
          </w:r>
          <w:r w:rsidR="00F17CA2">
            <w:rPr>
              <w:rFonts w:cs="Helvetica"/>
              <w:color w:val="000000"/>
            </w:rPr>
            <w:instrText xml:space="preserve"> CITATION Kur19 \l 1033 </w:instrText>
          </w:r>
          <w:r w:rsidR="00F17CA2">
            <w:rPr>
              <w:rFonts w:cs="Helvetica"/>
              <w:color w:val="000000"/>
            </w:rPr>
            <w:fldChar w:fldCharType="separate"/>
          </w:r>
          <w:r w:rsidR="00F17CA2" w:rsidRPr="00B47E97">
            <w:rPr>
              <w:rFonts w:cs="Helvetica"/>
              <w:noProof/>
              <w:color w:val="000000"/>
            </w:rPr>
            <w:t>(Holle, 2019)</w:t>
          </w:r>
          <w:r w:rsidR="00F17CA2">
            <w:rPr>
              <w:rFonts w:cs="Helvetica"/>
              <w:color w:val="000000"/>
            </w:rPr>
            <w:fldChar w:fldCharType="end"/>
          </w:r>
        </w:sdtContent>
      </w:sdt>
    </w:p>
    <w:p w14:paraId="3E1DB496" w14:textId="77777777" w:rsidR="00F17CA2" w:rsidRDefault="00F17CA2" w:rsidP="00F17CA2">
      <w:pPr>
        <w:rPr>
          <w:rFonts w:cs="Helvetica"/>
          <w:color w:val="000000"/>
        </w:rPr>
      </w:pPr>
    </w:p>
    <w:p w14:paraId="14A5A60D" w14:textId="72094EBD" w:rsidR="00F17CA2" w:rsidRDefault="0068272D" w:rsidP="00F17CA2">
      <w:pPr>
        <w:rPr>
          <w:rFonts w:cs="Helvetica"/>
          <w:color w:val="000000"/>
        </w:rPr>
      </w:pPr>
      <w:r>
        <w:rPr>
          <w:rFonts w:cs="Helvetica"/>
          <w:color w:val="000000"/>
        </w:rPr>
        <w:tab/>
      </w:r>
      <w:r w:rsidR="00F17CA2">
        <w:rPr>
          <w:rFonts w:cs="Helvetica"/>
          <w:color w:val="000000"/>
        </w:rPr>
        <w:t xml:space="preserve">One of the biggest risks to sustainable tourism is Machu Pichu which has about 400,000 visitors annually which is amazing given its remote location.  If changes are not made to sustainable tourism, Machu Picchu could wind up on a list of World Heritage Sites in Danger and unfortunately has already made the list of ‘Most Rapidly Deteriorating Heritage Sites’. </w:t>
      </w:r>
      <w:sdt>
        <w:sdtPr>
          <w:rPr>
            <w:rFonts w:cs="Helvetica"/>
            <w:color w:val="000000"/>
          </w:rPr>
          <w:id w:val="-2139254664"/>
          <w:citation/>
        </w:sdtPr>
        <w:sdtContent>
          <w:r w:rsidR="00F17CA2">
            <w:rPr>
              <w:rFonts w:cs="Helvetica"/>
              <w:color w:val="000000"/>
            </w:rPr>
            <w:fldChar w:fldCharType="begin"/>
          </w:r>
          <w:r w:rsidR="00F17CA2">
            <w:rPr>
              <w:rFonts w:cs="Helvetica"/>
              <w:color w:val="000000"/>
            </w:rPr>
            <w:instrText xml:space="preserve"> CITATION Lar12 \l 1033 </w:instrText>
          </w:r>
          <w:r w:rsidR="00F17CA2">
            <w:rPr>
              <w:rFonts w:cs="Helvetica"/>
              <w:color w:val="000000"/>
            </w:rPr>
            <w:fldChar w:fldCharType="separate"/>
          </w:r>
          <w:r w:rsidR="00F17CA2" w:rsidRPr="00B47E97">
            <w:rPr>
              <w:rFonts w:cs="Helvetica"/>
              <w:noProof/>
              <w:color w:val="000000"/>
            </w:rPr>
            <w:t>(Larson &amp; Poudyal, 2012)</w:t>
          </w:r>
          <w:r w:rsidR="00F17CA2">
            <w:rPr>
              <w:rFonts w:cs="Helvetica"/>
              <w:color w:val="000000"/>
            </w:rPr>
            <w:fldChar w:fldCharType="end"/>
          </w:r>
        </w:sdtContent>
      </w:sdt>
    </w:p>
    <w:p w14:paraId="31E0061C" w14:textId="77777777" w:rsidR="00F17CA2" w:rsidRDefault="00F17CA2" w:rsidP="00F17CA2">
      <w:pPr>
        <w:rPr>
          <w:rFonts w:cs="Helvetica"/>
          <w:color w:val="000000"/>
        </w:rPr>
      </w:pPr>
    </w:p>
    <w:p w14:paraId="7A571B49" w14:textId="6A1E9408" w:rsidR="00F17CA2" w:rsidRDefault="0068272D" w:rsidP="00F17CA2">
      <w:pPr>
        <w:rPr>
          <w:rFonts w:cs="Helvetica"/>
          <w:color w:val="000000"/>
        </w:rPr>
      </w:pPr>
      <w:r>
        <w:rPr>
          <w:rFonts w:cs="Helvetica"/>
          <w:color w:val="000000"/>
        </w:rPr>
        <w:tab/>
      </w:r>
      <w:r w:rsidR="00F17CA2">
        <w:rPr>
          <w:rFonts w:cs="Helvetica"/>
          <w:color w:val="000000"/>
        </w:rPr>
        <w:t xml:space="preserve">A success story, referred to Mintzberg as ‘pattern’,  is sustainable tourism being practiced along the Amazon River.  </w:t>
      </w:r>
      <w:r w:rsidR="00F17CA2" w:rsidRPr="00B47E97">
        <w:rPr>
          <w:rFonts w:cs="Helvetica"/>
          <w:color w:val="000000"/>
        </w:rPr>
        <w:t xml:space="preserve">There are three ecolodges near the </w:t>
      </w:r>
      <w:r w:rsidR="00F17CA2">
        <w:rPr>
          <w:rFonts w:cs="Helvetica"/>
          <w:color w:val="000000"/>
        </w:rPr>
        <w:t xml:space="preserve">river populated </w:t>
      </w:r>
      <w:r w:rsidR="00F17CA2" w:rsidRPr="00B47E97">
        <w:rPr>
          <w:rFonts w:cs="Helvetica"/>
          <w:color w:val="000000"/>
        </w:rPr>
        <w:t>by the 200 Ese Ejja indigenous communities. They are owned and operated by Rainforest Expeditions which is one of the most successful eco-tourism companies in Peru. These families are not only the stakeholders being so close to their environment but also the shareholders receiving sometimes what would quadruple income of the families.</w:t>
      </w:r>
      <w:r w:rsidR="00F17CA2">
        <w:rPr>
          <w:rFonts w:cs="Helvetica"/>
          <w:color w:val="000000"/>
        </w:rPr>
        <w:t xml:space="preserve"> </w:t>
      </w:r>
      <w:sdt>
        <w:sdtPr>
          <w:rPr>
            <w:rFonts w:cs="Helvetica"/>
            <w:color w:val="000000"/>
          </w:rPr>
          <w:id w:val="-232384909"/>
          <w:citation/>
        </w:sdtPr>
        <w:sdtContent>
          <w:r w:rsidR="00F17CA2">
            <w:rPr>
              <w:rFonts w:cs="Helvetica"/>
              <w:color w:val="000000"/>
            </w:rPr>
            <w:fldChar w:fldCharType="begin"/>
          </w:r>
          <w:r w:rsidR="00F17CA2">
            <w:rPr>
              <w:rFonts w:cs="Helvetica"/>
              <w:color w:val="000000"/>
            </w:rPr>
            <w:instrText xml:space="preserve"> CITATION Dan13 \l 1033 </w:instrText>
          </w:r>
          <w:r w:rsidR="00F17CA2">
            <w:rPr>
              <w:rFonts w:cs="Helvetica"/>
              <w:color w:val="000000"/>
            </w:rPr>
            <w:fldChar w:fldCharType="separate"/>
          </w:r>
          <w:r w:rsidR="00F17CA2" w:rsidRPr="00B47E97">
            <w:rPr>
              <w:rFonts w:cs="Helvetica"/>
              <w:noProof/>
              <w:color w:val="000000"/>
            </w:rPr>
            <w:t>(Collyns, 2013)</w:t>
          </w:r>
          <w:r w:rsidR="00F17CA2">
            <w:rPr>
              <w:rFonts w:cs="Helvetica"/>
              <w:color w:val="000000"/>
            </w:rPr>
            <w:fldChar w:fldCharType="end"/>
          </w:r>
        </w:sdtContent>
      </w:sdt>
    </w:p>
    <w:p w14:paraId="7ABECBC8" w14:textId="77777777" w:rsidR="00F17CA2" w:rsidRDefault="00F17CA2" w:rsidP="00F17CA2">
      <w:pPr>
        <w:rPr>
          <w:rFonts w:cs="Helvetica"/>
          <w:color w:val="000000"/>
        </w:rPr>
      </w:pPr>
    </w:p>
    <w:p w14:paraId="049CB910" w14:textId="3221DBFC" w:rsidR="00F17CA2" w:rsidRDefault="0068272D" w:rsidP="00F17CA2">
      <w:pPr>
        <w:rPr>
          <w:rFonts w:cs="Helvetica"/>
          <w:color w:val="000000"/>
        </w:rPr>
      </w:pPr>
      <w:r>
        <w:rPr>
          <w:rFonts w:cs="Helvetica"/>
          <w:color w:val="000000"/>
        </w:rPr>
        <w:tab/>
      </w:r>
      <w:r w:rsidR="00F17CA2">
        <w:rPr>
          <w:rFonts w:cs="Helvetica"/>
          <w:color w:val="000000"/>
        </w:rPr>
        <w:t xml:space="preserve">Visiting highly visible tourist locations is the goal of most tourists.  Although the most popular, Machu Picchu is not the only archeological site in that region. There are 36,000 other areas, yet the government has, in previous years, rarely explored them as tourist destinations due to the lack of infrastructure involved in reaching those locations. The concentration on infrastructure developments to Machu Picchu is due to high proportion of international tourists visiting that specific site as opposed to other areas in Peru. </w:t>
      </w:r>
      <w:sdt>
        <w:sdtPr>
          <w:rPr>
            <w:rFonts w:cs="Helvetica"/>
            <w:color w:val="000000"/>
          </w:rPr>
          <w:id w:val="315307555"/>
          <w:citation/>
        </w:sdtPr>
        <w:sdtContent>
          <w:r w:rsidR="00F17CA2">
            <w:rPr>
              <w:rFonts w:cs="Helvetica"/>
              <w:color w:val="000000"/>
            </w:rPr>
            <w:fldChar w:fldCharType="begin"/>
          </w:r>
          <w:r w:rsidR="00F17CA2">
            <w:rPr>
              <w:rFonts w:cs="Helvetica"/>
              <w:color w:val="000000"/>
            </w:rPr>
            <w:instrText xml:space="preserve"> CITATION Lar12 \l 1033 </w:instrText>
          </w:r>
          <w:r w:rsidR="00F17CA2">
            <w:rPr>
              <w:rFonts w:cs="Helvetica"/>
              <w:color w:val="000000"/>
            </w:rPr>
            <w:fldChar w:fldCharType="separate"/>
          </w:r>
          <w:r w:rsidR="00F17CA2" w:rsidRPr="00AF74BF">
            <w:rPr>
              <w:rFonts w:cs="Helvetica"/>
              <w:noProof/>
              <w:color w:val="000000"/>
            </w:rPr>
            <w:t>(Larson &amp; Poudyal, 2012)</w:t>
          </w:r>
          <w:r w:rsidR="00F17CA2">
            <w:rPr>
              <w:rFonts w:cs="Helvetica"/>
              <w:color w:val="000000"/>
            </w:rPr>
            <w:fldChar w:fldCharType="end"/>
          </w:r>
        </w:sdtContent>
      </w:sdt>
      <w:r w:rsidR="00F17CA2">
        <w:rPr>
          <w:rFonts w:cs="Helvetica"/>
          <w:color w:val="000000"/>
        </w:rPr>
        <w:t xml:space="preserve"> A recommendation in this area would be to limit the </w:t>
      </w:r>
      <w:r w:rsidR="00BF26E3">
        <w:rPr>
          <w:rFonts w:cs="Helvetica"/>
          <w:color w:val="000000"/>
        </w:rPr>
        <w:t>number</w:t>
      </w:r>
      <w:r w:rsidR="00F17CA2">
        <w:rPr>
          <w:rFonts w:cs="Helvetica"/>
          <w:color w:val="000000"/>
        </w:rPr>
        <w:t xml:space="preserve"> of tourists allowed on the site or increase ticket prices in order preserve the location with the intent of some of this money going back to the indigenous people surrounding the area.</w:t>
      </w:r>
    </w:p>
    <w:p w14:paraId="0B74429A" w14:textId="77777777" w:rsidR="00F17CA2" w:rsidRDefault="00F17CA2" w:rsidP="00F17CA2">
      <w:pPr>
        <w:rPr>
          <w:rFonts w:cs="Helvetica"/>
          <w:color w:val="000000"/>
        </w:rPr>
      </w:pPr>
    </w:p>
    <w:p w14:paraId="062BD2BC" w14:textId="58012DA9" w:rsidR="00F17CA2" w:rsidRDefault="0068272D" w:rsidP="00F17CA2">
      <w:pPr>
        <w:rPr>
          <w:rFonts w:cs="Helvetica"/>
          <w:color w:val="000000"/>
        </w:rPr>
      </w:pPr>
      <w:r>
        <w:rPr>
          <w:rFonts w:cs="Helvetica"/>
          <w:color w:val="000000"/>
        </w:rPr>
        <w:tab/>
      </w:r>
      <w:r w:rsidR="00F17CA2">
        <w:rPr>
          <w:rFonts w:cs="Helvetica"/>
          <w:color w:val="000000"/>
        </w:rPr>
        <w:t>However, b</w:t>
      </w:r>
      <w:r w:rsidR="00F17CA2" w:rsidRPr="00EE0C45">
        <w:rPr>
          <w:rFonts w:cs="Helvetica"/>
          <w:color w:val="000000"/>
        </w:rPr>
        <w:t>y decentralizing the areas, such as Cusco</w:t>
      </w:r>
      <w:r w:rsidR="00F17CA2">
        <w:rPr>
          <w:rFonts w:cs="Helvetica"/>
          <w:color w:val="000000"/>
        </w:rPr>
        <w:t xml:space="preserve"> near where Machu Picchu is located, it</w:t>
      </w:r>
      <w:r w:rsidR="00F17CA2" w:rsidRPr="00EE0C45">
        <w:rPr>
          <w:rFonts w:cs="Helvetica"/>
          <w:color w:val="000000"/>
        </w:rPr>
        <w:t xml:space="preserve"> account</w:t>
      </w:r>
      <w:r w:rsidR="00F17CA2">
        <w:rPr>
          <w:rFonts w:cs="Helvetica"/>
          <w:color w:val="000000"/>
        </w:rPr>
        <w:t>s</w:t>
      </w:r>
      <w:r w:rsidR="00F17CA2" w:rsidRPr="00EE0C45">
        <w:rPr>
          <w:rFonts w:cs="Helvetica"/>
          <w:color w:val="000000"/>
        </w:rPr>
        <w:t xml:space="preserve"> for 80% of tourist’s destinations, PROMPERU specialists believe this could open up to another 25 different tourist markets.</w:t>
      </w:r>
      <w:r w:rsidR="00F17CA2">
        <w:rPr>
          <w:rFonts w:cs="Helvetica"/>
          <w:color w:val="000000"/>
        </w:rPr>
        <w:t xml:space="preserve"> </w:t>
      </w:r>
      <w:sdt>
        <w:sdtPr>
          <w:rPr>
            <w:rFonts w:cs="Helvetica"/>
            <w:color w:val="000000"/>
          </w:rPr>
          <w:id w:val="-617910081"/>
          <w:citation/>
        </w:sdtPr>
        <w:sdtContent>
          <w:r w:rsidR="00F17CA2">
            <w:rPr>
              <w:rFonts w:cs="Helvetica"/>
              <w:color w:val="000000"/>
            </w:rPr>
            <w:fldChar w:fldCharType="begin"/>
          </w:r>
          <w:r w:rsidR="00F17CA2">
            <w:rPr>
              <w:rFonts w:cs="Helvetica"/>
              <w:color w:val="000000"/>
            </w:rPr>
            <w:instrText xml:space="preserve"> CITATION Oxf17 \l 1033 </w:instrText>
          </w:r>
          <w:r w:rsidR="00F17CA2">
            <w:rPr>
              <w:rFonts w:cs="Helvetica"/>
              <w:color w:val="000000"/>
            </w:rPr>
            <w:fldChar w:fldCharType="separate"/>
          </w:r>
          <w:r w:rsidR="00F17CA2" w:rsidRPr="00EE0C45">
            <w:rPr>
              <w:rFonts w:cs="Helvetica"/>
              <w:noProof/>
              <w:color w:val="000000"/>
            </w:rPr>
            <w:t>(Oxford Business Group, 2017)</w:t>
          </w:r>
          <w:r w:rsidR="00F17CA2">
            <w:rPr>
              <w:rFonts w:cs="Helvetica"/>
              <w:color w:val="000000"/>
            </w:rPr>
            <w:fldChar w:fldCharType="end"/>
          </w:r>
        </w:sdtContent>
      </w:sdt>
      <w:r w:rsidR="00F17CA2">
        <w:rPr>
          <w:rFonts w:cs="Helvetica"/>
          <w:color w:val="000000"/>
        </w:rPr>
        <w:t xml:space="preserve">   Illustrating one of Porter’s strategies for differentiation, the segments of tourism that Peru is attempting to develop more by 2021 are rural tourism, lifestyle tourism, and ecotourism. </w:t>
      </w:r>
      <w:sdt>
        <w:sdtPr>
          <w:rPr>
            <w:rFonts w:cs="Helvetica"/>
            <w:color w:val="000000"/>
          </w:rPr>
          <w:id w:val="-1057706720"/>
          <w:citation/>
        </w:sdtPr>
        <w:sdtContent>
          <w:r w:rsidR="00F17CA2">
            <w:rPr>
              <w:rFonts w:cs="Helvetica"/>
              <w:color w:val="000000"/>
            </w:rPr>
            <w:fldChar w:fldCharType="begin"/>
          </w:r>
          <w:r w:rsidR="00F17CA2">
            <w:rPr>
              <w:rFonts w:cs="Helvetica"/>
              <w:color w:val="000000"/>
            </w:rPr>
            <w:instrText xml:space="preserve"> CITATION Nat10 \l 1033 </w:instrText>
          </w:r>
          <w:r w:rsidR="00F17CA2">
            <w:rPr>
              <w:rFonts w:cs="Helvetica"/>
              <w:color w:val="000000"/>
            </w:rPr>
            <w:fldChar w:fldCharType="separate"/>
          </w:r>
          <w:r w:rsidR="00F17CA2" w:rsidRPr="00EE0C45">
            <w:rPr>
              <w:rFonts w:cs="Helvetica"/>
              <w:noProof/>
              <w:color w:val="000000"/>
            </w:rPr>
            <w:t>(National Strategic Planning Centre, 2010)</w:t>
          </w:r>
          <w:r w:rsidR="00F17CA2">
            <w:rPr>
              <w:rFonts w:cs="Helvetica"/>
              <w:color w:val="000000"/>
            </w:rPr>
            <w:fldChar w:fldCharType="end"/>
          </w:r>
        </w:sdtContent>
      </w:sdt>
    </w:p>
    <w:p w14:paraId="5A402008" w14:textId="77777777" w:rsidR="00F17CA2" w:rsidRDefault="00F17CA2" w:rsidP="00F17CA2">
      <w:pPr>
        <w:rPr>
          <w:rFonts w:cs="Helvetica"/>
          <w:color w:val="000000"/>
        </w:rPr>
      </w:pPr>
    </w:p>
    <w:p w14:paraId="6919B369" w14:textId="40418170" w:rsidR="00F17CA2" w:rsidRDefault="0068272D" w:rsidP="00F17CA2">
      <w:pPr>
        <w:rPr>
          <w:rFonts w:cs="Helvetica"/>
          <w:color w:val="000000"/>
        </w:rPr>
      </w:pPr>
      <w:r>
        <w:rPr>
          <w:rFonts w:cs="Helvetica"/>
          <w:color w:val="000000"/>
        </w:rPr>
        <w:tab/>
      </w:r>
      <w:r w:rsidR="00F17CA2" w:rsidRPr="00B47E97">
        <w:rPr>
          <w:rFonts w:cs="Helvetica"/>
          <w:color w:val="000000"/>
        </w:rPr>
        <w:t xml:space="preserve">In order to create attention to other areas of Peru, the National Museum of Archeology is currently being built with the plan to open in 2021. This could mirror the attempt to draw tourism such as the GEM in Egypt which is slated to open by the end of this year, both housing large quantities of artifacts </w:t>
      </w:r>
      <w:r w:rsidR="00F17CA2">
        <w:rPr>
          <w:rFonts w:cs="Helvetica"/>
          <w:color w:val="000000"/>
        </w:rPr>
        <w:t xml:space="preserve">never been seen before by the public </w:t>
      </w:r>
      <w:r w:rsidR="00F17CA2" w:rsidRPr="00B47E97">
        <w:rPr>
          <w:rFonts w:cs="Helvetica"/>
          <w:color w:val="000000"/>
        </w:rPr>
        <w:t>and near ancient pyramids.</w:t>
      </w:r>
      <w:r w:rsidR="00F17CA2">
        <w:rPr>
          <w:rFonts w:cs="Helvetica"/>
          <w:color w:val="000000"/>
        </w:rPr>
        <w:t xml:space="preserve"> </w:t>
      </w:r>
      <w:sdt>
        <w:sdtPr>
          <w:rPr>
            <w:rFonts w:cs="Helvetica"/>
            <w:color w:val="000000"/>
          </w:rPr>
          <w:id w:val="-1184816641"/>
          <w:citation/>
        </w:sdtPr>
        <w:sdtContent>
          <w:r w:rsidR="00F17CA2">
            <w:rPr>
              <w:rFonts w:cs="Helvetica"/>
              <w:color w:val="000000"/>
            </w:rPr>
            <w:fldChar w:fldCharType="begin"/>
          </w:r>
          <w:r w:rsidR="00F17CA2">
            <w:rPr>
              <w:rFonts w:cs="Helvetica"/>
              <w:color w:val="000000"/>
            </w:rPr>
            <w:instrText xml:space="preserve"> CITATION Oxf17 \l 1033 </w:instrText>
          </w:r>
          <w:r w:rsidR="00F17CA2">
            <w:rPr>
              <w:rFonts w:cs="Helvetica"/>
              <w:color w:val="000000"/>
            </w:rPr>
            <w:fldChar w:fldCharType="separate"/>
          </w:r>
          <w:r w:rsidR="00F17CA2" w:rsidRPr="00B47E97">
            <w:rPr>
              <w:rFonts w:cs="Helvetica"/>
              <w:noProof/>
              <w:color w:val="000000"/>
            </w:rPr>
            <w:t>(Oxford Business Group, 2017)</w:t>
          </w:r>
          <w:r w:rsidR="00F17CA2">
            <w:rPr>
              <w:rFonts w:cs="Helvetica"/>
              <w:color w:val="000000"/>
            </w:rPr>
            <w:fldChar w:fldCharType="end"/>
          </w:r>
        </w:sdtContent>
      </w:sdt>
      <w:r w:rsidR="00F17CA2">
        <w:rPr>
          <w:rFonts w:cs="Helvetica"/>
          <w:color w:val="000000"/>
        </w:rPr>
        <w:t xml:space="preserve">    Creating interest by tourists of these areas through the use of museums can also bring the awareness needed to encourage visitors to the differing locations beyond Machu Picchu.</w:t>
      </w:r>
    </w:p>
    <w:p w14:paraId="1A04C18D" w14:textId="77777777" w:rsidR="00F17CA2" w:rsidRDefault="00F17CA2" w:rsidP="00F17CA2">
      <w:pPr>
        <w:rPr>
          <w:rFonts w:cs="Helvetica"/>
          <w:color w:val="000000"/>
        </w:rPr>
      </w:pPr>
    </w:p>
    <w:p w14:paraId="4382021C" w14:textId="2C0F85BF" w:rsidR="00F17CA2" w:rsidRDefault="0068272D" w:rsidP="00F17CA2">
      <w:pPr>
        <w:rPr>
          <w:rFonts w:cs="Helvetica"/>
          <w:color w:val="000000"/>
        </w:rPr>
      </w:pPr>
      <w:r>
        <w:rPr>
          <w:rFonts w:cs="Helvetica"/>
          <w:color w:val="000000"/>
        </w:rPr>
        <w:tab/>
      </w:r>
      <w:r w:rsidR="00F17CA2" w:rsidRPr="00147229">
        <w:rPr>
          <w:rFonts w:cs="Helvetica"/>
          <w:color w:val="000000"/>
        </w:rPr>
        <w:t>Through research into markets Peru has realized the potential with positioning itself in various segments. One such market is adventure tourism because they see a higher interest in UK visitors seeking that with longer stays and higher ability to spend more.</w:t>
      </w:r>
      <w:r w:rsidR="00F17CA2">
        <w:rPr>
          <w:rFonts w:cs="Helvetica"/>
          <w:color w:val="000000"/>
        </w:rPr>
        <w:t xml:space="preserve"> </w:t>
      </w:r>
      <w:sdt>
        <w:sdtPr>
          <w:rPr>
            <w:rFonts w:cs="Helvetica"/>
            <w:color w:val="000000"/>
          </w:rPr>
          <w:id w:val="282238553"/>
          <w:citation/>
        </w:sdtPr>
        <w:sdtContent>
          <w:r w:rsidR="00F17CA2">
            <w:rPr>
              <w:rFonts w:cs="Helvetica"/>
              <w:color w:val="000000"/>
            </w:rPr>
            <w:fldChar w:fldCharType="begin"/>
          </w:r>
          <w:r w:rsidR="00F17CA2">
            <w:rPr>
              <w:rFonts w:cs="Helvetica"/>
              <w:color w:val="000000"/>
            </w:rPr>
            <w:instrText xml:space="preserve"> CITATION Nat18 \l 1033 </w:instrText>
          </w:r>
          <w:r w:rsidR="00F17CA2">
            <w:rPr>
              <w:rFonts w:cs="Helvetica"/>
              <w:color w:val="000000"/>
            </w:rPr>
            <w:fldChar w:fldCharType="separate"/>
          </w:r>
          <w:r w:rsidR="00F17CA2" w:rsidRPr="00147229">
            <w:rPr>
              <w:rFonts w:cs="Helvetica"/>
              <w:noProof/>
              <w:color w:val="000000"/>
            </w:rPr>
            <w:t>(Marsh, 2018)</w:t>
          </w:r>
          <w:r w:rsidR="00F17CA2">
            <w:rPr>
              <w:rFonts w:cs="Helvetica"/>
              <w:color w:val="000000"/>
            </w:rPr>
            <w:fldChar w:fldCharType="end"/>
          </w:r>
        </w:sdtContent>
      </w:sdt>
      <w:r w:rsidR="00F17CA2">
        <w:rPr>
          <w:rFonts w:cs="Helvetica"/>
          <w:color w:val="000000"/>
        </w:rPr>
        <w:t xml:space="preserve">  One </w:t>
      </w:r>
      <w:r w:rsidR="00F17CA2">
        <w:rPr>
          <w:rFonts w:cs="Helvetica"/>
          <w:color w:val="000000"/>
        </w:rPr>
        <w:lastRenderedPageBreak/>
        <w:t xml:space="preserve">could connect this strategy to Mintzberg’s concept of positioning.  This positioning opens up tourism to individuals who might prefer an active vacation rather than passive.  It could draw tourists from other areas of South American as well.  </w:t>
      </w:r>
    </w:p>
    <w:p w14:paraId="6D97B560" w14:textId="77777777" w:rsidR="00F17CA2" w:rsidRDefault="00F17CA2" w:rsidP="00F17CA2">
      <w:pPr>
        <w:rPr>
          <w:rFonts w:cs="Helvetica"/>
          <w:color w:val="000000"/>
        </w:rPr>
      </w:pPr>
    </w:p>
    <w:p w14:paraId="70160F78" w14:textId="6A8AC4FA" w:rsidR="00F17CA2" w:rsidRDefault="0068272D" w:rsidP="00F17CA2">
      <w:pPr>
        <w:rPr>
          <w:rFonts w:cs="Helvetica"/>
          <w:color w:val="000000"/>
        </w:rPr>
      </w:pPr>
      <w:r>
        <w:rPr>
          <w:rFonts w:cs="Helvetica"/>
          <w:color w:val="000000"/>
        </w:rPr>
        <w:tab/>
      </w:r>
      <w:r w:rsidR="00F17CA2">
        <w:rPr>
          <w:rFonts w:cs="Helvetica"/>
          <w:color w:val="000000"/>
        </w:rPr>
        <w:t>Travel is difficult in Peru.  Currently most visitors to Peru</w:t>
      </w:r>
      <w:r w:rsidR="00F17CA2" w:rsidRPr="00A907C7">
        <w:rPr>
          <w:rFonts w:cs="Helvetica"/>
          <w:color w:val="000000"/>
        </w:rPr>
        <w:t xml:space="preserve"> </w:t>
      </w:r>
      <w:r w:rsidR="00F17CA2" w:rsidRPr="00EE0C45">
        <w:rPr>
          <w:rFonts w:cs="Helvetica"/>
          <w:color w:val="000000"/>
        </w:rPr>
        <w:t>go through the overcrowded Jorge Chavez International Airport in Lima</w:t>
      </w:r>
      <w:r w:rsidR="00F17CA2">
        <w:rPr>
          <w:rFonts w:cs="Helvetica"/>
          <w:color w:val="000000"/>
        </w:rPr>
        <w:t>. A new airport, the</w:t>
      </w:r>
      <w:r w:rsidR="00F17CA2" w:rsidRPr="00EE0C45">
        <w:rPr>
          <w:rFonts w:cs="Helvetica"/>
          <w:color w:val="000000"/>
        </w:rPr>
        <w:t xml:space="preserve"> Chinchero Airport is expected to open by 2022 </w:t>
      </w:r>
      <w:r w:rsidR="00F17CA2">
        <w:rPr>
          <w:rFonts w:cs="Helvetica"/>
          <w:color w:val="000000"/>
        </w:rPr>
        <w:t>and</w:t>
      </w:r>
      <w:r w:rsidR="00F17CA2" w:rsidRPr="00EE0C45">
        <w:rPr>
          <w:rFonts w:cs="Helvetica"/>
          <w:color w:val="000000"/>
        </w:rPr>
        <w:t xml:space="preserve"> located in Cusco</w:t>
      </w:r>
      <w:r w:rsidR="00F17CA2">
        <w:rPr>
          <w:rFonts w:cs="Helvetica"/>
          <w:color w:val="000000"/>
        </w:rPr>
        <w:t xml:space="preserve">.  This will not only increase </w:t>
      </w:r>
      <w:r w:rsidR="00F17CA2" w:rsidRPr="00EE0C45">
        <w:rPr>
          <w:rFonts w:cs="Helvetica"/>
          <w:color w:val="000000"/>
        </w:rPr>
        <w:t xml:space="preserve">more passengers </w:t>
      </w:r>
      <w:r w:rsidR="00F17CA2">
        <w:rPr>
          <w:rFonts w:cs="Helvetica"/>
          <w:color w:val="000000"/>
        </w:rPr>
        <w:t xml:space="preserve">being able to fly to Peru </w:t>
      </w:r>
      <w:r w:rsidR="00F17CA2" w:rsidRPr="00EE0C45">
        <w:rPr>
          <w:rFonts w:cs="Helvetica"/>
          <w:color w:val="000000"/>
        </w:rPr>
        <w:t xml:space="preserve">but decrease the </w:t>
      </w:r>
      <w:r w:rsidR="00F17CA2">
        <w:rPr>
          <w:rFonts w:cs="Helvetica"/>
          <w:color w:val="000000"/>
        </w:rPr>
        <w:t xml:space="preserve">challenges tourists experience when flying to Chavez International Airport.  </w:t>
      </w:r>
      <w:r w:rsidR="00F17CA2" w:rsidRPr="00EE0C45">
        <w:rPr>
          <w:rFonts w:cs="Helvetica"/>
          <w:color w:val="000000"/>
        </w:rPr>
        <w:t xml:space="preserve"> Additionally, Viva Air Peru, which is owned by Ryanair was able to secure 11 internal routes in 2017 within Peru </w:t>
      </w:r>
      <w:r w:rsidR="00F17CA2">
        <w:rPr>
          <w:rFonts w:cs="Helvetica"/>
          <w:color w:val="000000"/>
        </w:rPr>
        <w:t xml:space="preserve">creating </w:t>
      </w:r>
      <w:r w:rsidR="00F17CA2" w:rsidRPr="00EE0C45">
        <w:rPr>
          <w:rFonts w:cs="Helvetica"/>
          <w:color w:val="000000"/>
        </w:rPr>
        <w:t>low-cost flights</w:t>
      </w:r>
      <w:r w:rsidR="00F17CA2">
        <w:rPr>
          <w:rFonts w:cs="Helvetica"/>
          <w:color w:val="000000"/>
        </w:rPr>
        <w:t xml:space="preserve"> </w:t>
      </w:r>
      <w:r w:rsidR="00BF26E3">
        <w:rPr>
          <w:rFonts w:cs="Helvetica"/>
          <w:color w:val="000000"/>
        </w:rPr>
        <w:t>within</w:t>
      </w:r>
      <w:r w:rsidR="00F17CA2">
        <w:rPr>
          <w:rFonts w:cs="Helvetica"/>
          <w:color w:val="000000"/>
        </w:rPr>
        <w:t xml:space="preserve"> Peru</w:t>
      </w:r>
      <w:r w:rsidR="00F17CA2" w:rsidRPr="00EE0C45">
        <w:rPr>
          <w:rFonts w:cs="Helvetica"/>
          <w:color w:val="000000"/>
        </w:rPr>
        <w:t>.</w:t>
      </w:r>
      <w:r w:rsidR="00F17CA2">
        <w:rPr>
          <w:rFonts w:cs="Helvetica"/>
          <w:color w:val="000000"/>
        </w:rPr>
        <w:t xml:space="preserve"> </w:t>
      </w:r>
      <w:sdt>
        <w:sdtPr>
          <w:rPr>
            <w:rFonts w:cs="Helvetica"/>
            <w:color w:val="000000"/>
          </w:rPr>
          <w:id w:val="1161740428"/>
          <w:citation/>
        </w:sdtPr>
        <w:sdtContent>
          <w:r w:rsidR="00F17CA2">
            <w:rPr>
              <w:rFonts w:cs="Helvetica"/>
              <w:color w:val="000000"/>
            </w:rPr>
            <w:fldChar w:fldCharType="begin"/>
          </w:r>
          <w:r w:rsidR="00F17CA2">
            <w:rPr>
              <w:rFonts w:cs="Helvetica"/>
              <w:color w:val="000000"/>
            </w:rPr>
            <w:instrText xml:space="preserve"> CITATION Oxf17 \l 1033 </w:instrText>
          </w:r>
          <w:r w:rsidR="00F17CA2">
            <w:rPr>
              <w:rFonts w:cs="Helvetica"/>
              <w:color w:val="000000"/>
            </w:rPr>
            <w:fldChar w:fldCharType="separate"/>
          </w:r>
          <w:r w:rsidR="00F17CA2" w:rsidRPr="00EE0C45">
            <w:rPr>
              <w:rFonts w:cs="Helvetica"/>
              <w:noProof/>
              <w:color w:val="000000"/>
            </w:rPr>
            <w:t>(Oxford Business Group, 2017)</w:t>
          </w:r>
          <w:r w:rsidR="00F17CA2">
            <w:rPr>
              <w:rFonts w:cs="Helvetica"/>
              <w:color w:val="000000"/>
            </w:rPr>
            <w:fldChar w:fldCharType="end"/>
          </w:r>
        </w:sdtContent>
      </w:sdt>
    </w:p>
    <w:p w14:paraId="195C6881" w14:textId="77777777" w:rsidR="00F17CA2" w:rsidRDefault="00F17CA2" w:rsidP="00F17CA2">
      <w:pPr>
        <w:rPr>
          <w:rFonts w:cs="Helvetica"/>
          <w:color w:val="000000"/>
        </w:rPr>
      </w:pPr>
      <w:r>
        <w:rPr>
          <w:rFonts w:cs="Helvetica"/>
          <w:color w:val="000000"/>
        </w:rPr>
        <w:t>This is important for travel facilitation due to the remote and distant locations visited by tourists to Peru.</w:t>
      </w:r>
    </w:p>
    <w:p w14:paraId="0921E4B9" w14:textId="77777777" w:rsidR="00F17CA2" w:rsidRDefault="00F17CA2" w:rsidP="00F17CA2">
      <w:pPr>
        <w:rPr>
          <w:rFonts w:cs="Helvetica"/>
          <w:color w:val="000000"/>
        </w:rPr>
      </w:pPr>
    </w:p>
    <w:p w14:paraId="74504819" w14:textId="68B3ADCB" w:rsidR="00F17CA2" w:rsidRDefault="0068272D" w:rsidP="00F17CA2">
      <w:pPr>
        <w:rPr>
          <w:rFonts w:cs="Helvetica"/>
          <w:color w:val="000000"/>
        </w:rPr>
      </w:pPr>
      <w:r>
        <w:rPr>
          <w:rFonts w:cs="Helvetica"/>
          <w:color w:val="000000"/>
        </w:rPr>
        <w:tab/>
      </w:r>
      <w:r w:rsidR="00F17CA2">
        <w:rPr>
          <w:rFonts w:cs="Helvetica"/>
          <w:color w:val="000000"/>
        </w:rPr>
        <w:t xml:space="preserve">Investment in travel facilitation infrastructure is a must for Peru is if is to become and remain a competitive tourist spot.  </w:t>
      </w:r>
      <w:r w:rsidR="00F17CA2" w:rsidRPr="00EE0C45">
        <w:rPr>
          <w:rFonts w:cs="Helvetica"/>
          <w:color w:val="000000"/>
        </w:rPr>
        <w:t xml:space="preserve">Through 2021, MINCETUR is attempting to get a $1.5 billion investment for the sole purpose of improving infrastructure. A way to reduce governmental hurdles it to create the Ventanilla Unica de Turismo </w:t>
      </w:r>
      <w:r w:rsidR="00F17CA2">
        <w:rPr>
          <w:rFonts w:cs="Helvetica"/>
          <w:color w:val="000000"/>
        </w:rPr>
        <w:t>(</w:t>
      </w:r>
      <w:r w:rsidR="00F17CA2" w:rsidRPr="00EE0C45">
        <w:rPr>
          <w:rFonts w:cs="Helvetica"/>
          <w:color w:val="000000"/>
        </w:rPr>
        <w:t xml:space="preserve">VUT) with the hopes of allowing around $3 billion investments by new hotels. </w:t>
      </w:r>
      <w:sdt>
        <w:sdtPr>
          <w:rPr>
            <w:rFonts w:cs="Helvetica"/>
            <w:color w:val="000000"/>
          </w:rPr>
          <w:id w:val="-2126148235"/>
          <w:citation/>
        </w:sdtPr>
        <w:sdtContent>
          <w:r w:rsidR="00F17CA2" w:rsidRPr="00EE0C45">
            <w:rPr>
              <w:rFonts w:cs="Helvetica"/>
              <w:color w:val="000000"/>
            </w:rPr>
            <w:fldChar w:fldCharType="begin"/>
          </w:r>
          <w:r w:rsidR="00F17CA2" w:rsidRPr="00EE0C45">
            <w:rPr>
              <w:rFonts w:cs="Helvetica"/>
              <w:color w:val="000000"/>
            </w:rPr>
            <w:instrText xml:space="preserve"> CITATION Oxf17 \l 1033 </w:instrText>
          </w:r>
          <w:r w:rsidR="00F17CA2" w:rsidRPr="00EE0C45">
            <w:rPr>
              <w:rFonts w:cs="Helvetica"/>
              <w:color w:val="000000"/>
            </w:rPr>
            <w:fldChar w:fldCharType="separate"/>
          </w:r>
          <w:r w:rsidR="00F17CA2" w:rsidRPr="00EE0C45">
            <w:rPr>
              <w:rFonts w:cs="Helvetica"/>
              <w:noProof/>
              <w:color w:val="000000"/>
            </w:rPr>
            <w:t>(Oxford Business Group, 2017)</w:t>
          </w:r>
          <w:r w:rsidR="00F17CA2" w:rsidRPr="00EE0C45">
            <w:rPr>
              <w:rFonts w:cs="Helvetica"/>
              <w:color w:val="000000"/>
            </w:rPr>
            <w:fldChar w:fldCharType="end"/>
          </w:r>
        </w:sdtContent>
      </w:sdt>
      <w:r w:rsidR="00F17CA2" w:rsidRPr="00EE0C45">
        <w:rPr>
          <w:rFonts w:cs="Helvetica"/>
          <w:color w:val="000000"/>
        </w:rPr>
        <w:t xml:space="preserve"> </w:t>
      </w:r>
    </w:p>
    <w:p w14:paraId="46EADE71" w14:textId="77777777" w:rsidR="00F17CA2" w:rsidRDefault="00F17CA2" w:rsidP="00F17CA2">
      <w:pPr>
        <w:rPr>
          <w:rFonts w:cs="Helvetica"/>
          <w:color w:val="000000"/>
        </w:rPr>
      </w:pPr>
    </w:p>
    <w:p w14:paraId="3B647C87" w14:textId="501F3211" w:rsidR="00F17CA2" w:rsidRDefault="0068272D" w:rsidP="00F17CA2">
      <w:pPr>
        <w:rPr>
          <w:rFonts w:cs="Helvetica"/>
          <w:color w:val="000000"/>
        </w:rPr>
      </w:pPr>
      <w:r>
        <w:rPr>
          <w:rFonts w:cs="Helvetica"/>
          <w:color w:val="000000"/>
        </w:rPr>
        <w:tab/>
      </w:r>
      <w:r w:rsidR="00F17CA2">
        <w:rPr>
          <w:rFonts w:cs="Helvetica"/>
          <w:color w:val="000000"/>
        </w:rPr>
        <w:t xml:space="preserve">One current issue for travel facilitation, and all tourism for that matter is the COVID-19 pandemic.   With the Covid-19 pandemic, it is estimated that there will be a loss of at least $4 billion from missed tourism opportunities. A strategy being </w:t>
      </w:r>
      <w:r w:rsidR="00BF26E3">
        <w:rPr>
          <w:rFonts w:cs="Helvetica"/>
          <w:color w:val="000000"/>
        </w:rPr>
        <w:t>implemented</w:t>
      </w:r>
      <w:r w:rsidR="00F17CA2">
        <w:rPr>
          <w:rFonts w:cs="Helvetica"/>
          <w:color w:val="000000"/>
        </w:rPr>
        <w:t xml:space="preserve"> to hopefully reduce this large sum of money is to offer free entrance into archeological sites such as Machu Picchu by pensioners, children, and service employees between July and December of 2020. The government is also putting $8.7 million towards health security in not only into the </w:t>
      </w:r>
    </w:p>
    <w:p w14:paraId="190A1AF7" w14:textId="77777777" w:rsidR="00F17CA2" w:rsidRDefault="00F17CA2" w:rsidP="00F17CA2"/>
    <w:p w14:paraId="33B939FE" w14:textId="57D0908A" w:rsidR="00F17CA2" w:rsidRPr="002C1BA3" w:rsidRDefault="0068272D" w:rsidP="00F17CA2">
      <w:pPr>
        <w:rPr>
          <w:rFonts w:cs="Helvetica"/>
          <w:color w:val="000000"/>
        </w:rPr>
      </w:pPr>
      <w:r>
        <w:rPr>
          <w:rFonts w:cs="Helvetica"/>
          <w:color w:val="000000"/>
        </w:rPr>
        <w:tab/>
      </w:r>
      <w:r w:rsidR="00F17CA2">
        <w:rPr>
          <w:rFonts w:cs="Helvetica"/>
          <w:color w:val="000000"/>
        </w:rPr>
        <w:t xml:space="preserve">Although Human Resources was a net positive of +8 in the competitive analysis, a challenge to sustainable tourism is the </w:t>
      </w:r>
      <w:r w:rsidR="00F17CA2" w:rsidRPr="00EE0C45">
        <w:rPr>
          <w:rFonts w:cs="Helvetica"/>
          <w:color w:val="000000"/>
        </w:rPr>
        <w:t xml:space="preserve">gap between training, amount of personnel </w:t>
      </w:r>
      <w:r w:rsidR="00F17CA2">
        <w:rPr>
          <w:rFonts w:cs="Helvetica"/>
          <w:color w:val="000000"/>
        </w:rPr>
        <w:t xml:space="preserve">available to provide services </w:t>
      </w:r>
      <w:r w:rsidR="00F17CA2" w:rsidRPr="00EE0C45">
        <w:rPr>
          <w:rFonts w:cs="Helvetica"/>
          <w:color w:val="000000"/>
        </w:rPr>
        <w:t xml:space="preserve">and </w:t>
      </w:r>
      <w:r w:rsidR="00F17CA2">
        <w:rPr>
          <w:rFonts w:cs="Helvetica"/>
          <w:color w:val="000000"/>
        </w:rPr>
        <w:t xml:space="preserve">the </w:t>
      </w:r>
      <w:r w:rsidR="00F17CA2" w:rsidRPr="00EE0C45">
        <w:rPr>
          <w:rFonts w:cs="Helvetica"/>
          <w:color w:val="000000"/>
        </w:rPr>
        <w:t xml:space="preserve">ability to work with communities as well as educational awareness that could prove to be the largest factor affecting sustainable </w:t>
      </w:r>
      <w:r w:rsidR="00F17CA2" w:rsidRPr="00B47E97">
        <w:rPr>
          <w:rFonts w:cs="Helvetica"/>
          <w:color w:val="000000"/>
        </w:rPr>
        <w:t xml:space="preserve">tourism especially in regard to protecting more natural areas. </w:t>
      </w:r>
      <w:sdt>
        <w:sdtPr>
          <w:rPr>
            <w:rFonts w:cs="Helvetica"/>
            <w:color w:val="000000"/>
          </w:rPr>
          <w:id w:val="-515923921"/>
          <w:citation/>
        </w:sdtPr>
        <w:sdtContent>
          <w:r w:rsidR="00F17CA2" w:rsidRPr="00B47E97">
            <w:rPr>
              <w:rFonts w:cs="Helvetica"/>
              <w:color w:val="000000"/>
            </w:rPr>
            <w:fldChar w:fldCharType="begin"/>
          </w:r>
          <w:r w:rsidR="00F17CA2" w:rsidRPr="00B47E97">
            <w:rPr>
              <w:rFonts w:cs="Helvetica"/>
              <w:color w:val="000000"/>
            </w:rPr>
            <w:instrText xml:space="preserve"> CITATION Ber11 \l 1033 </w:instrText>
          </w:r>
          <w:r w:rsidR="00F17CA2" w:rsidRPr="00B47E97">
            <w:rPr>
              <w:rFonts w:cs="Helvetica"/>
              <w:color w:val="000000"/>
            </w:rPr>
            <w:fldChar w:fldCharType="separate"/>
          </w:r>
          <w:r w:rsidR="00F17CA2" w:rsidRPr="00B47E97">
            <w:rPr>
              <w:rFonts w:cs="Helvetica"/>
              <w:noProof/>
              <w:color w:val="000000"/>
            </w:rPr>
            <w:t>(Cienfuegos, 2011)</w:t>
          </w:r>
          <w:r w:rsidR="00F17CA2" w:rsidRPr="00B47E97">
            <w:rPr>
              <w:rFonts w:cs="Helvetica"/>
              <w:color w:val="000000"/>
            </w:rPr>
            <w:fldChar w:fldCharType="end"/>
          </w:r>
        </w:sdtContent>
      </w:sdt>
      <w:r w:rsidR="00F17CA2" w:rsidRPr="00B47E97">
        <w:rPr>
          <w:rFonts w:cs="Helvetica"/>
          <w:color w:val="000000"/>
        </w:rPr>
        <w:t xml:space="preserve"> </w:t>
      </w:r>
      <w:r w:rsidR="00F17CA2">
        <w:rPr>
          <w:rFonts w:cs="Helvetica"/>
          <w:color w:val="000000"/>
        </w:rPr>
        <w:t xml:space="preserve"> Sources of funding are available to address the challenge of working with the indigenous communities.  For example,  </w:t>
      </w:r>
      <w:r w:rsidR="00F17CA2" w:rsidRPr="00B47E97">
        <w:rPr>
          <w:rFonts w:cs="Helvetica"/>
          <w:color w:val="000000"/>
        </w:rPr>
        <w:t xml:space="preserve">the Project Finance Performance </w:t>
      </w:r>
      <w:r w:rsidR="00F17CA2">
        <w:rPr>
          <w:rFonts w:cs="Helvetica"/>
          <w:color w:val="000000"/>
        </w:rPr>
        <w:t>between</w:t>
      </w:r>
      <w:r w:rsidR="00F17CA2" w:rsidRPr="00B47E97">
        <w:rPr>
          <w:rFonts w:cs="Helvetica"/>
          <w:color w:val="000000"/>
        </w:rPr>
        <w:t xml:space="preserve"> the government and International investors of the private and public sectors can donate for the better management of protected areas and has reached $140 million so far. One section of this commitment </w:t>
      </w:r>
      <w:r w:rsidR="00F17CA2">
        <w:rPr>
          <w:rFonts w:cs="Helvetica"/>
          <w:color w:val="000000"/>
        </w:rPr>
        <w:t xml:space="preserve">focuses on bringing local communities together to address the challenge of working with local groups.  The funding requires </w:t>
      </w:r>
      <w:r w:rsidR="00F17CA2" w:rsidRPr="00B47E97">
        <w:rPr>
          <w:rFonts w:cs="Helvetica"/>
          <w:color w:val="000000"/>
        </w:rPr>
        <w:t xml:space="preserve">that each of the 76 protected areas must have local communities involved in the management of the areas as well as other stakeholders. </w:t>
      </w:r>
      <w:sdt>
        <w:sdtPr>
          <w:rPr>
            <w:rFonts w:cs="Helvetica"/>
            <w:color w:val="000000"/>
          </w:rPr>
          <w:id w:val="2116087229"/>
          <w:citation/>
        </w:sdtPr>
        <w:sdtContent>
          <w:r w:rsidR="00F17CA2" w:rsidRPr="00B47E97">
            <w:rPr>
              <w:rFonts w:cs="Helvetica"/>
              <w:color w:val="000000"/>
            </w:rPr>
            <w:fldChar w:fldCharType="begin"/>
          </w:r>
          <w:r w:rsidR="00F17CA2" w:rsidRPr="00B47E97">
            <w:rPr>
              <w:rFonts w:cs="Helvetica"/>
              <w:color w:val="000000"/>
            </w:rPr>
            <w:instrText xml:space="preserve"> CITATION Kur19 \l 1033 </w:instrText>
          </w:r>
          <w:r w:rsidR="00F17CA2" w:rsidRPr="00B47E97">
            <w:rPr>
              <w:rFonts w:cs="Helvetica"/>
              <w:color w:val="000000"/>
            </w:rPr>
            <w:fldChar w:fldCharType="separate"/>
          </w:r>
          <w:r w:rsidR="00F17CA2" w:rsidRPr="00B47E97">
            <w:rPr>
              <w:rFonts w:cs="Helvetica"/>
              <w:noProof/>
              <w:color w:val="000000"/>
            </w:rPr>
            <w:t>(Holle, 2019)</w:t>
          </w:r>
          <w:r w:rsidR="00F17CA2" w:rsidRPr="00B47E97">
            <w:rPr>
              <w:rFonts w:cs="Helvetica"/>
              <w:color w:val="000000"/>
            </w:rPr>
            <w:fldChar w:fldCharType="end"/>
          </w:r>
        </w:sdtContent>
      </w:sdt>
      <w:r w:rsidR="00F17CA2">
        <w:rPr>
          <w:rFonts w:cs="Helvetica"/>
          <w:color w:val="000000"/>
        </w:rPr>
        <w:t xml:space="preserve">  A loss of cultural differences will impact </w:t>
      </w:r>
      <w:r w:rsidR="00F17CA2" w:rsidRPr="002C1BA3">
        <w:rPr>
          <w:rFonts w:cs="Helvetica"/>
          <w:color w:val="000000"/>
        </w:rPr>
        <w:t xml:space="preserve">47 different languages </w:t>
      </w:r>
      <w:r w:rsidR="00F17CA2">
        <w:rPr>
          <w:rFonts w:cs="Helvetica"/>
          <w:color w:val="000000"/>
        </w:rPr>
        <w:t>spoken in</w:t>
      </w:r>
      <w:r w:rsidR="00F17CA2" w:rsidRPr="002C1BA3">
        <w:rPr>
          <w:rFonts w:cs="Helvetica"/>
          <w:color w:val="000000"/>
        </w:rPr>
        <w:t xml:space="preserve"> 55 groups of indigenous people in Peru</w:t>
      </w:r>
      <w:r w:rsidR="00F17CA2">
        <w:rPr>
          <w:rFonts w:cs="Helvetica"/>
          <w:color w:val="000000"/>
        </w:rPr>
        <w:t>.</w:t>
      </w:r>
      <w:r w:rsidR="00F17CA2" w:rsidRPr="002C1BA3">
        <w:rPr>
          <w:rFonts w:cs="Helvetica"/>
          <w:color w:val="000000"/>
        </w:rPr>
        <w:t xml:space="preserve"> </w:t>
      </w:r>
      <w:sdt>
        <w:sdtPr>
          <w:id w:val="674231232"/>
          <w:citation/>
        </w:sdtPr>
        <w:sdtContent>
          <w:r w:rsidR="00F17CA2" w:rsidRPr="002C1BA3">
            <w:rPr>
              <w:rFonts w:cs="Helvetica"/>
              <w:color w:val="000000"/>
            </w:rPr>
            <w:fldChar w:fldCharType="begin"/>
          </w:r>
          <w:r w:rsidR="00F17CA2" w:rsidRPr="002C1BA3">
            <w:rPr>
              <w:rFonts w:cs="Helvetica"/>
              <w:color w:val="000000"/>
            </w:rPr>
            <w:instrText xml:space="preserve"> CITATION Int20 \l 1033 </w:instrText>
          </w:r>
          <w:r w:rsidR="00F17CA2" w:rsidRPr="002C1BA3">
            <w:rPr>
              <w:rFonts w:cs="Helvetica"/>
              <w:color w:val="000000"/>
            </w:rPr>
            <w:fldChar w:fldCharType="separate"/>
          </w:r>
          <w:r w:rsidR="00F17CA2" w:rsidRPr="002C1BA3">
            <w:rPr>
              <w:rFonts w:cs="Helvetica"/>
              <w:noProof/>
              <w:color w:val="000000"/>
            </w:rPr>
            <w:t>(International Work Group for Indigenous Affairs, 2020)</w:t>
          </w:r>
          <w:r w:rsidR="00F17CA2" w:rsidRPr="002C1BA3">
            <w:rPr>
              <w:rFonts w:cs="Helvetica"/>
              <w:color w:val="000000"/>
            </w:rPr>
            <w:fldChar w:fldCharType="end"/>
          </w:r>
        </w:sdtContent>
      </w:sdt>
    </w:p>
    <w:p w14:paraId="63F28AF4" w14:textId="77777777" w:rsidR="00F17CA2" w:rsidRDefault="00F17CA2" w:rsidP="00F17CA2"/>
    <w:p w14:paraId="6AC9AFFE" w14:textId="7745DA37" w:rsidR="00F17CA2" w:rsidRDefault="0068272D" w:rsidP="00F17CA2">
      <w:pPr>
        <w:rPr>
          <w:rFonts w:cs="Helvetica"/>
          <w:color w:val="000000"/>
        </w:rPr>
      </w:pPr>
      <w:r>
        <w:rPr>
          <w:rFonts w:cs="Helvetica"/>
          <w:color w:val="000000"/>
        </w:rPr>
        <w:tab/>
      </w:r>
      <w:r w:rsidR="00F17CA2">
        <w:rPr>
          <w:rFonts w:cs="Helvetica"/>
          <w:color w:val="000000"/>
        </w:rPr>
        <w:t xml:space="preserve">The need for training cannot be underestimated.  </w:t>
      </w:r>
      <w:r w:rsidR="00F17CA2" w:rsidRPr="00B47E97">
        <w:rPr>
          <w:rFonts w:cs="Helvetica"/>
          <w:color w:val="000000"/>
        </w:rPr>
        <w:t xml:space="preserve">Training </w:t>
      </w:r>
      <w:r w:rsidR="00F17CA2">
        <w:rPr>
          <w:rFonts w:cs="Helvetica"/>
          <w:color w:val="000000"/>
        </w:rPr>
        <w:t xml:space="preserve">has to be inclusive and </w:t>
      </w:r>
      <w:r w:rsidR="00F17CA2" w:rsidRPr="00B47E97">
        <w:rPr>
          <w:rFonts w:cs="Helvetica"/>
          <w:color w:val="000000"/>
        </w:rPr>
        <w:t xml:space="preserve">should not be limited to urban centers where rural individuals cannot afford the journey thus losing out on possible job opportunities. Workshops could be held throughout the country to give </w:t>
      </w:r>
      <w:r w:rsidR="00F17CA2" w:rsidRPr="00B47E97">
        <w:rPr>
          <w:rFonts w:cs="Helvetica"/>
          <w:color w:val="000000"/>
        </w:rPr>
        <w:lastRenderedPageBreak/>
        <w:t>access to those that want it.</w:t>
      </w:r>
      <w:r w:rsidR="00F17CA2">
        <w:rPr>
          <w:rFonts w:cs="Helvetica"/>
          <w:color w:val="000000"/>
        </w:rPr>
        <w:t xml:space="preserve"> </w:t>
      </w:r>
      <w:sdt>
        <w:sdtPr>
          <w:rPr>
            <w:rFonts w:cs="Helvetica"/>
            <w:color w:val="000000"/>
          </w:rPr>
          <w:id w:val="61064226"/>
          <w:citation/>
        </w:sdtPr>
        <w:sdtContent>
          <w:r w:rsidR="00F17CA2">
            <w:rPr>
              <w:rFonts w:cs="Helvetica"/>
              <w:color w:val="000000"/>
            </w:rPr>
            <w:fldChar w:fldCharType="begin"/>
          </w:r>
          <w:r w:rsidR="00F17CA2">
            <w:rPr>
              <w:rFonts w:cs="Helvetica"/>
              <w:color w:val="000000"/>
            </w:rPr>
            <w:instrText xml:space="preserve"> CITATION Gem04 \l 1033 </w:instrText>
          </w:r>
          <w:r w:rsidR="00F17CA2">
            <w:rPr>
              <w:rFonts w:cs="Helvetica"/>
              <w:color w:val="000000"/>
            </w:rPr>
            <w:fldChar w:fldCharType="separate"/>
          </w:r>
          <w:r w:rsidR="00F17CA2" w:rsidRPr="00B47E97">
            <w:rPr>
              <w:rFonts w:cs="Helvetica"/>
              <w:noProof/>
              <w:color w:val="000000"/>
            </w:rPr>
            <w:t>(McGrath, 2004)</w:t>
          </w:r>
          <w:r w:rsidR="00F17CA2">
            <w:rPr>
              <w:rFonts w:cs="Helvetica"/>
              <w:color w:val="000000"/>
            </w:rPr>
            <w:fldChar w:fldCharType="end"/>
          </w:r>
        </w:sdtContent>
      </w:sdt>
      <w:r w:rsidR="00F17CA2">
        <w:rPr>
          <w:rFonts w:cs="Helvetica"/>
          <w:color w:val="000000"/>
        </w:rPr>
        <w:t xml:space="preserve">  Although, the world has become a virtual community based upon the impact of COVID-19, it is highly unlikely that the rural community has access.  The recommendation then would be to use official training centers that are located outside of Lima, Cusco, and Chiclayo </w:t>
      </w:r>
      <w:sdt>
        <w:sdtPr>
          <w:rPr>
            <w:rFonts w:cs="Helvetica"/>
            <w:color w:val="000000"/>
          </w:rPr>
          <w:id w:val="791324819"/>
          <w:citation/>
        </w:sdtPr>
        <w:sdtContent>
          <w:r w:rsidR="00F17CA2">
            <w:rPr>
              <w:rFonts w:cs="Helvetica"/>
              <w:color w:val="000000"/>
            </w:rPr>
            <w:fldChar w:fldCharType="begin"/>
          </w:r>
          <w:r w:rsidR="00F17CA2">
            <w:rPr>
              <w:rFonts w:cs="Helvetica"/>
              <w:color w:val="000000"/>
            </w:rPr>
            <w:instrText xml:space="preserve"> CITATION Cen20 \l 1033 </w:instrText>
          </w:r>
          <w:r w:rsidR="00F17CA2">
            <w:rPr>
              <w:rFonts w:cs="Helvetica"/>
              <w:color w:val="000000"/>
            </w:rPr>
            <w:fldChar w:fldCharType="separate"/>
          </w:r>
          <w:r w:rsidR="00F17CA2" w:rsidRPr="00147229">
            <w:rPr>
              <w:rFonts w:cs="Helvetica"/>
              <w:noProof/>
              <w:color w:val="000000"/>
            </w:rPr>
            <w:t>(Cenfotur, 2020)</w:t>
          </w:r>
          <w:r w:rsidR="00F17CA2">
            <w:rPr>
              <w:rFonts w:cs="Helvetica"/>
              <w:color w:val="000000"/>
            </w:rPr>
            <w:fldChar w:fldCharType="end"/>
          </w:r>
        </w:sdtContent>
      </w:sdt>
      <w:r w:rsidR="00F17CA2">
        <w:rPr>
          <w:rFonts w:cs="Helvetica"/>
          <w:color w:val="000000"/>
        </w:rPr>
        <w:t xml:space="preserve"> but still have the</w:t>
      </w:r>
      <w:r w:rsidR="00F17CA2" w:rsidRPr="00147229">
        <w:rPr>
          <w:rFonts w:cs="Helvetica"/>
          <w:color w:val="000000"/>
        </w:rPr>
        <w:t xml:space="preserve"> various curriculum</w:t>
      </w:r>
      <w:r w:rsidR="00F17CA2">
        <w:rPr>
          <w:rFonts w:cs="Helvetica"/>
          <w:color w:val="000000"/>
        </w:rPr>
        <w:t xml:space="preserve"> of the larger cities</w:t>
      </w:r>
      <w:r w:rsidR="00F17CA2" w:rsidRPr="00147229">
        <w:rPr>
          <w:rFonts w:cs="Helvetica"/>
          <w:color w:val="000000"/>
        </w:rPr>
        <w:t xml:space="preserve"> including Peruvian Cuisine, Tourism Management, Hospitality Management, and Official Tourism Guides.</w:t>
      </w:r>
      <w:r w:rsidR="00F17CA2">
        <w:rPr>
          <w:rFonts w:cs="Helvetica"/>
          <w:color w:val="000000"/>
        </w:rPr>
        <w:t xml:space="preserve"> </w:t>
      </w:r>
      <w:sdt>
        <w:sdtPr>
          <w:rPr>
            <w:rFonts w:cs="Helvetica"/>
            <w:color w:val="000000"/>
          </w:rPr>
          <w:id w:val="237216527"/>
          <w:citation/>
        </w:sdtPr>
        <w:sdtContent>
          <w:r w:rsidR="00F17CA2">
            <w:rPr>
              <w:rFonts w:cs="Helvetica"/>
              <w:color w:val="000000"/>
            </w:rPr>
            <w:fldChar w:fldCharType="begin"/>
          </w:r>
          <w:r w:rsidR="00F17CA2">
            <w:rPr>
              <w:rFonts w:cs="Helvetica"/>
              <w:color w:val="000000"/>
            </w:rPr>
            <w:instrText xml:space="preserve"> CITATION Wor201 \l 1033 </w:instrText>
          </w:r>
          <w:r w:rsidR="00F17CA2">
            <w:rPr>
              <w:rFonts w:cs="Helvetica"/>
              <w:color w:val="000000"/>
            </w:rPr>
            <w:fldChar w:fldCharType="separate"/>
          </w:r>
          <w:r w:rsidR="00F17CA2" w:rsidRPr="00147229">
            <w:rPr>
              <w:rFonts w:cs="Helvetica"/>
              <w:noProof/>
              <w:color w:val="000000"/>
            </w:rPr>
            <w:t>(World Tourism Organization, 2020)</w:t>
          </w:r>
          <w:r w:rsidR="00F17CA2">
            <w:rPr>
              <w:rFonts w:cs="Helvetica"/>
              <w:color w:val="000000"/>
            </w:rPr>
            <w:fldChar w:fldCharType="end"/>
          </w:r>
        </w:sdtContent>
      </w:sdt>
    </w:p>
    <w:p w14:paraId="56719F0E" w14:textId="77777777" w:rsidR="00F17CA2" w:rsidRDefault="00F17CA2"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5FEFB89F" w14:textId="4DD17940" w:rsidR="00F17CA2" w:rsidRDefault="0068272D"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color w:val="000000"/>
        </w:rPr>
        <w:tab/>
      </w:r>
      <w:r w:rsidR="00F17CA2">
        <w:rPr>
          <w:rFonts w:cs="Helvetica"/>
          <w:color w:val="000000"/>
        </w:rPr>
        <w:t xml:space="preserve">Training that integrates Mintzberg’s perspective stage will also need to held.  Current laws and restriction prevent access to tourists by various cultures which is a disconnect with perspective.  </w:t>
      </w:r>
      <w:r w:rsidR="00F17CA2" w:rsidRPr="00147229">
        <w:rPr>
          <w:rFonts w:cs="Helvetica"/>
          <w:color w:val="000000"/>
        </w:rPr>
        <w:t xml:space="preserve">Certain indigenous individuals who are not wearing traditional clothing when selling handicrafts, for example, are removed from city centers. </w:t>
      </w:r>
      <w:r w:rsidR="00F17CA2">
        <w:rPr>
          <w:rFonts w:cs="Helvetica"/>
          <w:color w:val="000000"/>
        </w:rPr>
        <w:t xml:space="preserve"> </w:t>
      </w:r>
      <w:r w:rsidR="00F17CA2" w:rsidRPr="00147229">
        <w:rPr>
          <w:rFonts w:cs="Helvetica"/>
          <w:color w:val="000000"/>
        </w:rPr>
        <w:t>Other aspects affecting livelihood is the restriction imposed on the campesinos near Machu Picchu. They are not allowed to make buildings over a certain size, only allowed to have a certain amount of cattle, and are not allowed to have electricity.</w:t>
      </w:r>
      <w:r w:rsidR="00F17CA2">
        <w:rPr>
          <w:rFonts w:cs="Helvetica"/>
          <w:color w:val="000000"/>
        </w:rPr>
        <w:t xml:space="preserve"> </w:t>
      </w:r>
      <w:sdt>
        <w:sdtPr>
          <w:rPr>
            <w:rFonts w:cs="Helvetica"/>
            <w:color w:val="000000"/>
          </w:rPr>
          <w:id w:val="1791008635"/>
          <w:citation/>
        </w:sdtPr>
        <w:sdtContent>
          <w:r w:rsidR="00F17CA2">
            <w:rPr>
              <w:rFonts w:cs="Helvetica"/>
              <w:color w:val="000000"/>
            </w:rPr>
            <w:fldChar w:fldCharType="begin"/>
          </w:r>
          <w:r w:rsidR="00F17CA2">
            <w:rPr>
              <w:rFonts w:cs="Helvetica"/>
              <w:color w:val="000000"/>
            </w:rPr>
            <w:instrText xml:space="preserve"> CITATION Bau09 \l 1033 </w:instrText>
          </w:r>
          <w:r w:rsidR="00F17CA2">
            <w:rPr>
              <w:rFonts w:cs="Helvetica"/>
              <w:color w:val="000000"/>
            </w:rPr>
            <w:fldChar w:fldCharType="separate"/>
          </w:r>
          <w:r w:rsidR="00F17CA2" w:rsidRPr="00147229">
            <w:rPr>
              <w:rFonts w:cs="Helvetica"/>
              <w:noProof/>
              <w:color w:val="000000"/>
            </w:rPr>
            <w:t>(Baud &amp; Ypeij, 2009)</w:t>
          </w:r>
          <w:r w:rsidR="00F17CA2">
            <w:rPr>
              <w:rFonts w:cs="Helvetica"/>
              <w:color w:val="000000"/>
            </w:rPr>
            <w:fldChar w:fldCharType="end"/>
          </w:r>
        </w:sdtContent>
      </w:sdt>
      <w:r w:rsidR="00F17CA2">
        <w:rPr>
          <w:rFonts w:cs="Helvetica"/>
          <w:color w:val="000000"/>
        </w:rPr>
        <w:t xml:space="preserve">  As the laws and regulations change, monitoring and managing will be critical to the success of the changes.</w:t>
      </w:r>
    </w:p>
    <w:p w14:paraId="0A8A921E" w14:textId="77777777" w:rsidR="00F17CA2" w:rsidRDefault="00F17CA2"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01144106" w14:textId="78255D18" w:rsidR="00F17CA2" w:rsidRDefault="0068272D"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color w:val="000000"/>
        </w:rPr>
        <w:tab/>
      </w:r>
      <w:r w:rsidR="00F17CA2">
        <w:rPr>
          <w:rFonts w:cs="Helvetica"/>
          <w:color w:val="000000"/>
        </w:rPr>
        <w:t>This report has shown some of the initiatives in place to increase not only the revenue for the country in tourism dollars but brings awareness to some of the short comings these initiatives may have. In order to create a more sustainable Peru, it is imperative that money being thrown at the problem be the only solution. All the stakeholders involved, private and public sectors, as well as Peruvians and tourists need to come together through knowledge, research, and training to reduce their impact on the already fragile environments of Peru.</w:t>
      </w:r>
    </w:p>
    <w:p w14:paraId="010F3888" w14:textId="236F4CA9" w:rsidR="00F17CA2" w:rsidRDefault="00F17CA2"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7FDCA989" w14:textId="4F60EB2C" w:rsidR="0068272D" w:rsidRDefault="0068272D" w:rsidP="00F17C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542AE14F" w14:textId="0C1263E0" w:rsidR="0068272D" w:rsidRDefault="0068272D">
      <w:pPr>
        <w:rPr>
          <w:rFonts w:cs="Helvetica"/>
          <w:color w:val="000000"/>
        </w:rPr>
      </w:pPr>
      <w:r>
        <w:rPr>
          <w:rFonts w:cs="Helvetica"/>
          <w:color w:val="000000"/>
        </w:rPr>
        <w:br w:type="page"/>
      </w:r>
    </w:p>
    <w:sdt>
      <w:sdtPr>
        <w:id w:val="-1093926625"/>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45A61454" w14:textId="1B1067B1" w:rsidR="0068272D" w:rsidRDefault="0068272D">
          <w:pPr>
            <w:pStyle w:val="Heading1"/>
          </w:pPr>
          <w:r>
            <w:t>Bibliography</w:t>
          </w:r>
        </w:p>
        <w:sdt>
          <w:sdtPr>
            <w:id w:val="111145805"/>
            <w:bibliography/>
          </w:sdtPr>
          <w:sdtContent>
            <w:p w14:paraId="2DDD06E0" w14:textId="77777777" w:rsidR="0068272D" w:rsidRDefault="0068272D" w:rsidP="0068272D">
              <w:pPr>
                <w:pStyle w:val="Bibliography"/>
                <w:ind w:hanging="720"/>
                <w:rPr>
                  <w:noProof/>
                </w:rPr>
              </w:pPr>
              <w:r>
                <w:fldChar w:fldCharType="begin"/>
              </w:r>
              <w:r>
                <w:instrText xml:space="preserve"> BIBLIOGRAPHY </w:instrText>
              </w:r>
              <w:r>
                <w:fldChar w:fldCharType="separate"/>
              </w:r>
              <w:r>
                <w:rPr>
                  <w:noProof/>
                </w:rPr>
                <w:t xml:space="preserve">Baud, M. &amp; Ypeij, A., 2009. </w:t>
              </w:r>
              <w:r>
                <w:rPr>
                  <w:i/>
                  <w:iCs/>
                  <w:noProof/>
                </w:rPr>
                <w:t xml:space="preserve">Cultural Tourism In Latin America: The Politics Of Space And Imagery. </w:t>
              </w:r>
              <w:r>
                <w:rPr>
                  <w:noProof/>
                </w:rPr>
                <w:t>Boston: Brill.</w:t>
              </w:r>
            </w:p>
            <w:p w14:paraId="135D7C85" w14:textId="77777777" w:rsidR="0068272D" w:rsidRDefault="0068272D" w:rsidP="0068272D">
              <w:pPr>
                <w:pStyle w:val="Bibliography"/>
                <w:ind w:hanging="720"/>
                <w:rPr>
                  <w:noProof/>
                </w:rPr>
              </w:pPr>
              <w:r>
                <w:rPr>
                  <w:noProof/>
                </w:rPr>
                <w:t xml:space="preserve">Calderwood, L. U. &amp; Soshkin, M., 2019. </w:t>
              </w:r>
              <w:r>
                <w:rPr>
                  <w:i/>
                  <w:iCs/>
                  <w:noProof/>
                </w:rPr>
                <w:t xml:space="preserve">The Travel &amp; Tourism Competitiveness Report 2019. </w:t>
              </w:r>
              <w:r>
                <w:rPr>
                  <w:noProof/>
                </w:rPr>
                <w:t xml:space="preserve">[Online] </w:t>
              </w:r>
              <w:r>
                <w:rPr>
                  <w:noProof/>
                </w:rPr>
                <w:br/>
                <w:t xml:space="preserve">Available at: </w:t>
              </w:r>
              <w:r>
                <w:rPr>
                  <w:noProof/>
                  <w:u w:val="single"/>
                </w:rPr>
                <w:t>http://www3.weforum.org/docs/WEF_TTCR_2019.pdf</w:t>
              </w:r>
              <w:r>
                <w:rPr>
                  <w:noProof/>
                </w:rPr>
                <w:br/>
                <w:t>[Accessed 9 June 2020].</w:t>
              </w:r>
            </w:p>
            <w:p w14:paraId="047EB630" w14:textId="77777777" w:rsidR="0068272D" w:rsidRDefault="0068272D" w:rsidP="0068272D">
              <w:pPr>
                <w:pStyle w:val="Bibliography"/>
                <w:ind w:hanging="720"/>
                <w:rPr>
                  <w:noProof/>
                </w:rPr>
              </w:pPr>
              <w:r>
                <w:rPr>
                  <w:noProof/>
                </w:rPr>
                <w:t xml:space="preserve">Cenfotur, 2020. </w:t>
              </w:r>
              <w:r>
                <w:rPr>
                  <w:i/>
                  <w:iCs/>
                  <w:noProof/>
                </w:rPr>
                <w:t xml:space="preserve">Cenfotur Education Peru. </w:t>
              </w:r>
              <w:r>
                <w:rPr>
                  <w:noProof/>
                </w:rPr>
                <w:t xml:space="preserve">[Online] </w:t>
              </w:r>
              <w:r>
                <w:rPr>
                  <w:noProof/>
                </w:rPr>
                <w:br/>
                <w:t xml:space="preserve">Available at: </w:t>
              </w:r>
              <w:r>
                <w:rPr>
                  <w:noProof/>
                  <w:u w:val="single"/>
                </w:rPr>
                <w:t>https://www.cenfotur.edu.pe/</w:t>
              </w:r>
              <w:r>
                <w:rPr>
                  <w:noProof/>
                </w:rPr>
                <w:br/>
                <w:t>[Accessed 9 June 2020].</w:t>
              </w:r>
            </w:p>
            <w:p w14:paraId="0C2007F0" w14:textId="77777777" w:rsidR="0068272D" w:rsidRDefault="0068272D" w:rsidP="0068272D">
              <w:pPr>
                <w:pStyle w:val="Bibliography"/>
                <w:ind w:hanging="720"/>
                <w:rPr>
                  <w:noProof/>
                </w:rPr>
              </w:pPr>
              <w:r>
                <w:rPr>
                  <w:noProof/>
                </w:rPr>
                <w:t xml:space="preserve">Chiesa, T., Lengefeld, K. &amp; Crotti, R., 2013. </w:t>
              </w:r>
              <w:r>
                <w:rPr>
                  <w:i/>
                  <w:iCs/>
                  <w:noProof/>
                </w:rPr>
                <w:t xml:space="preserve">The Peru Travel &amp; Tourism Competitiveness Report 2013. </w:t>
              </w:r>
              <w:r>
                <w:rPr>
                  <w:noProof/>
                </w:rPr>
                <w:t xml:space="preserve">[Online] </w:t>
              </w:r>
              <w:r>
                <w:rPr>
                  <w:noProof/>
                </w:rPr>
                <w:br/>
                <w:t xml:space="preserve">Available at: </w:t>
              </w:r>
              <w:r>
                <w:rPr>
                  <w:noProof/>
                  <w:u w:val="single"/>
                </w:rPr>
                <w:t>http://www3.weforum.org/docs/WEF_TT_Peru_CompetitivenessReport_2013.pdf</w:t>
              </w:r>
              <w:r>
                <w:rPr>
                  <w:noProof/>
                </w:rPr>
                <w:br/>
                <w:t>[Accessed 9 June 2020].</w:t>
              </w:r>
            </w:p>
            <w:p w14:paraId="43DD3404" w14:textId="77777777" w:rsidR="0068272D" w:rsidRDefault="0068272D" w:rsidP="0068272D">
              <w:pPr>
                <w:pStyle w:val="Bibliography"/>
                <w:ind w:hanging="720"/>
                <w:rPr>
                  <w:noProof/>
                </w:rPr>
              </w:pPr>
              <w:r>
                <w:rPr>
                  <w:noProof/>
                </w:rPr>
                <w:t xml:space="preserve">Cienfuegos, B. C. G., 2011. </w:t>
              </w:r>
              <w:r>
                <w:rPr>
                  <w:i/>
                  <w:iCs/>
                  <w:noProof/>
                </w:rPr>
                <w:t xml:space="preserve">Protected Areas In Peru. </w:t>
              </w:r>
              <w:r>
                <w:rPr>
                  <w:noProof/>
                </w:rPr>
                <w:t xml:space="preserve">[Online] </w:t>
              </w:r>
              <w:r>
                <w:rPr>
                  <w:noProof/>
                </w:rPr>
                <w:br/>
                <w:t xml:space="preserve">Available at: </w:t>
              </w:r>
              <w:r>
                <w:rPr>
                  <w:noProof/>
                  <w:u w:val="single"/>
                </w:rPr>
                <w:t>https://www.iucn.org/content/protected-areas-peru</w:t>
              </w:r>
              <w:r>
                <w:rPr>
                  <w:noProof/>
                </w:rPr>
                <w:br/>
                <w:t>[Accessed 8 June 2020].</w:t>
              </w:r>
            </w:p>
            <w:p w14:paraId="18214F47" w14:textId="77777777" w:rsidR="0068272D" w:rsidRDefault="0068272D" w:rsidP="0068272D">
              <w:pPr>
                <w:pStyle w:val="Bibliography"/>
                <w:ind w:hanging="720"/>
                <w:rPr>
                  <w:noProof/>
                </w:rPr>
              </w:pPr>
              <w:r>
                <w:rPr>
                  <w:noProof/>
                </w:rPr>
                <w:t xml:space="preserve">Collyns, D., 2013. </w:t>
              </w:r>
              <w:r>
                <w:rPr>
                  <w:i/>
                  <w:iCs/>
                  <w:noProof/>
                </w:rPr>
                <w:t xml:space="preserve">Eco-Tourism In Peru: Community Engaging And Preserving Biodiversity. </w:t>
              </w:r>
              <w:r>
                <w:rPr>
                  <w:noProof/>
                </w:rPr>
                <w:t xml:space="preserve">[Online] </w:t>
              </w:r>
              <w:r>
                <w:rPr>
                  <w:noProof/>
                </w:rPr>
                <w:br/>
                <w:t xml:space="preserve">Available at: </w:t>
              </w:r>
              <w:r>
                <w:rPr>
                  <w:noProof/>
                  <w:u w:val="single"/>
                </w:rPr>
                <w:t>https://www.theguardian.com/sustainable-business/eco-tourism-peru-amazon-engaging-communities</w:t>
              </w:r>
              <w:r>
                <w:rPr>
                  <w:noProof/>
                </w:rPr>
                <w:br/>
                <w:t>[Accessed 8 June 2020].</w:t>
              </w:r>
            </w:p>
            <w:p w14:paraId="50EB17C1" w14:textId="77777777" w:rsidR="0068272D" w:rsidRDefault="0068272D" w:rsidP="0068272D">
              <w:pPr>
                <w:pStyle w:val="Bibliography"/>
                <w:ind w:hanging="720"/>
                <w:rPr>
                  <w:noProof/>
                </w:rPr>
              </w:pPr>
              <w:r>
                <w:rPr>
                  <w:noProof/>
                </w:rPr>
                <w:t xml:space="preserve">Dos Manos Peru News, 2018. </w:t>
              </w:r>
              <w:r>
                <w:rPr>
                  <w:i/>
                  <w:iCs/>
                  <w:noProof/>
                </w:rPr>
                <w:t xml:space="preserve">Peru's 3rd Biggest Sector Regarding Income Is The Tourism Industry. </w:t>
              </w:r>
              <w:r>
                <w:rPr>
                  <w:noProof/>
                </w:rPr>
                <w:t xml:space="preserve">[Online] </w:t>
              </w:r>
              <w:r>
                <w:rPr>
                  <w:noProof/>
                </w:rPr>
                <w:br/>
                <w:t xml:space="preserve">Available at: </w:t>
              </w:r>
              <w:r>
                <w:rPr>
                  <w:noProof/>
                  <w:u w:val="single"/>
                </w:rPr>
                <w:t>https://www.dosmanosperu.com/news/perus-3rd-biggest-sector-regarding-income-tourism-industry/</w:t>
              </w:r>
              <w:r>
                <w:rPr>
                  <w:noProof/>
                </w:rPr>
                <w:br/>
                <w:t>[Accessed 3 June 2020].</w:t>
              </w:r>
            </w:p>
            <w:p w14:paraId="65FB3375" w14:textId="77777777" w:rsidR="0068272D" w:rsidRDefault="0068272D" w:rsidP="0068272D">
              <w:pPr>
                <w:pStyle w:val="Bibliography"/>
                <w:ind w:hanging="720"/>
                <w:rPr>
                  <w:noProof/>
                </w:rPr>
              </w:pPr>
              <w:r>
                <w:rPr>
                  <w:noProof/>
                </w:rPr>
                <w:t xml:space="preserve">Go2Peru, 2020. </w:t>
              </w:r>
              <w:r>
                <w:rPr>
                  <w:i/>
                  <w:iCs/>
                  <w:noProof/>
                </w:rPr>
                <w:t xml:space="preserve">Peruvian Handicrafts. </w:t>
              </w:r>
              <w:r>
                <w:rPr>
                  <w:noProof/>
                </w:rPr>
                <w:t xml:space="preserve">[Online] </w:t>
              </w:r>
              <w:r>
                <w:rPr>
                  <w:noProof/>
                </w:rPr>
                <w:br/>
                <w:t xml:space="preserve">Available at: </w:t>
              </w:r>
              <w:r>
                <w:rPr>
                  <w:noProof/>
                  <w:u w:val="single"/>
                </w:rPr>
                <w:t>https://www.go2peru.travel/peru_guide/peruvian_handicrafts.htm</w:t>
              </w:r>
              <w:r>
                <w:rPr>
                  <w:noProof/>
                </w:rPr>
                <w:br/>
                <w:t>[Accessed 7 June 2020].</w:t>
              </w:r>
            </w:p>
            <w:p w14:paraId="70F2025E" w14:textId="77777777" w:rsidR="0068272D" w:rsidRDefault="0068272D" w:rsidP="0068272D">
              <w:pPr>
                <w:pStyle w:val="Bibliography"/>
                <w:ind w:hanging="720"/>
                <w:rPr>
                  <w:noProof/>
                </w:rPr>
              </w:pPr>
              <w:r>
                <w:rPr>
                  <w:noProof/>
                </w:rPr>
                <w:t xml:space="preserve">Gribi, N., 2018. </w:t>
              </w:r>
              <w:r>
                <w:rPr>
                  <w:i/>
                  <w:iCs/>
                  <w:noProof/>
                </w:rPr>
                <w:t xml:space="preserve">Tourism In Protected Areas Generated US $720 Million In Peru In 2017. </w:t>
              </w:r>
              <w:r>
                <w:rPr>
                  <w:noProof/>
                </w:rPr>
                <w:t xml:space="preserve">[Online] </w:t>
              </w:r>
              <w:r>
                <w:rPr>
                  <w:noProof/>
                </w:rPr>
                <w:br/>
                <w:t xml:space="preserve">Available at: </w:t>
              </w:r>
              <w:r>
                <w:rPr>
                  <w:noProof/>
                  <w:u w:val="single"/>
                </w:rPr>
                <w:t>https://www.conservation-strategy.org/news/tourism-protected-areas-generated-us-720-million-peru-2017</w:t>
              </w:r>
              <w:r>
                <w:rPr>
                  <w:noProof/>
                </w:rPr>
                <w:br/>
                <w:t>[Accessed 8 June 2020].</w:t>
              </w:r>
            </w:p>
            <w:p w14:paraId="0F51BB73" w14:textId="77777777" w:rsidR="0068272D" w:rsidRDefault="0068272D" w:rsidP="0068272D">
              <w:pPr>
                <w:pStyle w:val="Bibliography"/>
                <w:ind w:hanging="720"/>
                <w:rPr>
                  <w:noProof/>
                </w:rPr>
              </w:pPr>
              <w:r>
                <w:rPr>
                  <w:noProof/>
                </w:rPr>
                <w:t xml:space="preserve">Gross, M. J., 2005. Tourism Industry Perceptions Of Lifestyle Tourism: An Exploratory Analysis. </w:t>
              </w:r>
              <w:r>
                <w:rPr>
                  <w:i/>
                  <w:iCs/>
                  <w:noProof/>
                </w:rPr>
                <w:t>Sharing Tourism Knowledge.</w:t>
              </w:r>
            </w:p>
            <w:p w14:paraId="4D90E273" w14:textId="77777777" w:rsidR="0068272D" w:rsidRDefault="0068272D" w:rsidP="0068272D">
              <w:pPr>
                <w:pStyle w:val="Bibliography"/>
                <w:ind w:hanging="720"/>
                <w:rPr>
                  <w:noProof/>
                </w:rPr>
              </w:pPr>
              <w:r>
                <w:rPr>
                  <w:noProof/>
                </w:rPr>
                <w:t xml:space="preserve">Holle, K., 2019. </w:t>
              </w:r>
              <w:r>
                <w:rPr>
                  <w:i/>
                  <w:iCs/>
                  <w:noProof/>
                </w:rPr>
                <w:t xml:space="preserve">Protecting Peru's Natural Heritage - Permanently. </w:t>
              </w:r>
              <w:r>
                <w:rPr>
                  <w:noProof/>
                </w:rPr>
                <w:t xml:space="preserve">[Online] </w:t>
              </w:r>
              <w:r>
                <w:rPr>
                  <w:noProof/>
                </w:rPr>
                <w:br/>
                <w:t xml:space="preserve">Available at: </w:t>
              </w:r>
              <w:r>
                <w:rPr>
                  <w:noProof/>
                  <w:u w:val="single"/>
                </w:rPr>
                <w:t>https://medium.com/wwftogetherpossible/protecting-perus-natural-heritage-permanently-42eea7fc8fc8</w:t>
              </w:r>
              <w:r>
                <w:rPr>
                  <w:noProof/>
                </w:rPr>
                <w:br/>
                <w:t>[Accessed 8 June 2020].</w:t>
              </w:r>
            </w:p>
            <w:p w14:paraId="4A4C2E0B" w14:textId="77777777" w:rsidR="0068272D" w:rsidRDefault="0068272D" w:rsidP="0068272D">
              <w:pPr>
                <w:pStyle w:val="Bibliography"/>
                <w:ind w:hanging="720"/>
                <w:rPr>
                  <w:noProof/>
                </w:rPr>
              </w:pPr>
              <w:r>
                <w:rPr>
                  <w:noProof/>
                </w:rPr>
                <w:t xml:space="preserve">International Work Group for Indigenous Affairs, 2020. </w:t>
              </w:r>
              <w:r>
                <w:rPr>
                  <w:i/>
                  <w:iCs/>
                  <w:noProof/>
                </w:rPr>
                <w:t xml:space="preserve">Indigenous Peoples In Peru. </w:t>
              </w:r>
              <w:r>
                <w:rPr>
                  <w:noProof/>
                </w:rPr>
                <w:t xml:space="preserve">[Online] </w:t>
              </w:r>
              <w:r>
                <w:rPr>
                  <w:noProof/>
                </w:rPr>
                <w:br/>
                <w:t xml:space="preserve">Available at: </w:t>
              </w:r>
              <w:r>
                <w:rPr>
                  <w:noProof/>
                  <w:u w:val="single"/>
                </w:rPr>
                <w:t>https://www.iwgia.org/en/peru</w:t>
              </w:r>
              <w:r>
                <w:rPr>
                  <w:noProof/>
                </w:rPr>
                <w:br/>
                <w:t>[Accessed 9 June 2020].</w:t>
              </w:r>
            </w:p>
            <w:p w14:paraId="678F34C9" w14:textId="77777777" w:rsidR="0068272D" w:rsidRDefault="0068272D" w:rsidP="0068272D">
              <w:pPr>
                <w:pStyle w:val="Bibliography"/>
                <w:ind w:hanging="720"/>
                <w:rPr>
                  <w:noProof/>
                </w:rPr>
              </w:pPr>
              <w:r>
                <w:rPr>
                  <w:noProof/>
                </w:rPr>
                <w:lastRenderedPageBreak/>
                <w:t xml:space="preserve">Larson, L. R. &amp; Poudyal, N. C., 2012. Developing Sustainable Tourism Through Adaptive Resource Management: A Case Study Of Machu Picchu, Peru. </w:t>
              </w:r>
              <w:r>
                <w:rPr>
                  <w:i/>
                  <w:iCs/>
                  <w:noProof/>
                </w:rPr>
                <w:t xml:space="preserve">Journal Of Sustainable Tourism, </w:t>
              </w:r>
              <w:r>
                <w:rPr>
                  <w:noProof/>
                </w:rPr>
                <w:t>20(7), pp. 917-938.</w:t>
              </w:r>
            </w:p>
            <w:p w14:paraId="7BE8E639" w14:textId="77777777" w:rsidR="0068272D" w:rsidRDefault="0068272D" w:rsidP="0068272D">
              <w:pPr>
                <w:pStyle w:val="Bibliography"/>
                <w:ind w:hanging="720"/>
                <w:rPr>
                  <w:noProof/>
                </w:rPr>
              </w:pPr>
              <w:r>
                <w:rPr>
                  <w:noProof/>
                </w:rPr>
                <w:t xml:space="preserve">Market Line, 2020. </w:t>
              </w:r>
              <w:r>
                <w:rPr>
                  <w:i/>
                  <w:iCs/>
                  <w:noProof/>
                </w:rPr>
                <w:t xml:space="preserve">Travel &amp; Tourism In Peru. </w:t>
              </w:r>
              <w:r>
                <w:rPr>
                  <w:noProof/>
                </w:rPr>
                <w:t xml:space="preserve">[Online] </w:t>
              </w:r>
              <w:r>
                <w:rPr>
                  <w:noProof/>
                </w:rPr>
                <w:br/>
                <w:t xml:space="preserve">Available at: </w:t>
              </w:r>
              <w:r>
                <w:rPr>
                  <w:noProof/>
                  <w:u w:val="single"/>
                </w:rPr>
                <w:t>https://web-a-ebscohost-com.ezproxy.uwtsd.ac.uk/ehost/pdfviewer/pdfviewer?vid=1&amp;sid=e1e5ce93-faf8-453a-a42e-167aea4aa463%40sessionmgr4008</w:t>
              </w:r>
              <w:r>
                <w:rPr>
                  <w:noProof/>
                </w:rPr>
                <w:br/>
                <w:t>[Accessed 8 June 2020].</w:t>
              </w:r>
            </w:p>
            <w:p w14:paraId="30D5056E" w14:textId="77777777" w:rsidR="0068272D" w:rsidRDefault="0068272D" w:rsidP="0068272D">
              <w:pPr>
                <w:pStyle w:val="Bibliography"/>
                <w:ind w:hanging="720"/>
                <w:rPr>
                  <w:noProof/>
                </w:rPr>
              </w:pPr>
              <w:r>
                <w:rPr>
                  <w:noProof/>
                </w:rPr>
                <w:t xml:space="preserve">Marsh, N., 2018. </w:t>
              </w:r>
              <w:r>
                <w:rPr>
                  <w:i/>
                  <w:iCs/>
                  <w:noProof/>
                </w:rPr>
                <w:t xml:space="preserve">WTM 2018: Peru Prioritises 'Adventure' In Tourism Marketing. </w:t>
              </w:r>
              <w:r>
                <w:rPr>
                  <w:noProof/>
                </w:rPr>
                <w:t xml:space="preserve">[Online] </w:t>
              </w:r>
              <w:r>
                <w:rPr>
                  <w:noProof/>
                </w:rPr>
                <w:br/>
                <w:t xml:space="preserve">Available at: </w:t>
              </w:r>
              <w:r>
                <w:rPr>
                  <w:noProof/>
                  <w:u w:val="single"/>
                </w:rPr>
                <w:t>https://www.travelweekly.co.uk/articles/316094/wtm-2018-peru-prioritises-adventure-in-tourism-marketing</w:t>
              </w:r>
              <w:r>
                <w:rPr>
                  <w:noProof/>
                </w:rPr>
                <w:br/>
                <w:t>[Accessed 9 June 2020].</w:t>
              </w:r>
            </w:p>
            <w:p w14:paraId="773E1603" w14:textId="77777777" w:rsidR="0068272D" w:rsidRDefault="0068272D" w:rsidP="0068272D">
              <w:pPr>
                <w:pStyle w:val="Bibliography"/>
                <w:ind w:hanging="720"/>
                <w:rPr>
                  <w:noProof/>
                </w:rPr>
              </w:pPr>
              <w:r>
                <w:rPr>
                  <w:noProof/>
                </w:rPr>
                <w:t xml:space="preserve">McGrath, G., 2004. Including The Outsiders: The Contribution Of Guides To Integrated Heritage Tourism Management In Cusco, Southern Peru. </w:t>
              </w:r>
              <w:r>
                <w:rPr>
                  <w:i/>
                  <w:iCs/>
                  <w:noProof/>
                </w:rPr>
                <w:t xml:space="preserve">Current Issues In Tourism, </w:t>
              </w:r>
              <w:r>
                <w:rPr>
                  <w:noProof/>
                </w:rPr>
                <w:t>7(4-5), pp. 426-432.</w:t>
              </w:r>
            </w:p>
            <w:p w14:paraId="23DF751E" w14:textId="77777777" w:rsidR="0068272D" w:rsidRDefault="0068272D" w:rsidP="0068272D">
              <w:pPr>
                <w:pStyle w:val="Bibliography"/>
                <w:ind w:hanging="720"/>
                <w:rPr>
                  <w:noProof/>
                </w:rPr>
              </w:pPr>
              <w:r>
                <w:rPr>
                  <w:noProof/>
                </w:rPr>
                <w:t xml:space="preserve">Ministerio de Comercio Exterior y Turismo, 2020. </w:t>
              </w:r>
              <w:r>
                <w:rPr>
                  <w:i/>
                  <w:iCs/>
                  <w:noProof/>
                </w:rPr>
                <w:t xml:space="preserve">About Mincetur. </w:t>
              </w:r>
              <w:r>
                <w:rPr>
                  <w:noProof/>
                </w:rPr>
                <w:t xml:space="preserve">[Online] </w:t>
              </w:r>
              <w:r>
                <w:rPr>
                  <w:noProof/>
                </w:rPr>
                <w:br/>
                <w:t xml:space="preserve">Available at: </w:t>
              </w:r>
              <w:r>
                <w:rPr>
                  <w:noProof/>
                  <w:u w:val="single"/>
                </w:rPr>
                <w:t>https://www.mincetur.gob.pe/ministry-of-foreign-trade-and-tourism/about-mincetur/?lang=en</w:t>
              </w:r>
              <w:r>
                <w:rPr>
                  <w:noProof/>
                </w:rPr>
                <w:br/>
                <w:t>[Accessed 8 June 2020].</w:t>
              </w:r>
            </w:p>
            <w:p w14:paraId="4E9CB579" w14:textId="77777777" w:rsidR="0068272D" w:rsidRDefault="0068272D" w:rsidP="0068272D">
              <w:pPr>
                <w:pStyle w:val="Bibliography"/>
                <w:ind w:hanging="720"/>
                <w:rPr>
                  <w:noProof/>
                </w:rPr>
              </w:pPr>
              <w:r>
                <w:rPr>
                  <w:noProof/>
                </w:rPr>
                <w:t xml:space="preserve">National Strategic Planning Centre, 2010. </w:t>
              </w:r>
              <w:r>
                <w:rPr>
                  <w:i/>
                  <w:iCs/>
                  <w:noProof/>
                </w:rPr>
                <w:t xml:space="preserve">Bicentenary Plan: Peru In 2021, </w:t>
              </w:r>
              <w:r>
                <w:rPr>
                  <w:noProof/>
                </w:rPr>
                <w:t>Lima: Hugo Vallenas Malaga.</w:t>
              </w:r>
            </w:p>
            <w:p w14:paraId="6CEAB7EC" w14:textId="77777777" w:rsidR="0068272D" w:rsidRDefault="0068272D" w:rsidP="0068272D">
              <w:pPr>
                <w:pStyle w:val="Bibliography"/>
                <w:ind w:hanging="720"/>
                <w:rPr>
                  <w:noProof/>
                </w:rPr>
              </w:pPr>
              <w:r>
                <w:rPr>
                  <w:noProof/>
                </w:rPr>
                <w:t xml:space="preserve">OECD Tourism Trends And Policies 2020, 2020. </w:t>
              </w:r>
              <w:r>
                <w:rPr>
                  <w:i/>
                  <w:iCs/>
                  <w:noProof/>
                </w:rPr>
                <w:t xml:space="preserve">Peru. </w:t>
              </w:r>
              <w:r>
                <w:rPr>
                  <w:noProof/>
                </w:rPr>
                <w:t xml:space="preserve">[Online] </w:t>
              </w:r>
              <w:r>
                <w:rPr>
                  <w:noProof/>
                </w:rPr>
                <w:br/>
                <w:t xml:space="preserve">Available at: </w:t>
              </w:r>
              <w:r>
                <w:rPr>
                  <w:noProof/>
                  <w:u w:val="single"/>
                </w:rPr>
                <w:t>https://www.oecd-ilibrary.org/sites/84a78b60-en/index.html?itemId=/content/component/84a78b60-en</w:t>
              </w:r>
              <w:r>
                <w:rPr>
                  <w:noProof/>
                </w:rPr>
                <w:br/>
                <w:t>[Accessed 8 June 2020].</w:t>
              </w:r>
            </w:p>
            <w:p w14:paraId="039ED831" w14:textId="77777777" w:rsidR="0068272D" w:rsidRDefault="0068272D" w:rsidP="0068272D">
              <w:pPr>
                <w:pStyle w:val="Bibliography"/>
                <w:ind w:hanging="720"/>
                <w:rPr>
                  <w:noProof/>
                </w:rPr>
              </w:pPr>
              <w:r>
                <w:rPr>
                  <w:noProof/>
                </w:rPr>
                <w:t xml:space="preserve">Oxford Business Group, 2017. </w:t>
              </w:r>
              <w:r>
                <w:rPr>
                  <w:i/>
                  <w:iCs/>
                  <w:noProof/>
                </w:rPr>
                <w:t xml:space="preserve">Peru's Fast-Growing Tourism Sector Shows No Signs Of Slowing Down. </w:t>
              </w:r>
              <w:r>
                <w:rPr>
                  <w:noProof/>
                </w:rPr>
                <w:t xml:space="preserve">[Online] </w:t>
              </w:r>
              <w:r>
                <w:rPr>
                  <w:noProof/>
                </w:rPr>
                <w:br/>
                <w:t xml:space="preserve">Available at: </w:t>
              </w:r>
              <w:r>
                <w:rPr>
                  <w:noProof/>
                  <w:u w:val="single"/>
                </w:rPr>
                <w:t>https://oxfordbusinessgroup.com/overview/taking-one-fastest-growing-sectors-shows-no-signs-slowing-down</w:t>
              </w:r>
              <w:r>
                <w:rPr>
                  <w:noProof/>
                </w:rPr>
                <w:br/>
                <w:t>[Accessed 8 June 2020].</w:t>
              </w:r>
            </w:p>
            <w:p w14:paraId="7FD88239" w14:textId="77777777" w:rsidR="0068272D" w:rsidRDefault="0068272D" w:rsidP="0068272D">
              <w:pPr>
                <w:pStyle w:val="Bibliography"/>
                <w:ind w:hanging="720"/>
                <w:rPr>
                  <w:noProof/>
                </w:rPr>
              </w:pPr>
              <w:r>
                <w:rPr>
                  <w:noProof/>
                </w:rPr>
                <w:t xml:space="preserve">Progress Report To The UNWTO Committee On Tourism And Competitiveness, 2016. </w:t>
              </w:r>
              <w:r>
                <w:rPr>
                  <w:i/>
                  <w:iCs/>
                  <w:noProof/>
                </w:rPr>
                <w:t xml:space="preserve">Project To Enhance The Understanding Of The Factors That Explain Destination Competitiveness. </w:t>
              </w:r>
              <w:r>
                <w:rPr>
                  <w:noProof/>
                </w:rPr>
                <w:t xml:space="preserve">[Online] </w:t>
              </w:r>
              <w:r>
                <w:rPr>
                  <w:noProof/>
                </w:rPr>
                <w:br/>
                <w:t xml:space="preserve">Available at: </w:t>
              </w:r>
              <w:r>
                <w:rPr>
                  <w:noProof/>
                  <w:u w:val="single"/>
                </w:rPr>
                <w:t>https://www.mincetur.gob.pe/wp-content/uploads/documentos/turismo/publicaciones/CTC_ALTA.pdf</w:t>
              </w:r>
              <w:r>
                <w:rPr>
                  <w:noProof/>
                </w:rPr>
                <w:br/>
                <w:t>[Accessed 8 June 2020].</w:t>
              </w:r>
            </w:p>
            <w:p w14:paraId="3008CE47" w14:textId="77777777" w:rsidR="0068272D" w:rsidRDefault="0068272D" w:rsidP="0068272D">
              <w:pPr>
                <w:pStyle w:val="Bibliography"/>
                <w:ind w:hanging="720"/>
                <w:rPr>
                  <w:noProof/>
                </w:rPr>
              </w:pPr>
              <w:r>
                <w:rPr>
                  <w:noProof/>
                </w:rPr>
                <w:t xml:space="preserve">The Biodiversity Finance Initiative, 2017. </w:t>
              </w:r>
              <w:r>
                <w:rPr>
                  <w:i/>
                  <w:iCs/>
                  <w:noProof/>
                </w:rPr>
                <w:t xml:space="preserve">Peru. </w:t>
              </w:r>
              <w:r>
                <w:rPr>
                  <w:noProof/>
                </w:rPr>
                <w:t xml:space="preserve">[Online] </w:t>
              </w:r>
              <w:r>
                <w:rPr>
                  <w:noProof/>
                </w:rPr>
                <w:br/>
                <w:t xml:space="preserve">Available at: </w:t>
              </w:r>
              <w:r>
                <w:rPr>
                  <w:noProof/>
                  <w:u w:val="single"/>
                </w:rPr>
                <w:t>https://www.biodiversityfinance.net/peru</w:t>
              </w:r>
              <w:r>
                <w:rPr>
                  <w:noProof/>
                </w:rPr>
                <w:br/>
                <w:t>[Accessed 9 June 2020].</w:t>
              </w:r>
            </w:p>
            <w:p w14:paraId="5CDE4026" w14:textId="77777777" w:rsidR="0068272D" w:rsidRDefault="0068272D" w:rsidP="0068272D">
              <w:pPr>
                <w:pStyle w:val="Bibliography"/>
                <w:ind w:hanging="720"/>
                <w:rPr>
                  <w:noProof/>
                </w:rPr>
              </w:pPr>
              <w:r>
                <w:rPr>
                  <w:noProof/>
                </w:rPr>
                <w:t xml:space="preserve">The Star, 2020. </w:t>
              </w:r>
              <w:r>
                <w:rPr>
                  <w:i/>
                  <w:iCs/>
                  <w:noProof/>
                </w:rPr>
                <w:t xml:space="preserve">Peru Offers Free Admission To Machu Picchu To Boost Post Covid-19 Tourism. </w:t>
              </w:r>
              <w:r>
                <w:rPr>
                  <w:noProof/>
                </w:rPr>
                <w:t xml:space="preserve">[Online] </w:t>
              </w:r>
              <w:r>
                <w:rPr>
                  <w:noProof/>
                </w:rPr>
                <w:br/>
                <w:t xml:space="preserve">Available at: </w:t>
              </w:r>
              <w:r>
                <w:rPr>
                  <w:noProof/>
                  <w:u w:val="single"/>
                </w:rPr>
                <w:t>https://www.thestar.com.my/lifestyle/travel/2020/05/22/peru-offers-free-admission-to-machu-picchu-to-boost-post-covid-19-tourism</w:t>
              </w:r>
              <w:r>
                <w:rPr>
                  <w:noProof/>
                </w:rPr>
                <w:br/>
                <w:t>[Accessed 7 June 2020].</w:t>
              </w:r>
            </w:p>
            <w:p w14:paraId="554FE126" w14:textId="77777777" w:rsidR="0068272D" w:rsidRDefault="0068272D" w:rsidP="0068272D">
              <w:pPr>
                <w:pStyle w:val="Bibliography"/>
                <w:ind w:hanging="720"/>
                <w:rPr>
                  <w:noProof/>
                </w:rPr>
              </w:pPr>
              <w:r>
                <w:rPr>
                  <w:noProof/>
                </w:rPr>
                <w:t xml:space="preserve">Woodward, D. S. L., 2020. </w:t>
              </w:r>
              <w:r>
                <w:rPr>
                  <w:i/>
                  <w:iCs/>
                  <w:noProof/>
                </w:rPr>
                <w:t xml:space="preserve">Merriam's Life Zones. </w:t>
              </w:r>
              <w:r>
                <w:rPr>
                  <w:noProof/>
                </w:rPr>
                <w:t xml:space="preserve">[Online] </w:t>
              </w:r>
              <w:r>
                <w:rPr>
                  <w:noProof/>
                </w:rPr>
                <w:br/>
                <w:t xml:space="preserve">Available at: </w:t>
              </w:r>
              <w:r>
                <w:rPr>
                  <w:noProof/>
                  <w:u w:val="single"/>
                </w:rPr>
                <w:t>https://php.radford.edu/~swoodwar/biomes/?page_id=317</w:t>
              </w:r>
              <w:r>
                <w:rPr>
                  <w:noProof/>
                </w:rPr>
                <w:br/>
                <w:t>[Accessed 7 June 2020].</w:t>
              </w:r>
            </w:p>
            <w:p w14:paraId="747D457E" w14:textId="77777777" w:rsidR="0068272D" w:rsidRDefault="0068272D" w:rsidP="0068272D">
              <w:pPr>
                <w:pStyle w:val="Bibliography"/>
                <w:ind w:hanging="720"/>
                <w:rPr>
                  <w:noProof/>
                </w:rPr>
              </w:pPr>
              <w:r>
                <w:rPr>
                  <w:noProof/>
                </w:rPr>
                <w:lastRenderedPageBreak/>
                <w:t xml:space="preserve">World Tourism Organization (UNWTO), 2017. </w:t>
              </w:r>
              <w:r>
                <w:rPr>
                  <w:i/>
                  <w:iCs/>
                  <w:noProof/>
                </w:rPr>
                <w:t xml:space="preserve">Tourism And The Sustainable Development Goals - Journey To 2030, </w:t>
              </w:r>
              <w:r>
                <w:rPr>
                  <w:noProof/>
                </w:rPr>
                <w:t>Spain: World Tourism Organization (UNWTO).</w:t>
              </w:r>
            </w:p>
            <w:p w14:paraId="04DFF90D" w14:textId="77777777" w:rsidR="0068272D" w:rsidRDefault="0068272D" w:rsidP="0068272D">
              <w:pPr>
                <w:pStyle w:val="Bibliography"/>
                <w:ind w:hanging="720"/>
                <w:rPr>
                  <w:noProof/>
                </w:rPr>
              </w:pPr>
              <w:r>
                <w:rPr>
                  <w:noProof/>
                </w:rPr>
                <w:t xml:space="preserve">World Tourism Organization, 2020. </w:t>
              </w:r>
              <w:r>
                <w:rPr>
                  <w:i/>
                  <w:iCs/>
                  <w:noProof/>
                </w:rPr>
                <w:t xml:space="preserve">Centro De Formacion En Tourismo - Cenfotur. </w:t>
              </w:r>
              <w:r>
                <w:rPr>
                  <w:noProof/>
                </w:rPr>
                <w:t xml:space="preserve">[Online] </w:t>
              </w:r>
              <w:r>
                <w:rPr>
                  <w:noProof/>
                </w:rPr>
                <w:br/>
                <w:t xml:space="preserve">Available at: </w:t>
              </w:r>
              <w:r>
                <w:rPr>
                  <w:noProof/>
                  <w:u w:val="single"/>
                </w:rPr>
                <w:t>https://www.unwto.org/affiliate-member-organization/41749</w:t>
              </w:r>
              <w:r>
                <w:rPr>
                  <w:noProof/>
                </w:rPr>
                <w:br/>
                <w:t>[Accessed 9 June 2020].</w:t>
              </w:r>
            </w:p>
            <w:p w14:paraId="0F66C524" w14:textId="6B93AAE8" w:rsidR="0068272D" w:rsidRDefault="0068272D" w:rsidP="0068272D">
              <w:pPr>
                <w:ind w:hanging="720"/>
              </w:pPr>
              <w:r>
                <w:rPr>
                  <w:b/>
                  <w:bCs/>
                  <w:noProof/>
                </w:rPr>
                <w:fldChar w:fldCharType="end"/>
              </w:r>
            </w:p>
          </w:sdtContent>
        </w:sdt>
      </w:sdtContent>
    </w:sdt>
    <w:p w14:paraId="388E497D" w14:textId="77777777" w:rsidR="0068272D" w:rsidRDefault="0068272D" w:rsidP="006827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cs="Helvetica"/>
          <w:color w:val="000000"/>
        </w:rPr>
      </w:pPr>
    </w:p>
    <w:p w14:paraId="3FF87979" w14:textId="77777777" w:rsidR="00F17CA2" w:rsidRDefault="00F17CA2" w:rsidP="0068272D">
      <w:pPr>
        <w:ind w:hanging="720"/>
        <w:rPr>
          <w:rFonts w:cs="Helvetica"/>
          <w:color w:val="000000"/>
        </w:rPr>
      </w:pPr>
    </w:p>
    <w:p w14:paraId="3A58E18C" w14:textId="77777777" w:rsidR="00F17CA2" w:rsidRDefault="00F17CA2" w:rsidP="006827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cs="Helvetica"/>
          <w:color w:val="000000"/>
        </w:rPr>
      </w:pPr>
    </w:p>
    <w:p w14:paraId="7ED18721" w14:textId="77777777" w:rsidR="00F17CA2" w:rsidRPr="00147229" w:rsidRDefault="00F17CA2" w:rsidP="0068272D">
      <w:pPr>
        <w:ind w:hanging="720"/>
      </w:pPr>
    </w:p>
    <w:p w14:paraId="703A480E" w14:textId="5FC1BAF9" w:rsidR="002B156D" w:rsidRPr="00147229" w:rsidRDefault="002B156D" w:rsidP="0068272D">
      <w:pPr>
        <w:pStyle w:val="ListParagraph"/>
        <w:ind w:hanging="720"/>
      </w:pPr>
    </w:p>
    <w:sectPr w:rsidR="002B156D" w:rsidRPr="00147229" w:rsidSect="0068272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76722"/>
    <w:multiLevelType w:val="hybridMultilevel"/>
    <w:tmpl w:val="9CF286B0"/>
    <w:lvl w:ilvl="0" w:tplc="005058DE">
      <w:start w:val="4"/>
      <w:numFmt w:val="bullet"/>
      <w:lvlText w:val="-"/>
      <w:lvlJc w:val="left"/>
      <w:pPr>
        <w:ind w:left="720" w:hanging="360"/>
      </w:pPr>
      <w:rPr>
        <w:rFonts w:ascii="Calibri" w:eastAsiaTheme="minorHAnsi" w:hAnsi="Calibri" w:cs="Helvetic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B46054"/>
    <w:multiLevelType w:val="hybridMultilevel"/>
    <w:tmpl w:val="2AF8CB3E"/>
    <w:lvl w:ilvl="0" w:tplc="EE84C0B4">
      <w:start w:val="4"/>
      <w:numFmt w:val="bullet"/>
      <w:lvlText w:val="-"/>
      <w:lvlJc w:val="left"/>
      <w:pPr>
        <w:ind w:left="720" w:hanging="360"/>
      </w:pPr>
      <w:rPr>
        <w:rFonts w:ascii="Calibri" w:eastAsiaTheme="minorHAnsi" w:hAnsi="Calibri" w:cs="Helvetic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313C6"/>
    <w:multiLevelType w:val="hybridMultilevel"/>
    <w:tmpl w:val="B18E2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372542"/>
    <w:multiLevelType w:val="hybridMultilevel"/>
    <w:tmpl w:val="889C3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617FA7"/>
    <w:multiLevelType w:val="hybridMultilevel"/>
    <w:tmpl w:val="E6FE3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A75D20"/>
    <w:multiLevelType w:val="hybridMultilevel"/>
    <w:tmpl w:val="B26E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49"/>
    <w:rsid w:val="00041FB1"/>
    <w:rsid w:val="00115EE2"/>
    <w:rsid w:val="00147229"/>
    <w:rsid w:val="002B156D"/>
    <w:rsid w:val="002E00B6"/>
    <w:rsid w:val="00346E78"/>
    <w:rsid w:val="00390738"/>
    <w:rsid w:val="00407172"/>
    <w:rsid w:val="004B47CB"/>
    <w:rsid w:val="00531744"/>
    <w:rsid w:val="0068272D"/>
    <w:rsid w:val="0080416C"/>
    <w:rsid w:val="00923B49"/>
    <w:rsid w:val="00AF74BF"/>
    <w:rsid w:val="00B14ABE"/>
    <w:rsid w:val="00B459E9"/>
    <w:rsid w:val="00B47E97"/>
    <w:rsid w:val="00BB7DAB"/>
    <w:rsid w:val="00BF26E3"/>
    <w:rsid w:val="00C071B3"/>
    <w:rsid w:val="00E874C2"/>
    <w:rsid w:val="00E94BB3"/>
    <w:rsid w:val="00EE0C45"/>
    <w:rsid w:val="00F10653"/>
    <w:rsid w:val="00F17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CE2A"/>
  <w15:chartTrackingRefBased/>
  <w15:docId w15:val="{321B35A2-49DC-E04D-9C6A-E0EB475C9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CA2"/>
  </w:style>
  <w:style w:type="paragraph" w:styleId="Heading1">
    <w:name w:val="heading 1"/>
    <w:basedOn w:val="Normal"/>
    <w:next w:val="Normal"/>
    <w:link w:val="Heading1Char"/>
    <w:uiPriority w:val="9"/>
    <w:qFormat/>
    <w:rsid w:val="0068272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E78"/>
    <w:pPr>
      <w:ind w:left="720"/>
      <w:contextualSpacing/>
    </w:pPr>
  </w:style>
  <w:style w:type="table" w:styleId="TableGrid">
    <w:name w:val="Table Grid"/>
    <w:basedOn w:val="TableNormal"/>
    <w:uiPriority w:val="39"/>
    <w:rsid w:val="00F17C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8272D"/>
    <w:rPr>
      <w:rFonts w:eastAsiaTheme="minorEastAsia"/>
      <w:sz w:val="22"/>
      <w:szCs w:val="22"/>
      <w:lang w:eastAsia="zh-CN"/>
    </w:rPr>
  </w:style>
  <w:style w:type="character" w:customStyle="1" w:styleId="NoSpacingChar">
    <w:name w:val="No Spacing Char"/>
    <w:basedOn w:val="DefaultParagraphFont"/>
    <w:link w:val="NoSpacing"/>
    <w:uiPriority w:val="1"/>
    <w:rsid w:val="0068272D"/>
    <w:rPr>
      <w:rFonts w:eastAsiaTheme="minorEastAsia"/>
      <w:sz w:val="22"/>
      <w:szCs w:val="22"/>
      <w:lang w:eastAsia="zh-CN"/>
    </w:rPr>
  </w:style>
  <w:style w:type="character" w:customStyle="1" w:styleId="Heading1Char">
    <w:name w:val="Heading 1 Char"/>
    <w:basedOn w:val="DefaultParagraphFont"/>
    <w:link w:val="Heading1"/>
    <w:uiPriority w:val="9"/>
    <w:rsid w:val="0068272D"/>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82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71012">
      <w:bodyDiv w:val="1"/>
      <w:marLeft w:val="0"/>
      <w:marRight w:val="0"/>
      <w:marTop w:val="0"/>
      <w:marBottom w:val="0"/>
      <w:divBdr>
        <w:top w:val="none" w:sz="0" w:space="0" w:color="auto"/>
        <w:left w:val="none" w:sz="0" w:space="0" w:color="auto"/>
        <w:bottom w:val="none" w:sz="0" w:space="0" w:color="auto"/>
        <w:right w:val="none" w:sz="0" w:space="0" w:color="auto"/>
      </w:divBdr>
    </w:div>
    <w:div w:id="66925034">
      <w:bodyDiv w:val="1"/>
      <w:marLeft w:val="0"/>
      <w:marRight w:val="0"/>
      <w:marTop w:val="0"/>
      <w:marBottom w:val="0"/>
      <w:divBdr>
        <w:top w:val="none" w:sz="0" w:space="0" w:color="auto"/>
        <w:left w:val="none" w:sz="0" w:space="0" w:color="auto"/>
        <w:bottom w:val="none" w:sz="0" w:space="0" w:color="auto"/>
        <w:right w:val="none" w:sz="0" w:space="0" w:color="auto"/>
      </w:divBdr>
    </w:div>
    <w:div w:id="81805989">
      <w:bodyDiv w:val="1"/>
      <w:marLeft w:val="0"/>
      <w:marRight w:val="0"/>
      <w:marTop w:val="0"/>
      <w:marBottom w:val="0"/>
      <w:divBdr>
        <w:top w:val="none" w:sz="0" w:space="0" w:color="auto"/>
        <w:left w:val="none" w:sz="0" w:space="0" w:color="auto"/>
        <w:bottom w:val="none" w:sz="0" w:space="0" w:color="auto"/>
        <w:right w:val="none" w:sz="0" w:space="0" w:color="auto"/>
      </w:divBdr>
    </w:div>
    <w:div w:id="83111309">
      <w:bodyDiv w:val="1"/>
      <w:marLeft w:val="0"/>
      <w:marRight w:val="0"/>
      <w:marTop w:val="0"/>
      <w:marBottom w:val="0"/>
      <w:divBdr>
        <w:top w:val="none" w:sz="0" w:space="0" w:color="auto"/>
        <w:left w:val="none" w:sz="0" w:space="0" w:color="auto"/>
        <w:bottom w:val="none" w:sz="0" w:space="0" w:color="auto"/>
        <w:right w:val="none" w:sz="0" w:space="0" w:color="auto"/>
      </w:divBdr>
    </w:div>
    <w:div w:id="111632198">
      <w:bodyDiv w:val="1"/>
      <w:marLeft w:val="0"/>
      <w:marRight w:val="0"/>
      <w:marTop w:val="0"/>
      <w:marBottom w:val="0"/>
      <w:divBdr>
        <w:top w:val="none" w:sz="0" w:space="0" w:color="auto"/>
        <w:left w:val="none" w:sz="0" w:space="0" w:color="auto"/>
        <w:bottom w:val="none" w:sz="0" w:space="0" w:color="auto"/>
        <w:right w:val="none" w:sz="0" w:space="0" w:color="auto"/>
      </w:divBdr>
    </w:div>
    <w:div w:id="151526547">
      <w:bodyDiv w:val="1"/>
      <w:marLeft w:val="0"/>
      <w:marRight w:val="0"/>
      <w:marTop w:val="0"/>
      <w:marBottom w:val="0"/>
      <w:divBdr>
        <w:top w:val="none" w:sz="0" w:space="0" w:color="auto"/>
        <w:left w:val="none" w:sz="0" w:space="0" w:color="auto"/>
        <w:bottom w:val="none" w:sz="0" w:space="0" w:color="auto"/>
        <w:right w:val="none" w:sz="0" w:space="0" w:color="auto"/>
      </w:divBdr>
    </w:div>
    <w:div w:id="211577945">
      <w:bodyDiv w:val="1"/>
      <w:marLeft w:val="0"/>
      <w:marRight w:val="0"/>
      <w:marTop w:val="0"/>
      <w:marBottom w:val="0"/>
      <w:divBdr>
        <w:top w:val="none" w:sz="0" w:space="0" w:color="auto"/>
        <w:left w:val="none" w:sz="0" w:space="0" w:color="auto"/>
        <w:bottom w:val="none" w:sz="0" w:space="0" w:color="auto"/>
        <w:right w:val="none" w:sz="0" w:space="0" w:color="auto"/>
      </w:divBdr>
    </w:div>
    <w:div w:id="354505599">
      <w:bodyDiv w:val="1"/>
      <w:marLeft w:val="0"/>
      <w:marRight w:val="0"/>
      <w:marTop w:val="0"/>
      <w:marBottom w:val="0"/>
      <w:divBdr>
        <w:top w:val="none" w:sz="0" w:space="0" w:color="auto"/>
        <w:left w:val="none" w:sz="0" w:space="0" w:color="auto"/>
        <w:bottom w:val="none" w:sz="0" w:space="0" w:color="auto"/>
        <w:right w:val="none" w:sz="0" w:space="0" w:color="auto"/>
      </w:divBdr>
    </w:div>
    <w:div w:id="384567998">
      <w:bodyDiv w:val="1"/>
      <w:marLeft w:val="0"/>
      <w:marRight w:val="0"/>
      <w:marTop w:val="0"/>
      <w:marBottom w:val="0"/>
      <w:divBdr>
        <w:top w:val="none" w:sz="0" w:space="0" w:color="auto"/>
        <w:left w:val="none" w:sz="0" w:space="0" w:color="auto"/>
        <w:bottom w:val="none" w:sz="0" w:space="0" w:color="auto"/>
        <w:right w:val="none" w:sz="0" w:space="0" w:color="auto"/>
      </w:divBdr>
    </w:div>
    <w:div w:id="410856373">
      <w:bodyDiv w:val="1"/>
      <w:marLeft w:val="0"/>
      <w:marRight w:val="0"/>
      <w:marTop w:val="0"/>
      <w:marBottom w:val="0"/>
      <w:divBdr>
        <w:top w:val="none" w:sz="0" w:space="0" w:color="auto"/>
        <w:left w:val="none" w:sz="0" w:space="0" w:color="auto"/>
        <w:bottom w:val="none" w:sz="0" w:space="0" w:color="auto"/>
        <w:right w:val="none" w:sz="0" w:space="0" w:color="auto"/>
      </w:divBdr>
    </w:div>
    <w:div w:id="412318133">
      <w:bodyDiv w:val="1"/>
      <w:marLeft w:val="0"/>
      <w:marRight w:val="0"/>
      <w:marTop w:val="0"/>
      <w:marBottom w:val="0"/>
      <w:divBdr>
        <w:top w:val="none" w:sz="0" w:space="0" w:color="auto"/>
        <w:left w:val="none" w:sz="0" w:space="0" w:color="auto"/>
        <w:bottom w:val="none" w:sz="0" w:space="0" w:color="auto"/>
        <w:right w:val="none" w:sz="0" w:space="0" w:color="auto"/>
      </w:divBdr>
    </w:div>
    <w:div w:id="451020312">
      <w:bodyDiv w:val="1"/>
      <w:marLeft w:val="0"/>
      <w:marRight w:val="0"/>
      <w:marTop w:val="0"/>
      <w:marBottom w:val="0"/>
      <w:divBdr>
        <w:top w:val="none" w:sz="0" w:space="0" w:color="auto"/>
        <w:left w:val="none" w:sz="0" w:space="0" w:color="auto"/>
        <w:bottom w:val="none" w:sz="0" w:space="0" w:color="auto"/>
        <w:right w:val="none" w:sz="0" w:space="0" w:color="auto"/>
      </w:divBdr>
    </w:div>
    <w:div w:id="472334159">
      <w:bodyDiv w:val="1"/>
      <w:marLeft w:val="0"/>
      <w:marRight w:val="0"/>
      <w:marTop w:val="0"/>
      <w:marBottom w:val="0"/>
      <w:divBdr>
        <w:top w:val="none" w:sz="0" w:space="0" w:color="auto"/>
        <w:left w:val="none" w:sz="0" w:space="0" w:color="auto"/>
        <w:bottom w:val="none" w:sz="0" w:space="0" w:color="auto"/>
        <w:right w:val="none" w:sz="0" w:space="0" w:color="auto"/>
      </w:divBdr>
    </w:div>
    <w:div w:id="487866739">
      <w:bodyDiv w:val="1"/>
      <w:marLeft w:val="0"/>
      <w:marRight w:val="0"/>
      <w:marTop w:val="0"/>
      <w:marBottom w:val="0"/>
      <w:divBdr>
        <w:top w:val="none" w:sz="0" w:space="0" w:color="auto"/>
        <w:left w:val="none" w:sz="0" w:space="0" w:color="auto"/>
        <w:bottom w:val="none" w:sz="0" w:space="0" w:color="auto"/>
        <w:right w:val="none" w:sz="0" w:space="0" w:color="auto"/>
      </w:divBdr>
    </w:div>
    <w:div w:id="499778875">
      <w:bodyDiv w:val="1"/>
      <w:marLeft w:val="0"/>
      <w:marRight w:val="0"/>
      <w:marTop w:val="0"/>
      <w:marBottom w:val="0"/>
      <w:divBdr>
        <w:top w:val="none" w:sz="0" w:space="0" w:color="auto"/>
        <w:left w:val="none" w:sz="0" w:space="0" w:color="auto"/>
        <w:bottom w:val="none" w:sz="0" w:space="0" w:color="auto"/>
        <w:right w:val="none" w:sz="0" w:space="0" w:color="auto"/>
      </w:divBdr>
    </w:div>
    <w:div w:id="512111275">
      <w:bodyDiv w:val="1"/>
      <w:marLeft w:val="0"/>
      <w:marRight w:val="0"/>
      <w:marTop w:val="0"/>
      <w:marBottom w:val="0"/>
      <w:divBdr>
        <w:top w:val="none" w:sz="0" w:space="0" w:color="auto"/>
        <w:left w:val="none" w:sz="0" w:space="0" w:color="auto"/>
        <w:bottom w:val="none" w:sz="0" w:space="0" w:color="auto"/>
        <w:right w:val="none" w:sz="0" w:space="0" w:color="auto"/>
      </w:divBdr>
    </w:div>
    <w:div w:id="548108429">
      <w:bodyDiv w:val="1"/>
      <w:marLeft w:val="0"/>
      <w:marRight w:val="0"/>
      <w:marTop w:val="0"/>
      <w:marBottom w:val="0"/>
      <w:divBdr>
        <w:top w:val="none" w:sz="0" w:space="0" w:color="auto"/>
        <w:left w:val="none" w:sz="0" w:space="0" w:color="auto"/>
        <w:bottom w:val="none" w:sz="0" w:space="0" w:color="auto"/>
        <w:right w:val="none" w:sz="0" w:space="0" w:color="auto"/>
      </w:divBdr>
    </w:div>
    <w:div w:id="584188160">
      <w:bodyDiv w:val="1"/>
      <w:marLeft w:val="0"/>
      <w:marRight w:val="0"/>
      <w:marTop w:val="0"/>
      <w:marBottom w:val="0"/>
      <w:divBdr>
        <w:top w:val="none" w:sz="0" w:space="0" w:color="auto"/>
        <w:left w:val="none" w:sz="0" w:space="0" w:color="auto"/>
        <w:bottom w:val="none" w:sz="0" w:space="0" w:color="auto"/>
        <w:right w:val="none" w:sz="0" w:space="0" w:color="auto"/>
      </w:divBdr>
    </w:div>
    <w:div w:id="623079940">
      <w:bodyDiv w:val="1"/>
      <w:marLeft w:val="0"/>
      <w:marRight w:val="0"/>
      <w:marTop w:val="0"/>
      <w:marBottom w:val="0"/>
      <w:divBdr>
        <w:top w:val="none" w:sz="0" w:space="0" w:color="auto"/>
        <w:left w:val="none" w:sz="0" w:space="0" w:color="auto"/>
        <w:bottom w:val="none" w:sz="0" w:space="0" w:color="auto"/>
        <w:right w:val="none" w:sz="0" w:space="0" w:color="auto"/>
      </w:divBdr>
    </w:div>
    <w:div w:id="698042704">
      <w:bodyDiv w:val="1"/>
      <w:marLeft w:val="0"/>
      <w:marRight w:val="0"/>
      <w:marTop w:val="0"/>
      <w:marBottom w:val="0"/>
      <w:divBdr>
        <w:top w:val="none" w:sz="0" w:space="0" w:color="auto"/>
        <w:left w:val="none" w:sz="0" w:space="0" w:color="auto"/>
        <w:bottom w:val="none" w:sz="0" w:space="0" w:color="auto"/>
        <w:right w:val="none" w:sz="0" w:space="0" w:color="auto"/>
      </w:divBdr>
    </w:div>
    <w:div w:id="719934799">
      <w:bodyDiv w:val="1"/>
      <w:marLeft w:val="0"/>
      <w:marRight w:val="0"/>
      <w:marTop w:val="0"/>
      <w:marBottom w:val="0"/>
      <w:divBdr>
        <w:top w:val="none" w:sz="0" w:space="0" w:color="auto"/>
        <w:left w:val="none" w:sz="0" w:space="0" w:color="auto"/>
        <w:bottom w:val="none" w:sz="0" w:space="0" w:color="auto"/>
        <w:right w:val="none" w:sz="0" w:space="0" w:color="auto"/>
      </w:divBdr>
    </w:div>
    <w:div w:id="765687815">
      <w:bodyDiv w:val="1"/>
      <w:marLeft w:val="0"/>
      <w:marRight w:val="0"/>
      <w:marTop w:val="0"/>
      <w:marBottom w:val="0"/>
      <w:divBdr>
        <w:top w:val="none" w:sz="0" w:space="0" w:color="auto"/>
        <w:left w:val="none" w:sz="0" w:space="0" w:color="auto"/>
        <w:bottom w:val="none" w:sz="0" w:space="0" w:color="auto"/>
        <w:right w:val="none" w:sz="0" w:space="0" w:color="auto"/>
      </w:divBdr>
    </w:div>
    <w:div w:id="791901082">
      <w:bodyDiv w:val="1"/>
      <w:marLeft w:val="0"/>
      <w:marRight w:val="0"/>
      <w:marTop w:val="0"/>
      <w:marBottom w:val="0"/>
      <w:divBdr>
        <w:top w:val="none" w:sz="0" w:space="0" w:color="auto"/>
        <w:left w:val="none" w:sz="0" w:space="0" w:color="auto"/>
        <w:bottom w:val="none" w:sz="0" w:space="0" w:color="auto"/>
        <w:right w:val="none" w:sz="0" w:space="0" w:color="auto"/>
      </w:divBdr>
    </w:div>
    <w:div w:id="851067665">
      <w:bodyDiv w:val="1"/>
      <w:marLeft w:val="0"/>
      <w:marRight w:val="0"/>
      <w:marTop w:val="0"/>
      <w:marBottom w:val="0"/>
      <w:divBdr>
        <w:top w:val="none" w:sz="0" w:space="0" w:color="auto"/>
        <w:left w:val="none" w:sz="0" w:space="0" w:color="auto"/>
        <w:bottom w:val="none" w:sz="0" w:space="0" w:color="auto"/>
        <w:right w:val="none" w:sz="0" w:space="0" w:color="auto"/>
      </w:divBdr>
    </w:div>
    <w:div w:id="894437987">
      <w:bodyDiv w:val="1"/>
      <w:marLeft w:val="0"/>
      <w:marRight w:val="0"/>
      <w:marTop w:val="0"/>
      <w:marBottom w:val="0"/>
      <w:divBdr>
        <w:top w:val="none" w:sz="0" w:space="0" w:color="auto"/>
        <w:left w:val="none" w:sz="0" w:space="0" w:color="auto"/>
        <w:bottom w:val="none" w:sz="0" w:space="0" w:color="auto"/>
        <w:right w:val="none" w:sz="0" w:space="0" w:color="auto"/>
      </w:divBdr>
    </w:div>
    <w:div w:id="899631508">
      <w:bodyDiv w:val="1"/>
      <w:marLeft w:val="0"/>
      <w:marRight w:val="0"/>
      <w:marTop w:val="0"/>
      <w:marBottom w:val="0"/>
      <w:divBdr>
        <w:top w:val="none" w:sz="0" w:space="0" w:color="auto"/>
        <w:left w:val="none" w:sz="0" w:space="0" w:color="auto"/>
        <w:bottom w:val="none" w:sz="0" w:space="0" w:color="auto"/>
        <w:right w:val="none" w:sz="0" w:space="0" w:color="auto"/>
      </w:divBdr>
    </w:div>
    <w:div w:id="932324400">
      <w:bodyDiv w:val="1"/>
      <w:marLeft w:val="0"/>
      <w:marRight w:val="0"/>
      <w:marTop w:val="0"/>
      <w:marBottom w:val="0"/>
      <w:divBdr>
        <w:top w:val="none" w:sz="0" w:space="0" w:color="auto"/>
        <w:left w:val="none" w:sz="0" w:space="0" w:color="auto"/>
        <w:bottom w:val="none" w:sz="0" w:space="0" w:color="auto"/>
        <w:right w:val="none" w:sz="0" w:space="0" w:color="auto"/>
      </w:divBdr>
    </w:div>
    <w:div w:id="956107378">
      <w:bodyDiv w:val="1"/>
      <w:marLeft w:val="0"/>
      <w:marRight w:val="0"/>
      <w:marTop w:val="0"/>
      <w:marBottom w:val="0"/>
      <w:divBdr>
        <w:top w:val="none" w:sz="0" w:space="0" w:color="auto"/>
        <w:left w:val="none" w:sz="0" w:space="0" w:color="auto"/>
        <w:bottom w:val="none" w:sz="0" w:space="0" w:color="auto"/>
        <w:right w:val="none" w:sz="0" w:space="0" w:color="auto"/>
      </w:divBdr>
    </w:div>
    <w:div w:id="976645737">
      <w:bodyDiv w:val="1"/>
      <w:marLeft w:val="0"/>
      <w:marRight w:val="0"/>
      <w:marTop w:val="0"/>
      <w:marBottom w:val="0"/>
      <w:divBdr>
        <w:top w:val="none" w:sz="0" w:space="0" w:color="auto"/>
        <w:left w:val="none" w:sz="0" w:space="0" w:color="auto"/>
        <w:bottom w:val="none" w:sz="0" w:space="0" w:color="auto"/>
        <w:right w:val="none" w:sz="0" w:space="0" w:color="auto"/>
      </w:divBdr>
    </w:div>
    <w:div w:id="987322294">
      <w:bodyDiv w:val="1"/>
      <w:marLeft w:val="0"/>
      <w:marRight w:val="0"/>
      <w:marTop w:val="0"/>
      <w:marBottom w:val="0"/>
      <w:divBdr>
        <w:top w:val="none" w:sz="0" w:space="0" w:color="auto"/>
        <w:left w:val="none" w:sz="0" w:space="0" w:color="auto"/>
        <w:bottom w:val="none" w:sz="0" w:space="0" w:color="auto"/>
        <w:right w:val="none" w:sz="0" w:space="0" w:color="auto"/>
      </w:divBdr>
    </w:div>
    <w:div w:id="1131244875">
      <w:bodyDiv w:val="1"/>
      <w:marLeft w:val="0"/>
      <w:marRight w:val="0"/>
      <w:marTop w:val="0"/>
      <w:marBottom w:val="0"/>
      <w:divBdr>
        <w:top w:val="none" w:sz="0" w:space="0" w:color="auto"/>
        <w:left w:val="none" w:sz="0" w:space="0" w:color="auto"/>
        <w:bottom w:val="none" w:sz="0" w:space="0" w:color="auto"/>
        <w:right w:val="none" w:sz="0" w:space="0" w:color="auto"/>
      </w:divBdr>
    </w:div>
    <w:div w:id="1159537433">
      <w:bodyDiv w:val="1"/>
      <w:marLeft w:val="0"/>
      <w:marRight w:val="0"/>
      <w:marTop w:val="0"/>
      <w:marBottom w:val="0"/>
      <w:divBdr>
        <w:top w:val="none" w:sz="0" w:space="0" w:color="auto"/>
        <w:left w:val="none" w:sz="0" w:space="0" w:color="auto"/>
        <w:bottom w:val="none" w:sz="0" w:space="0" w:color="auto"/>
        <w:right w:val="none" w:sz="0" w:space="0" w:color="auto"/>
      </w:divBdr>
    </w:div>
    <w:div w:id="1226799617">
      <w:bodyDiv w:val="1"/>
      <w:marLeft w:val="0"/>
      <w:marRight w:val="0"/>
      <w:marTop w:val="0"/>
      <w:marBottom w:val="0"/>
      <w:divBdr>
        <w:top w:val="none" w:sz="0" w:space="0" w:color="auto"/>
        <w:left w:val="none" w:sz="0" w:space="0" w:color="auto"/>
        <w:bottom w:val="none" w:sz="0" w:space="0" w:color="auto"/>
        <w:right w:val="none" w:sz="0" w:space="0" w:color="auto"/>
      </w:divBdr>
    </w:div>
    <w:div w:id="1256548921">
      <w:bodyDiv w:val="1"/>
      <w:marLeft w:val="0"/>
      <w:marRight w:val="0"/>
      <w:marTop w:val="0"/>
      <w:marBottom w:val="0"/>
      <w:divBdr>
        <w:top w:val="none" w:sz="0" w:space="0" w:color="auto"/>
        <w:left w:val="none" w:sz="0" w:space="0" w:color="auto"/>
        <w:bottom w:val="none" w:sz="0" w:space="0" w:color="auto"/>
        <w:right w:val="none" w:sz="0" w:space="0" w:color="auto"/>
      </w:divBdr>
    </w:div>
    <w:div w:id="1306737972">
      <w:bodyDiv w:val="1"/>
      <w:marLeft w:val="0"/>
      <w:marRight w:val="0"/>
      <w:marTop w:val="0"/>
      <w:marBottom w:val="0"/>
      <w:divBdr>
        <w:top w:val="none" w:sz="0" w:space="0" w:color="auto"/>
        <w:left w:val="none" w:sz="0" w:space="0" w:color="auto"/>
        <w:bottom w:val="none" w:sz="0" w:space="0" w:color="auto"/>
        <w:right w:val="none" w:sz="0" w:space="0" w:color="auto"/>
      </w:divBdr>
    </w:div>
    <w:div w:id="1335379435">
      <w:bodyDiv w:val="1"/>
      <w:marLeft w:val="0"/>
      <w:marRight w:val="0"/>
      <w:marTop w:val="0"/>
      <w:marBottom w:val="0"/>
      <w:divBdr>
        <w:top w:val="none" w:sz="0" w:space="0" w:color="auto"/>
        <w:left w:val="none" w:sz="0" w:space="0" w:color="auto"/>
        <w:bottom w:val="none" w:sz="0" w:space="0" w:color="auto"/>
        <w:right w:val="none" w:sz="0" w:space="0" w:color="auto"/>
      </w:divBdr>
    </w:div>
    <w:div w:id="1473712116">
      <w:bodyDiv w:val="1"/>
      <w:marLeft w:val="0"/>
      <w:marRight w:val="0"/>
      <w:marTop w:val="0"/>
      <w:marBottom w:val="0"/>
      <w:divBdr>
        <w:top w:val="none" w:sz="0" w:space="0" w:color="auto"/>
        <w:left w:val="none" w:sz="0" w:space="0" w:color="auto"/>
        <w:bottom w:val="none" w:sz="0" w:space="0" w:color="auto"/>
        <w:right w:val="none" w:sz="0" w:space="0" w:color="auto"/>
      </w:divBdr>
    </w:div>
    <w:div w:id="1553031011">
      <w:bodyDiv w:val="1"/>
      <w:marLeft w:val="0"/>
      <w:marRight w:val="0"/>
      <w:marTop w:val="0"/>
      <w:marBottom w:val="0"/>
      <w:divBdr>
        <w:top w:val="none" w:sz="0" w:space="0" w:color="auto"/>
        <w:left w:val="none" w:sz="0" w:space="0" w:color="auto"/>
        <w:bottom w:val="none" w:sz="0" w:space="0" w:color="auto"/>
        <w:right w:val="none" w:sz="0" w:space="0" w:color="auto"/>
      </w:divBdr>
    </w:div>
    <w:div w:id="1554540530">
      <w:bodyDiv w:val="1"/>
      <w:marLeft w:val="0"/>
      <w:marRight w:val="0"/>
      <w:marTop w:val="0"/>
      <w:marBottom w:val="0"/>
      <w:divBdr>
        <w:top w:val="none" w:sz="0" w:space="0" w:color="auto"/>
        <w:left w:val="none" w:sz="0" w:space="0" w:color="auto"/>
        <w:bottom w:val="none" w:sz="0" w:space="0" w:color="auto"/>
        <w:right w:val="none" w:sz="0" w:space="0" w:color="auto"/>
      </w:divBdr>
    </w:div>
    <w:div w:id="1564290837">
      <w:bodyDiv w:val="1"/>
      <w:marLeft w:val="0"/>
      <w:marRight w:val="0"/>
      <w:marTop w:val="0"/>
      <w:marBottom w:val="0"/>
      <w:divBdr>
        <w:top w:val="none" w:sz="0" w:space="0" w:color="auto"/>
        <w:left w:val="none" w:sz="0" w:space="0" w:color="auto"/>
        <w:bottom w:val="none" w:sz="0" w:space="0" w:color="auto"/>
        <w:right w:val="none" w:sz="0" w:space="0" w:color="auto"/>
      </w:divBdr>
    </w:div>
    <w:div w:id="1574508386">
      <w:bodyDiv w:val="1"/>
      <w:marLeft w:val="0"/>
      <w:marRight w:val="0"/>
      <w:marTop w:val="0"/>
      <w:marBottom w:val="0"/>
      <w:divBdr>
        <w:top w:val="none" w:sz="0" w:space="0" w:color="auto"/>
        <w:left w:val="none" w:sz="0" w:space="0" w:color="auto"/>
        <w:bottom w:val="none" w:sz="0" w:space="0" w:color="auto"/>
        <w:right w:val="none" w:sz="0" w:space="0" w:color="auto"/>
      </w:divBdr>
    </w:div>
    <w:div w:id="1626276377">
      <w:bodyDiv w:val="1"/>
      <w:marLeft w:val="0"/>
      <w:marRight w:val="0"/>
      <w:marTop w:val="0"/>
      <w:marBottom w:val="0"/>
      <w:divBdr>
        <w:top w:val="none" w:sz="0" w:space="0" w:color="auto"/>
        <w:left w:val="none" w:sz="0" w:space="0" w:color="auto"/>
        <w:bottom w:val="none" w:sz="0" w:space="0" w:color="auto"/>
        <w:right w:val="none" w:sz="0" w:space="0" w:color="auto"/>
      </w:divBdr>
    </w:div>
    <w:div w:id="1664160420">
      <w:bodyDiv w:val="1"/>
      <w:marLeft w:val="0"/>
      <w:marRight w:val="0"/>
      <w:marTop w:val="0"/>
      <w:marBottom w:val="0"/>
      <w:divBdr>
        <w:top w:val="none" w:sz="0" w:space="0" w:color="auto"/>
        <w:left w:val="none" w:sz="0" w:space="0" w:color="auto"/>
        <w:bottom w:val="none" w:sz="0" w:space="0" w:color="auto"/>
        <w:right w:val="none" w:sz="0" w:space="0" w:color="auto"/>
      </w:divBdr>
    </w:div>
    <w:div w:id="1869365210">
      <w:bodyDiv w:val="1"/>
      <w:marLeft w:val="0"/>
      <w:marRight w:val="0"/>
      <w:marTop w:val="0"/>
      <w:marBottom w:val="0"/>
      <w:divBdr>
        <w:top w:val="none" w:sz="0" w:space="0" w:color="auto"/>
        <w:left w:val="none" w:sz="0" w:space="0" w:color="auto"/>
        <w:bottom w:val="none" w:sz="0" w:space="0" w:color="auto"/>
        <w:right w:val="none" w:sz="0" w:space="0" w:color="auto"/>
      </w:divBdr>
    </w:div>
    <w:div w:id="1956910369">
      <w:bodyDiv w:val="1"/>
      <w:marLeft w:val="0"/>
      <w:marRight w:val="0"/>
      <w:marTop w:val="0"/>
      <w:marBottom w:val="0"/>
      <w:divBdr>
        <w:top w:val="none" w:sz="0" w:space="0" w:color="auto"/>
        <w:left w:val="none" w:sz="0" w:space="0" w:color="auto"/>
        <w:bottom w:val="none" w:sz="0" w:space="0" w:color="auto"/>
        <w:right w:val="none" w:sz="0" w:space="0" w:color="auto"/>
      </w:divBdr>
    </w:div>
    <w:div w:id="1963001489">
      <w:bodyDiv w:val="1"/>
      <w:marLeft w:val="0"/>
      <w:marRight w:val="0"/>
      <w:marTop w:val="0"/>
      <w:marBottom w:val="0"/>
      <w:divBdr>
        <w:top w:val="none" w:sz="0" w:space="0" w:color="auto"/>
        <w:left w:val="none" w:sz="0" w:space="0" w:color="auto"/>
        <w:bottom w:val="none" w:sz="0" w:space="0" w:color="auto"/>
        <w:right w:val="none" w:sz="0" w:space="0" w:color="auto"/>
      </w:divBdr>
    </w:div>
    <w:div w:id="2000158806">
      <w:bodyDiv w:val="1"/>
      <w:marLeft w:val="0"/>
      <w:marRight w:val="0"/>
      <w:marTop w:val="0"/>
      <w:marBottom w:val="0"/>
      <w:divBdr>
        <w:top w:val="none" w:sz="0" w:space="0" w:color="auto"/>
        <w:left w:val="none" w:sz="0" w:space="0" w:color="auto"/>
        <w:bottom w:val="none" w:sz="0" w:space="0" w:color="auto"/>
        <w:right w:val="none" w:sz="0" w:space="0" w:color="auto"/>
      </w:divBdr>
    </w:div>
    <w:div w:id="2097315123">
      <w:bodyDiv w:val="1"/>
      <w:marLeft w:val="0"/>
      <w:marRight w:val="0"/>
      <w:marTop w:val="0"/>
      <w:marBottom w:val="0"/>
      <w:divBdr>
        <w:top w:val="none" w:sz="0" w:space="0" w:color="auto"/>
        <w:left w:val="none" w:sz="0" w:space="0" w:color="auto"/>
        <w:bottom w:val="none" w:sz="0" w:space="0" w:color="auto"/>
        <w:right w:val="none" w:sz="0" w:space="0" w:color="auto"/>
      </w:divBdr>
    </w:div>
    <w:div w:id="210333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93B91E907E2634D8715C10D408E71DC"/>
        <w:category>
          <w:name w:val="General"/>
          <w:gallery w:val="placeholder"/>
        </w:category>
        <w:types>
          <w:type w:val="bbPlcHdr"/>
        </w:types>
        <w:behaviors>
          <w:behavior w:val="content"/>
        </w:behaviors>
        <w:guid w:val="{6D31DC76-1741-A547-BD67-CD4600B86899}"/>
      </w:docPartPr>
      <w:docPartBody>
        <w:p w:rsidR="00000000" w:rsidRDefault="00A013B6" w:rsidP="00A013B6">
          <w:pPr>
            <w:pStyle w:val="493B91E907E2634D8715C10D408E71D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B6"/>
    <w:rsid w:val="0058442F"/>
    <w:rsid w:val="00A01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3B91E907E2634D8715C10D408E71DC">
    <w:name w:val="493B91E907E2634D8715C10D408E71DC"/>
    <w:rsid w:val="00A013B6"/>
  </w:style>
  <w:style w:type="paragraph" w:customStyle="1" w:styleId="95847D0A3ED3EC42AD0C9DF520325717">
    <w:name w:val="95847D0A3ED3EC42AD0C9DF520325717"/>
    <w:rsid w:val="00A013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2020-06-10T00:00:00</PublishDate>
  <Abstract/>
  <CompanyAddress>1804648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Dos18</b:Tag>
    <b:SourceType>InternetSite</b:SourceType>
    <b:Guid>{E8B6E7A6-986C-CE49-B10C-42B48AAB1C3F}</b:Guid>
    <b:Author>
      <b:Author>
        <b:Corporate>Dos Manos Peru News</b:Corporate>
      </b:Author>
    </b:Author>
    <b:Title>Peru's 3rd Biggest Sector Regarding Income Is The Tourism Industry</b:Title>
    <b:URL>https://www.dosmanosperu.com/news/perus-3rd-biggest-sector-regarding-income-tourism-industry/</b:URL>
    <b:Year>2018</b:Year>
    <b:YearAccessed>2020</b:YearAccessed>
    <b:MonthAccessed>June</b:MonthAccessed>
    <b:DayAccessed>3</b:DayAccessed>
    <b:RefOrder>1</b:RefOrder>
  </b:Source>
  <b:Source>
    <b:Tag>DrS20</b:Tag>
    <b:SourceType>InternetSite</b:SourceType>
    <b:Guid>{90251883-E5CA-A647-9EE3-C14FA47A232A}</b:Guid>
    <b:Author>
      <b:Author>
        <b:NameList>
          <b:Person>
            <b:Last>Woodward</b:Last>
            <b:First>Dr.</b:First>
            <b:Middle>Susan L.</b:Middle>
          </b:Person>
        </b:NameList>
      </b:Author>
    </b:Author>
    <b:Title>Merriam's Life Zones</b:Title>
    <b:URL>https://php.radford.edu/~swoodwar/biomes/?page_id=317</b:URL>
    <b:Year>2020</b:Year>
    <b:YearAccessed>2020</b:YearAccessed>
    <b:MonthAccessed>June</b:MonthAccessed>
    <b:DayAccessed>7</b:DayAccessed>
    <b:RefOrder>23</b:RefOrder>
  </b:Source>
  <b:Source>
    <b:Tag>The20</b:Tag>
    <b:SourceType>InternetSite</b:SourceType>
    <b:Guid>{04D524FF-FEC1-BD45-9C9A-3A3342B1D863}</b:Guid>
    <b:Author>
      <b:Author>
        <b:Corporate>The Star</b:Corporate>
      </b:Author>
    </b:Author>
    <b:Title>Peru Offers Free Admission To Machu Picchu To Boost Post Covid-19 Tourism</b:Title>
    <b:URL>https://www.thestar.com.my/lifestyle/travel/2020/05/22/peru-offers-free-admission-to-machu-picchu-to-boost-post-covid-19-tourism</b:URL>
    <b:Year>2020</b:Year>
    <b:YearAccessed>2020</b:YearAccessed>
    <b:MonthAccessed>June</b:MonthAccessed>
    <b:DayAccessed>7</b:DayAccessed>
    <b:RefOrder>24</b:RefOrder>
  </b:Source>
  <b:Source>
    <b:Tag>Mic05</b:Tag>
    <b:SourceType>JournalArticle</b:SourceType>
    <b:Guid>{C9FC4618-92BA-BA41-A273-6560E8004946}</b:Guid>
    <b:Title>Tourism Industry Perceptions Of Lifestyle Tourism: An Exploratory Analysis</b:Title>
    <b:Year>2005</b:Year>
    <b:Author>
      <b:Author>
        <b:NameList>
          <b:Person>
            <b:Last>Gross</b:Last>
            <b:First>Michael</b:First>
            <b:Middle>J.</b:Middle>
          </b:Person>
        </b:NameList>
      </b:Author>
    </b:Author>
    <b:JournalName>Sharing Tourism Knowledge</b:JournalName>
    <b:RefOrder>25</b:RefOrder>
  </b:Source>
  <b:Source>
    <b:Tag>Nat10</b:Tag>
    <b:SourceType>Report</b:SourceType>
    <b:Guid>{33901741-8C64-C649-84DB-4B32EF1C4718}</b:Guid>
    <b:Title>Bicentenary Plan: Peru In 2021</b:Title>
    <b:Year>2010</b:Year>
    <b:Author>
      <b:Author>
        <b:Corporate>National Strategic Planning Centre</b:Corporate>
      </b:Author>
    </b:Author>
    <b:Publisher>Hugo Vallenas Malaga</b:Publisher>
    <b:City>Lima</b:City>
    <b:RefOrder>16</b:RefOrder>
  </b:Source>
  <b:Source>
    <b:Tag>Go220</b:Tag>
    <b:SourceType>InternetSite</b:SourceType>
    <b:Guid>{BDA5E42A-8A44-1C44-96E2-F698547623E0}</b:Guid>
    <b:Title>Peruvian Handicrafts</b:Title>
    <b:Year>2020</b:Year>
    <b:Author>
      <b:Author>
        <b:Corporate>Go2Peru</b:Corporate>
      </b:Author>
    </b:Author>
    <b:URL>https://www.go2peru.travel/peru_guide/peruvian_handicrafts.htm</b:URL>
    <b:YearAccessed>2020</b:YearAccessed>
    <b:MonthAccessed>June</b:MonthAccessed>
    <b:DayAccessed>7</b:DayAccessed>
    <b:RefOrder>5</b:RefOrder>
  </b:Source>
  <b:Source>
    <b:Tag>OEC20</b:Tag>
    <b:SourceType>InternetSite</b:SourceType>
    <b:Guid>{8897F3D6-8F5C-4A4A-8C20-2749FD91B8F2}</b:Guid>
    <b:Author>
      <b:Author>
        <b:Corporate>OECD Tourism Trends And Policies 2020</b:Corporate>
      </b:Author>
    </b:Author>
    <b:Title>Peru</b:Title>
    <b:URL>https://www.oecd-ilibrary.org/sites/84a78b60-en/index.html?itemId=/content/component/84a78b60-en</b:URL>
    <b:Year>2020</b:Year>
    <b:YearAccessed>2020</b:YearAccessed>
    <b:MonthAccessed>June</b:MonthAccessed>
    <b:DayAccessed>8</b:DayAccessed>
    <b:RefOrder>3</b:RefOrder>
  </b:Source>
  <b:Source>
    <b:Tag>Mar20</b:Tag>
    <b:SourceType>InternetSite</b:SourceType>
    <b:Guid>{EA2AA02D-05E4-1045-851E-0B62B3B91ACE}</b:Guid>
    <b:Author>
      <b:Author>
        <b:Corporate>Market Line</b:Corporate>
      </b:Author>
    </b:Author>
    <b:Title>Travel &amp; Tourism In Peru</b:Title>
    <b:URL>https://web-a-ebscohost-com.ezproxy.uwtsd.ac.uk/ehost/pdfviewer/pdfviewer?vid=1&amp;sid=e1e5ce93-faf8-453a-a42e-167aea4aa463%40sessionmgr4008</b:URL>
    <b:Year>2020</b:Year>
    <b:YearAccessed>2020</b:YearAccessed>
    <b:MonthAccessed>June</b:MonthAccessed>
    <b:DayAccessed>8</b:DayAccessed>
    <b:RefOrder>2</b:RefOrder>
  </b:Source>
  <b:Source>
    <b:Tag>Pro16</b:Tag>
    <b:SourceType>InternetSite</b:SourceType>
    <b:Guid>{EAA13FB9-4CB8-A149-BFCE-E73ACE82199D}</b:Guid>
    <b:Author>
      <b:Author>
        <b:Corporate>Progress Report To The UNWTO Committee On Tourism And Competitiveness</b:Corporate>
      </b:Author>
    </b:Author>
    <b:Title>Project To Enhance The Understanding Of The Factors That Explain Destination Competitiveness</b:Title>
    <b:URL>https://www.mincetur.gob.pe/wp-content/uploads/documentos/turismo/publicaciones/CTC_ALTA.pdf</b:URL>
    <b:Year>2016</b:Year>
    <b:YearAccessed>2020</b:YearAccessed>
    <b:MonthAccessed>June</b:MonthAccessed>
    <b:DayAccessed>8</b:DayAccessed>
    <b:RefOrder>10</b:RefOrder>
  </b:Source>
  <b:Source>
    <b:Tag>Lar12</b:Tag>
    <b:SourceType>JournalArticle</b:SourceType>
    <b:Guid>{DBC5DDC3-D08C-0D4E-B361-DD7A05D5AD28}</b:Guid>
    <b:Title>Developing Sustainable Tourism Through Adaptive Resource Management: A Case Study Of Machu Picchu, Peru</b:Title>
    <b:Year>2012</b:Year>
    <b:Author>
      <b:Author>
        <b:NameList>
          <b:Person>
            <b:Last>Larson</b:Last>
            <b:First>Lincoln</b:First>
            <b:Middle>R.</b:Middle>
          </b:Person>
          <b:Person>
            <b:Last>Poudyal</b:Last>
            <b:Middle>C.</b:Middle>
            <b:First>Neelam</b:First>
          </b:Person>
        </b:NameList>
      </b:Author>
    </b:Author>
    <b:JournalName>Journal Of Sustainable Tourism</b:JournalName>
    <b:Volume>20</b:Volume>
    <b:Issue>7</b:Issue>
    <b:Pages>917-938</b:Pages>
    <b:RefOrder>14</b:RefOrder>
  </b:Source>
  <b:Source>
    <b:Tag>Min20</b:Tag>
    <b:SourceType>InternetSite</b:SourceType>
    <b:Guid>{19D6F01B-134F-104F-993A-EF6D35827ADA}</b:Guid>
    <b:Author>
      <b:Author>
        <b:Corporate>Ministerio de Comercio Exterior y Turismo</b:Corporate>
      </b:Author>
    </b:Author>
    <b:Title>About Mincetur</b:Title>
    <b:Year>2020</b:Year>
    <b:URL>https://www.mincetur.gob.pe/ministry-of-foreign-trade-and-tourism/about-mincetur/?lang=en</b:URL>
    <b:YearAccessed>2020</b:YearAccessed>
    <b:MonthAccessed>June</b:MonthAccessed>
    <b:DayAccessed>8</b:DayAccessed>
    <b:RefOrder>26</b:RefOrder>
  </b:Source>
  <b:Source>
    <b:Tag>Wor17</b:Tag>
    <b:SourceType>Report</b:SourceType>
    <b:Guid>{C6BC7B90-2B57-8D46-B716-E731C53F4B86}</b:Guid>
    <b:Title>Tourism And The Sustainable Development Goals - Journey To 2030</b:Title>
    <b:Year>2017</b:Year>
    <b:Author>
      <b:Author>
        <b:Corporate>World Tourism Organization (UNWTO)</b:Corporate>
      </b:Author>
    </b:Author>
    <b:Publisher>World Tourism Organization (UNWTO)</b:Publisher>
    <b:City>Spain</b:City>
    <b:RefOrder>9</b:RefOrder>
  </b:Source>
  <b:Source>
    <b:Tag>Ber11</b:Tag>
    <b:SourceType>InternetSite</b:SourceType>
    <b:Guid>{FB5608CF-7897-314B-A189-065D60AC06E3}</b:Guid>
    <b:Title>Protected Areas In Peru</b:Title>
    <b:Year>2011</b:Year>
    <b:Author>
      <b:Author>
        <b:NameList>
          <b:Person>
            <b:Last>Cienfuegos</b:Last>
            <b:First>Bertha</b:First>
            <b:Middle>Cecilia Garcia</b:Middle>
          </b:Person>
        </b:NameList>
      </b:Author>
    </b:Author>
    <b:URL>https://www.iucn.org/content/protected-areas-peru</b:URL>
    <b:YearAccessed>2020</b:YearAccessed>
    <b:MonthAccessed>June</b:MonthAccessed>
    <b:DayAccessed>8</b:DayAccessed>
    <b:RefOrder>18</b:RefOrder>
  </b:Source>
  <b:Source>
    <b:Tag>Nik18</b:Tag>
    <b:SourceType>InternetSite</b:SourceType>
    <b:Guid>{8D8EABCF-9833-8442-A455-D0E386EE7580}</b:Guid>
    <b:Author>
      <b:Author>
        <b:NameList>
          <b:Person>
            <b:Last>Gribi</b:Last>
            <b:First>Niki</b:First>
          </b:Person>
        </b:NameList>
      </b:Author>
    </b:Author>
    <b:Title>Tourism In Protected Areas Generated US $720 Million In Peru In 2017</b:Title>
    <b:URL>https://www.conservation-strategy.org/news/tourism-protected-areas-generated-us-720-million-peru-2017</b:URL>
    <b:Year>2018</b:Year>
    <b:YearAccessed>2020</b:YearAccessed>
    <b:MonthAccessed>June</b:MonthAccessed>
    <b:DayAccessed>8</b:DayAccessed>
    <b:RefOrder>11</b:RefOrder>
  </b:Source>
  <b:Source>
    <b:Tag>Oxf17</b:Tag>
    <b:SourceType>InternetSite</b:SourceType>
    <b:Guid>{DAACB8BC-574E-DF4E-9FE9-35A0375E5F5F}</b:Guid>
    <b:Author>
      <b:Author>
        <b:Corporate>Oxford Business Group</b:Corporate>
      </b:Author>
    </b:Author>
    <b:Title>Peru's Fast-Growing Tourism Sector Shows No Signs Of Slowing Down</b:Title>
    <b:URL>https://oxfordbusinessgroup.com/overview/taking-one-fastest-growing-sectors-shows-no-signs-slowing-down</b:URL>
    <b:Year>2017</b:Year>
    <b:YearAccessed>2020</b:YearAccessed>
    <b:MonthAccessed>June</b:MonthAccessed>
    <b:DayAccessed>8</b:DayAccessed>
    <b:RefOrder>12</b:RefOrder>
  </b:Source>
  <b:Source>
    <b:Tag>Kur19</b:Tag>
    <b:SourceType>InternetSite</b:SourceType>
    <b:Guid>{DBDD46F1-82EB-784E-801C-5A2F60BC3DB3}</b:Guid>
    <b:Author>
      <b:Author>
        <b:NameList>
          <b:Person>
            <b:Last>Holle</b:Last>
            <b:First>Kurt</b:First>
          </b:Person>
        </b:NameList>
      </b:Author>
    </b:Author>
    <b:Title>Protecting Peru's Natural Heritage - Permanently</b:Title>
    <b:URL>https://medium.com/wwftogetherpossible/protecting-perus-natural-heritage-permanently-42eea7fc8fc8</b:URL>
    <b:Year>2019</b:Year>
    <b:YearAccessed>2020</b:YearAccessed>
    <b:MonthAccessed>June</b:MonthAccessed>
    <b:DayAccessed>8</b:DayAccessed>
    <b:RefOrder>13</b:RefOrder>
  </b:Source>
  <b:Source>
    <b:Tag>Dan13</b:Tag>
    <b:SourceType>InternetSite</b:SourceType>
    <b:Guid>{D857A005-777E-6F4D-9D87-F677E471EB6F}</b:Guid>
    <b:Author>
      <b:Author>
        <b:NameList>
          <b:Person>
            <b:Last>Collyns</b:Last>
            <b:First>Dan</b:First>
          </b:Person>
        </b:NameList>
      </b:Author>
    </b:Author>
    <b:Title>Eco-Tourism In Peru: Community Engaging And Preserving Biodiversity</b:Title>
    <b:URL>https://www.theguardian.com/sustainable-business/eco-tourism-peru-amazon-engaging-communities</b:URL>
    <b:Year>2013</b:Year>
    <b:YearAccessed>2020</b:YearAccessed>
    <b:MonthAccessed>June</b:MonthAccessed>
    <b:DayAccessed>8</b:DayAccessed>
    <b:RefOrder>15</b:RefOrder>
  </b:Source>
  <b:Source>
    <b:Tag>Gem04</b:Tag>
    <b:SourceType>JournalArticle</b:SourceType>
    <b:Guid>{DFA5C039-447E-8A44-9B8E-7DAF2CAE37B0}</b:Guid>
    <b:Title>Including The Outsiders: The Contribution Of Guides To Integrated Heritage Tourism Management In Cusco, Southern Peru</b:Title>
    <b:Year>2004</b:Year>
    <b:Author>
      <b:Author>
        <b:NameList>
          <b:Person>
            <b:Last>McGrath</b:Last>
            <b:First>Gemma</b:First>
          </b:Person>
        </b:NameList>
      </b:Author>
    </b:Author>
    <b:JournalName>Current Issues In Tourism</b:JournalName>
    <b:Volume>7</b:Volume>
    <b:Issue>4-5</b:Issue>
    <b:Pages>426-432</b:Pages>
    <b:RefOrder>4</b:RefOrder>
  </b:Source>
  <b:Source>
    <b:Tag>Cen20</b:Tag>
    <b:SourceType>InternetSite</b:SourceType>
    <b:Guid>{9E146F4E-C1BA-6E49-90E3-4C04680858DD}</b:Guid>
    <b:Title>Cenfotur Education Peru</b:Title>
    <b:Year>2020</b:Year>
    <b:Author>
      <b:Author>
        <b:Corporate>Cenfotur</b:Corporate>
      </b:Author>
    </b:Author>
    <b:URL>https://www.cenfotur.edu.pe/</b:URL>
    <b:YearAccessed>2020</b:YearAccessed>
    <b:MonthAccessed>June</b:MonthAccessed>
    <b:DayAccessed>9</b:DayAccessed>
    <b:RefOrder>20</b:RefOrder>
  </b:Source>
  <b:Source>
    <b:Tag>Wor201</b:Tag>
    <b:SourceType>InternetSite</b:SourceType>
    <b:Guid>{2F9285F6-C86E-D748-85D9-85A84868FAE8}</b:Guid>
    <b:Author>
      <b:Author>
        <b:Corporate>World Tourism Organization</b:Corporate>
      </b:Author>
    </b:Author>
    <b:Title>Centro De Formacion En Tourismo - Cenfotur</b:Title>
    <b:URL>https://www.unwto.org/affiliate-member-organization/41749</b:URL>
    <b:Year>2020</b:Year>
    <b:YearAccessed>2020</b:YearAccessed>
    <b:MonthAccessed>June</b:MonthAccessed>
    <b:DayAccessed>9</b:DayAccessed>
    <b:RefOrder>21</b:RefOrder>
  </b:Source>
  <b:Source>
    <b:Tag>Cal19</b:Tag>
    <b:SourceType>InternetSite</b:SourceType>
    <b:Guid>{340C9359-EAEA-C744-BBAE-0D5FE67CB65A}</b:Guid>
    <b:Author>
      <b:Author>
        <b:NameList>
          <b:Person>
            <b:Last>Calderwood</b:Last>
            <b:First>Lauren</b:First>
            <b:Middle>Uppink</b:Middle>
          </b:Person>
          <b:Person>
            <b:Last>Soshkin</b:Last>
            <b:First>Maksim</b:First>
          </b:Person>
        </b:NameList>
      </b:Author>
    </b:Author>
    <b:Title>The Travel &amp; Tourism Competitiveness Report 2019</b:Title>
    <b:URL>http://www3.weforum.org/docs/WEF_TTCR_2019.pdf</b:URL>
    <b:Year>2019</b:Year>
    <b:YearAccessed>2020</b:YearAccessed>
    <b:MonthAccessed>June</b:MonthAccessed>
    <b:DayAccessed>9</b:DayAccessed>
    <b:RefOrder>6</b:RefOrder>
  </b:Source>
  <b:Source>
    <b:Tag>Chi13</b:Tag>
    <b:SourceType>InternetSite</b:SourceType>
    <b:Guid>{73A950CE-CB3B-E444-A7D3-1B400BABD29A}</b:Guid>
    <b:Author>
      <b:Author>
        <b:NameList>
          <b:Person>
            <b:Last>Chiesa</b:Last>
            <b:First>Thea</b:First>
          </b:Person>
          <b:Person>
            <b:Last>Lengefeld</b:Last>
            <b:First>Klaus</b:First>
          </b:Person>
          <b:Person>
            <b:Last>Crotti</b:Last>
            <b:First>Roberto</b:First>
          </b:Person>
        </b:NameList>
      </b:Author>
    </b:Author>
    <b:Title>The Peru Travel &amp; Tourism Competitiveness Report 2013</b:Title>
    <b:URL>http://www3.weforum.org/docs/WEF_TT_Peru_CompetitivenessReport_2013.pdf</b:URL>
    <b:Year>2013</b:Year>
    <b:YearAccessed>2020</b:YearAccessed>
    <b:MonthAccessed>June</b:MonthAccessed>
    <b:DayAccessed>9</b:DayAccessed>
    <b:RefOrder>7</b:RefOrder>
  </b:Source>
  <b:Source>
    <b:Tag>Nat18</b:Tag>
    <b:SourceType>InternetSite</b:SourceType>
    <b:Guid>{6055A9B3-1E2C-DC41-B9D4-ED31D60011C3}</b:Guid>
    <b:Author>
      <b:Author>
        <b:NameList>
          <b:Person>
            <b:Last>Marsh</b:Last>
            <b:First>Natalie</b:First>
          </b:Person>
        </b:NameList>
      </b:Author>
    </b:Author>
    <b:Title>WTM 2018: Peru Prioritises 'Adventure' In Tourism Marketing</b:Title>
    <b:URL>https://www.travelweekly.co.uk/articles/316094/wtm-2018-peru-prioritises-adventure-in-tourism-marketing</b:URL>
    <b:Year>2018</b:Year>
    <b:YearAccessed>2020</b:YearAccessed>
    <b:MonthAccessed>June</b:MonthAccessed>
    <b:DayAccessed>9</b:DayAccessed>
    <b:RefOrder>17</b:RefOrder>
  </b:Source>
  <b:Source>
    <b:Tag>Bau09</b:Tag>
    <b:SourceType>Book</b:SourceType>
    <b:Guid>{74320C93-0547-D44C-95DA-BC7863C51CBB}</b:Guid>
    <b:Title>Cultural Tourism In Latin America: The Politics Of Space And Imagery</b:Title>
    <b:Year>2009</b:Year>
    <b:Author>
      <b:Author>
        <b:NameList>
          <b:Person>
            <b:Last>Baud</b:Last>
            <b:First>Michiel</b:First>
          </b:Person>
          <b:Person>
            <b:Last>Ypeij</b:Last>
            <b:First>Annelou</b:First>
          </b:Person>
        </b:NameList>
      </b:Author>
    </b:Author>
    <b:City>Boston</b:City>
    <b:Publisher>Brill</b:Publisher>
    <b:RefOrder>22</b:RefOrder>
  </b:Source>
  <b:Source>
    <b:Tag>Int20</b:Tag>
    <b:SourceType>InternetSite</b:SourceType>
    <b:Guid>{908ECD5A-9C28-2546-9AA7-624A9303477F}</b:Guid>
    <b:Title>Indigenous Peoples In Peru</b:Title>
    <b:Year>2020</b:Year>
    <b:Author>
      <b:Author>
        <b:Corporate>International Work Group for Indigenous Affairs</b:Corporate>
      </b:Author>
    </b:Author>
    <b:URL>https://www.iwgia.org/en/peru</b:URL>
    <b:YearAccessed>2020</b:YearAccessed>
    <b:MonthAccessed>June</b:MonthAccessed>
    <b:DayAccessed>9</b:DayAccessed>
    <b:RefOrder>19</b:RefOrder>
  </b:Source>
  <b:Source>
    <b:Tag>The17</b:Tag>
    <b:SourceType>InternetSite</b:SourceType>
    <b:Guid>{546AB6E0-33A0-7940-B949-AA933FB4B06D}</b:Guid>
    <b:Author>
      <b:Author>
        <b:Corporate>The Biodiversity Finance Initiative</b:Corporate>
      </b:Author>
    </b:Author>
    <b:Title>Peru</b:Title>
    <b:URL>https://www.biodiversityfinance.net/peru</b:URL>
    <b:Year>2017</b:Year>
    <b:YearAccessed>2020</b:YearAccessed>
    <b:MonthAccessed>June</b:MonthAccessed>
    <b:DayAccessed>9</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EE8EFC-1030-994C-B30B-34C2F8216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10</Pages>
  <Words>3536</Words>
  <Characters>20161</Characters>
  <Application>Microsoft Office Word</Application>
  <DocSecurity>0</DocSecurity>
  <Lines>168</Lines>
  <Paragraphs>47</Paragraphs>
  <ScaleCrop>false</ScaleCrop>
  <Company>Katie Marshall</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Strategies - Peru</dc:title>
  <dc:subject/>
  <dc:creator>Kathryn Marshall</dc:creator>
  <cp:keywords/>
  <dc:description/>
  <cp:lastModifiedBy>Kathryn Marshall</cp:lastModifiedBy>
  <cp:revision>24</cp:revision>
  <cp:lastPrinted>2020-06-08T17:37:00Z</cp:lastPrinted>
  <dcterms:created xsi:type="dcterms:W3CDTF">2020-06-03T13:56:00Z</dcterms:created>
  <dcterms:modified xsi:type="dcterms:W3CDTF">2020-06-10T19:01:00Z</dcterms:modified>
</cp:coreProperties>
</file>