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widowControl w:val="0"/>
        <w:spacing w:line="276" w:lineRule="auto"/>
        <w:jc w:val="left"/>
      </w:pPr>
    </w:p>
    <w:p>
      <w:pPr>
        <w:jc w:val="center"/>
        <w:rPr>
          <w:b/>
          <w:sz w:val="32"/>
          <w:szCs w:val="32"/>
        </w:rPr>
      </w:pPr>
    </w:p>
    <w:p>
      <w:pPr>
        <w:jc w:val="center"/>
        <w:rPr>
          <w:b/>
          <w:sz w:val="32"/>
          <w:szCs w:val="32"/>
        </w:rPr>
      </w:pPr>
    </w:p>
    <w:p>
      <w:pPr>
        <w:jc w:val="center"/>
        <w:rPr>
          <w:b/>
          <w:sz w:val="32"/>
          <w:szCs w:val="32"/>
        </w:rPr>
      </w:pPr>
    </w:p>
    <w:p>
      <w:pPr>
        <w:jc w:val="center"/>
        <w:rPr>
          <w:b/>
          <w:sz w:val="32"/>
          <w:szCs w:val="32"/>
        </w:rPr>
      </w:pPr>
    </w:p>
    <w:p>
      <w:pPr>
        <w:jc w:val="center"/>
        <w:rPr>
          <w:b/>
          <w:sz w:val="32"/>
          <w:szCs w:val="32"/>
        </w:rPr>
      </w:pPr>
    </w:p>
    <w:p>
      <w:pPr>
        <w:jc w:val="center"/>
        <w:rPr>
          <w:b/>
          <w:sz w:val="32"/>
          <w:szCs w:val="32"/>
        </w:rPr>
      </w:pPr>
    </w:p>
    <w:p>
      <w:pPr>
        <w:jc w:val="center"/>
        <w:rPr>
          <w:b/>
          <w:sz w:val="32"/>
          <w:szCs w:val="32"/>
        </w:rPr>
      </w:pPr>
    </w:p>
    <w:p>
      <w:pPr>
        <w:jc w:val="center"/>
        <w:rPr>
          <w:b/>
          <w:sz w:val="32"/>
          <w:szCs w:val="32"/>
        </w:rPr>
      </w:pPr>
    </w:p>
    <w:p>
      <w:pPr>
        <w:jc w:val="center"/>
        <w:rPr>
          <w:b/>
          <w:sz w:val="32"/>
          <w:szCs w:val="32"/>
        </w:rPr>
      </w:pPr>
    </w:p>
    <w:p>
      <w:pPr>
        <w:jc w:val="center"/>
        <w:rPr>
          <w:rFonts w:hint="default"/>
          <w:b/>
          <w:sz w:val="32"/>
          <w:szCs w:val="32"/>
        </w:rPr>
      </w:pPr>
      <w:bookmarkStart w:id="19" w:name="_GoBack"/>
      <w:bookmarkStart w:id="0" w:name="_heading=h.bc3peaj5yqu1" w:colFirst="0" w:colLast="0"/>
      <w:bookmarkEnd w:id="0"/>
      <w:r>
        <w:rPr>
          <w:rFonts w:hint="default"/>
          <w:b/>
          <w:sz w:val="32"/>
          <w:szCs w:val="32"/>
        </w:rPr>
        <w:t xml:space="preserve">BMIH4003 </w:t>
      </w:r>
      <w:r>
        <w:rPr>
          <w:rFonts w:hint="default"/>
          <w:b/>
          <w:sz w:val="32"/>
          <w:szCs w:val="32"/>
        </w:rPr>
        <w:br w:type="textWrapping"/>
      </w:r>
      <w:r>
        <w:rPr>
          <w:rFonts w:hint="default"/>
          <w:b/>
          <w:sz w:val="32"/>
          <w:szCs w:val="32"/>
        </w:rPr>
        <w:t xml:space="preserve">Hospitality &amp; Guest Services </w:t>
      </w:r>
      <w:r>
        <w:rPr>
          <w:rFonts w:hint="default"/>
          <w:b/>
          <w:sz w:val="32"/>
          <w:szCs w:val="32"/>
        </w:rPr>
        <w:br w:type="textWrapping"/>
      </w:r>
      <w:r>
        <w:rPr>
          <w:rFonts w:hint="default"/>
          <w:b/>
          <w:sz w:val="32"/>
          <w:szCs w:val="32"/>
        </w:rPr>
        <w:t>Module Lead: Charlotte Joyner</w:t>
      </w:r>
      <w:bookmarkEnd w:id="19"/>
      <w:r>
        <w:rPr>
          <w:rFonts w:hint="default"/>
          <w:b/>
          <w:sz w:val="32"/>
          <w:szCs w:val="32"/>
        </w:rPr>
        <w:br w:type="textWrapping"/>
      </w:r>
      <w:r>
        <w:rPr>
          <w:rFonts w:hint="default"/>
          <w:b/>
          <w:sz w:val="32"/>
          <w:szCs w:val="32"/>
        </w:rPr>
        <w:t xml:space="preserve">Student name : Lidia Leva </w:t>
      </w:r>
      <w:r>
        <w:rPr>
          <w:rFonts w:hint="default"/>
          <w:b/>
          <w:sz w:val="32"/>
          <w:szCs w:val="32"/>
        </w:rPr>
        <w:br w:type="textWrapping"/>
      </w:r>
      <w:r>
        <w:rPr>
          <w:rFonts w:hint="default"/>
          <w:b/>
          <w:sz w:val="32"/>
          <w:szCs w:val="32"/>
        </w:rPr>
        <w:t>Student id : 2242891</w:t>
      </w:r>
    </w:p>
    <w:p>
      <w:pPr>
        <w:jc w:val="center"/>
        <w:rPr>
          <w:rFonts w:hint="default"/>
          <w:b/>
          <w:sz w:val="32"/>
          <w:szCs w:val="32"/>
          <w:lang w:val="en-GB"/>
        </w:rPr>
      </w:pPr>
      <w:r>
        <w:rPr>
          <w:rFonts w:hint="default"/>
          <w:b/>
          <w:sz w:val="32"/>
          <w:szCs w:val="32"/>
          <w:lang w:val="en-GB"/>
        </w:rPr>
        <w:t>Word count : 1491</w:t>
      </w:r>
    </w:p>
    <w:p>
      <w:pPr>
        <w:jc w:val="center"/>
        <w:rPr>
          <w:b/>
          <w:sz w:val="32"/>
          <w:szCs w:val="32"/>
        </w:rPr>
      </w:pPr>
    </w:p>
    <w:p>
      <w:pPr>
        <w:jc w:val="center"/>
        <w:rPr>
          <w:b/>
          <w:sz w:val="32"/>
          <w:szCs w:val="32"/>
        </w:rPr>
      </w:pPr>
    </w:p>
    <w:p>
      <w:pPr>
        <w:jc w:val="center"/>
        <w:rPr>
          <w:b/>
          <w:sz w:val="32"/>
          <w:szCs w:val="32"/>
        </w:rPr>
      </w:pPr>
    </w:p>
    <w:p>
      <w:pPr>
        <w:jc w:val="center"/>
        <w:rPr>
          <w:rFonts w:ascii="Calibri" w:hAnsi="Calibri" w:eastAsia="Calibri" w:cs="Calibri"/>
          <w:color w:val="366091"/>
          <w:sz w:val="32"/>
          <w:szCs w:val="32"/>
        </w:rPr>
      </w:pPr>
      <w:r>
        <w:br w:type="page"/>
      </w:r>
    </w:p>
    <w:p>
      <w:pPr>
        <w:keepNext/>
        <w:keepLines/>
        <w:spacing w:before="240" w:line="259" w:lineRule="auto"/>
        <w:jc w:val="center"/>
        <w:rPr>
          <w:b/>
          <w:color w:val="000000"/>
          <w:sz w:val="28"/>
          <w:szCs w:val="28"/>
        </w:rPr>
      </w:pPr>
      <w:r>
        <w:rPr>
          <w:b/>
          <w:color w:val="000000"/>
          <w:sz w:val="28"/>
          <w:szCs w:val="28"/>
        </w:rPr>
        <w:t>Table of Contents</w:t>
      </w:r>
    </w:p>
    <w:sdt>
      <w:sdtPr>
        <w:id w:val="2014030948"/>
        <w:docPartObj>
          <w:docPartGallery w:val="Table of Contents"/>
          <w:docPartUnique/>
        </w:docPartObj>
      </w:sdtPr>
      <w:sdtContent>
        <w:p>
          <w:pPr>
            <w:pStyle w:val="16"/>
            <w:tabs>
              <w:tab w:val="right" w:leader="dot" w:pos="9350"/>
            </w:tabs>
            <w:rPr>
              <w:rFonts w:asciiTheme="minorHAnsi" w:hAnsiTheme="minorHAnsi" w:eastAsiaTheme="minorEastAsia" w:cstheme="minorBidi"/>
              <w:kern w:val="2"/>
              <w:sz w:val="22"/>
              <w:szCs w:val="22"/>
              <w:lang w:val="en-GB" w:eastAsia="en-GB"/>
              <w14:ligatures w14:val="standardContextual"/>
            </w:rPr>
          </w:pPr>
          <w:r>
            <w:fldChar w:fldCharType="begin"/>
          </w:r>
          <w:r>
            <w:instrText xml:space="preserve"> TOC \h \u \z \t "Heading 1,1,Heading 2,2,Heading 3,3,"</w:instrText>
          </w:r>
          <w:r>
            <w:fldChar w:fldCharType="separate"/>
          </w:r>
          <w:r>
            <w:fldChar w:fldCharType="begin"/>
          </w:r>
          <w:r>
            <w:instrText xml:space="preserve"> HYPERLINK \l "_Toc147225788" </w:instrText>
          </w:r>
          <w:r>
            <w:fldChar w:fldCharType="separate"/>
          </w:r>
          <w:r>
            <w:rPr>
              <w:rStyle w:val="13"/>
            </w:rPr>
            <w:t>Assignment 2: The importance of effectively monitoring guest service approaches</w:t>
          </w:r>
          <w:r>
            <w:tab/>
          </w:r>
          <w:r>
            <w:fldChar w:fldCharType="begin"/>
          </w:r>
          <w:r>
            <w:instrText xml:space="preserve"> PAGEREF _Toc147225788 \h </w:instrText>
          </w:r>
          <w:r>
            <w:fldChar w:fldCharType="separate"/>
          </w:r>
          <w:r>
            <w:t>3</w:t>
          </w:r>
          <w:r>
            <w:fldChar w:fldCharType="end"/>
          </w:r>
          <w:r>
            <w:fldChar w:fldCharType="end"/>
          </w:r>
        </w:p>
        <w:p>
          <w:pPr>
            <w:pStyle w:val="17"/>
            <w:tabs>
              <w:tab w:val="right" w:leader="dot" w:pos="9350"/>
            </w:tabs>
            <w:rPr>
              <w:rFonts w:asciiTheme="minorHAnsi" w:hAnsiTheme="minorHAnsi" w:eastAsiaTheme="minorEastAsia" w:cstheme="minorBidi"/>
              <w:kern w:val="2"/>
              <w:sz w:val="22"/>
              <w:szCs w:val="22"/>
              <w:lang w:val="en-GB" w:eastAsia="en-GB"/>
              <w14:ligatures w14:val="standardContextual"/>
            </w:rPr>
          </w:pPr>
          <w:r>
            <w:fldChar w:fldCharType="begin"/>
          </w:r>
          <w:r>
            <w:instrText xml:space="preserve"> HYPERLINK \l "_Toc147225789" </w:instrText>
          </w:r>
          <w:r>
            <w:fldChar w:fldCharType="separate"/>
          </w:r>
          <w:r>
            <w:rPr>
              <w:rStyle w:val="13"/>
            </w:rPr>
            <w:t>Executive Summary</w:t>
          </w:r>
          <w:r>
            <w:tab/>
          </w:r>
          <w:r>
            <w:fldChar w:fldCharType="begin"/>
          </w:r>
          <w:r>
            <w:instrText xml:space="preserve"> PAGEREF _Toc147225789 \h </w:instrText>
          </w:r>
          <w:r>
            <w:fldChar w:fldCharType="separate"/>
          </w:r>
          <w:r>
            <w:t>4</w:t>
          </w:r>
          <w:r>
            <w:fldChar w:fldCharType="end"/>
          </w:r>
          <w:r>
            <w:fldChar w:fldCharType="end"/>
          </w:r>
        </w:p>
        <w:p>
          <w:pPr>
            <w:pStyle w:val="17"/>
            <w:tabs>
              <w:tab w:val="right" w:leader="dot" w:pos="9350"/>
            </w:tabs>
            <w:rPr>
              <w:rFonts w:asciiTheme="minorHAnsi" w:hAnsiTheme="minorHAnsi" w:eastAsiaTheme="minorEastAsia" w:cstheme="minorBidi"/>
              <w:kern w:val="2"/>
              <w:sz w:val="22"/>
              <w:szCs w:val="22"/>
              <w:lang w:val="en-GB" w:eastAsia="en-GB"/>
              <w14:ligatures w14:val="standardContextual"/>
            </w:rPr>
          </w:pPr>
          <w:r>
            <w:fldChar w:fldCharType="begin"/>
          </w:r>
          <w:r>
            <w:instrText xml:space="preserve"> HYPERLINK \l "_Toc147225790" </w:instrText>
          </w:r>
          <w:r>
            <w:fldChar w:fldCharType="separate"/>
          </w:r>
          <w:r>
            <w:rPr>
              <w:rStyle w:val="13"/>
            </w:rPr>
            <w:t>Introduction</w:t>
          </w:r>
          <w:r>
            <w:tab/>
          </w:r>
          <w:r>
            <w:fldChar w:fldCharType="begin"/>
          </w:r>
          <w:r>
            <w:instrText xml:space="preserve"> PAGEREF _Toc147225790 \h </w:instrText>
          </w:r>
          <w:r>
            <w:fldChar w:fldCharType="separate"/>
          </w:r>
          <w:r>
            <w:t>5</w:t>
          </w:r>
          <w:r>
            <w:fldChar w:fldCharType="end"/>
          </w:r>
          <w:r>
            <w:fldChar w:fldCharType="end"/>
          </w:r>
        </w:p>
        <w:p>
          <w:pPr>
            <w:pStyle w:val="17"/>
            <w:tabs>
              <w:tab w:val="right" w:leader="dot" w:pos="9350"/>
            </w:tabs>
            <w:rPr>
              <w:rFonts w:asciiTheme="minorHAnsi" w:hAnsiTheme="minorHAnsi" w:eastAsiaTheme="minorEastAsia" w:cstheme="minorBidi"/>
              <w:kern w:val="2"/>
              <w:sz w:val="22"/>
              <w:szCs w:val="22"/>
              <w:lang w:val="en-GB" w:eastAsia="en-GB"/>
              <w14:ligatures w14:val="standardContextual"/>
            </w:rPr>
          </w:pPr>
          <w:r>
            <w:fldChar w:fldCharType="begin"/>
          </w:r>
          <w:r>
            <w:instrText xml:space="preserve"> HYPERLINK \l "_Toc147225791" </w:instrText>
          </w:r>
          <w:r>
            <w:fldChar w:fldCharType="separate"/>
          </w:r>
          <w:r>
            <w:rPr>
              <w:rStyle w:val="13"/>
            </w:rPr>
            <w:t>Main Findings</w:t>
          </w:r>
          <w:r>
            <w:tab/>
          </w:r>
          <w:r>
            <w:fldChar w:fldCharType="begin"/>
          </w:r>
          <w:r>
            <w:instrText xml:space="preserve"> PAGEREF _Toc147225791 \h </w:instrText>
          </w:r>
          <w:r>
            <w:fldChar w:fldCharType="separate"/>
          </w:r>
          <w:r>
            <w:t>5</w:t>
          </w:r>
          <w:r>
            <w:fldChar w:fldCharType="end"/>
          </w:r>
          <w:r>
            <w:fldChar w:fldCharType="end"/>
          </w:r>
        </w:p>
        <w:p>
          <w:pPr>
            <w:pStyle w:val="18"/>
            <w:tabs>
              <w:tab w:val="right" w:leader="dot" w:pos="9350"/>
            </w:tabs>
            <w:rPr>
              <w:rFonts w:asciiTheme="minorHAnsi" w:hAnsiTheme="minorHAnsi" w:eastAsiaTheme="minorEastAsia" w:cstheme="minorBidi"/>
              <w:kern w:val="2"/>
              <w:sz w:val="22"/>
              <w:szCs w:val="22"/>
              <w:lang w:val="en-GB" w:eastAsia="en-GB"/>
              <w14:ligatures w14:val="standardContextual"/>
            </w:rPr>
          </w:pPr>
          <w:r>
            <w:fldChar w:fldCharType="begin"/>
          </w:r>
          <w:r>
            <w:instrText xml:space="preserve"> HYPERLINK \l "_Toc147225792" </w:instrText>
          </w:r>
          <w:r>
            <w:fldChar w:fldCharType="separate"/>
          </w:r>
          <w:r>
            <w:rPr>
              <w:rStyle w:val="13"/>
            </w:rPr>
            <w:t>Reputation Management</w:t>
          </w:r>
          <w:r>
            <w:tab/>
          </w:r>
          <w:r>
            <w:fldChar w:fldCharType="begin"/>
          </w:r>
          <w:r>
            <w:instrText xml:space="preserve"> PAGEREF _Toc147225792 \h </w:instrText>
          </w:r>
          <w:r>
            <w:fldChar w:fldCharType="separate"/>
          </w:r>
          <w:r>
            <w:t>5</w:t>
          </w:r>
          <w:r>
            <w:fldChar w:fldCharType="end"/>
          </w:r>
          <w:r>
            <w:fldChar w:fldCharType="end"/>
          </w:r>
        </w:p>
        <w:p>
          <w:pPr>
            <w:pStyle w:val="18"/>
            <w:tabs>
              <w:tab w:val="right" w:leader="dot" w:pos="9350"/>
            </w:tabs>
            <w:rPr>
              <w:rFonts w:asciiTheme="minorHAnsi" w:hAnsiTheme="minorHAnsi" w:eastAsiaTheme="minorEastAsia" w:cstheme="minorBidi"/>
              <w:kern w:val="2"/>
              <w:sz w:val="22"/>
              <w:szCs w:val="22"/>
              <w:lang w:val="en-GB" w:eastAsia="en-GB"/>
              <w14:ligatures w14:val="standardContextual"/>
            </w:rPr>
          </w:pPr>
          <w:r>
            <w:fldChar w:fldCharType="begin"/>
          </w:r>
          <w:r>
            <w:instrText xml:space="preserve"> HYPERLINK \l "_Toc147225793" </w:instrText>
          </w:r>
          <w:r>
            <w:fldChar w:fldCharType="separate"/>
          </w:r>
          <w:r>
            <w:rPr>
              <w:rStyle w:val="13"/>
            </w:rPr>
            <w:t>Service Culture</w:t>
          </w:r>
          <w:r>
            <w:tab/>
          </w:r>
          <w:r>
            <w:fldChar w:fldCharType="begin"/>
          </w:r>
          <w:r>
            <w:instrText xml:space="preserve"> PAGEREF _Toc147225793 \h </w:instrText>
          </w:r>
          <w:r>
            <w:fldChar w:fldCharType="separate"/>
          </w:r>
          <w:r>
            <w:t>6</w:t>
          </w:r>
          <w:r>
            <w:fldChar w:fldCharType="end"/>
          </w:r>
          <w:r>
            <w:fldChar w:fldCharType="end"/>
          </w:r>
        </w:p>
        <w:p>
          <w:pPr>
            <w:pStyle w:val="18"/>
            <w:tabs>
              <w:tab w:val="right" w:leader="dot" w:pos="9350"/>
            </w:tabs>
            <w:rPr>
              <w:rFonts w:asciiTheme="minorHAnsi" w:hAnsiTheme="minorHAnsi" w:eastAsiaTheme="minorEastAsia" w:cstheme="minorBidi"/>
              <w:kern w:val="2"/>
              <w:sz w:val="22"/>
              <w:szCs w:val="22"/>
              <w:lang w:val="en-GB" w:eastAsia="en-GB"/>
              <w14:ligatures w14:val="standardContextual"/>
            </w:rPr>
          </w:pPr>
          <w:r>
            <w:fldChar w:fldCharType="begin"/>
          </w:r>
          <w:r>
            <w:instrText xml:space="preserve"> HYPERLINK \l "_Toc147225794" </w:instrText>
          </w:r>
          <w:r>
            <w:fldChar w:fldCharType="separate"/>
          </w:r>
          <w:r>
            <w:rPr>
              <w:rStyle w:val="13"/>
            </w:rPr>
            <w:t>Brand Consistency</w:t>
          </w:r>
          <w:r>
            <w:tab/>
          </w:r>
          <w:r>
            <w:fldChar w:fldCharType="begin"/>
          </w:r>
          <w:r>
            <w:instrText xml:space="preserve"> PAGEREF _Toc147225794 \h </w:instrText>
          </w:r>
          <w:r>
            <w:fldChar w:fldCharType="separate"/>
          </w:r>
          <w:r>
            <w:t>6</w:t>
          </w:r>
          <w:r>
            <w:fldChar w:fldCharType="end"/>
          </w:r>
          <w:r>
            <w:fldChar w:fldCharType="end"/>
          </w:r>
        </w:p>
        <w:p>
          <w:pPr>
            <w:pStyle w:val="18"/>
            <w:tabs>
              <w:tab w:val="right" w:leader="dot" w:pos="9350"/>
            </w:tabs>
            <w:rPr>
              <w:rFonts w:asciiTheme="minorHAnsi" w:hAnsiTheme="minorHAnsi" w:eastAsiaTheme="minorEastAsia" w:cstheme="minorBidi"/>
              <w:kern w:val="2"/>
              <w:sz w:val="22"/>
              <w:szCs w:val="22"/>
              <w:lang w:val="en-GB" w:eastAsia="en-GB"/>
              <w14:ligatures w14:val="standardContextual"/>
            </w:rPr>
          </w:pPr>
          <w:r>
            <w:fldChar w:fldCharType="begin"/>
          </w:r>
          <w:r>
            <w:instrText xml:space="preserve"> HYPERLINK \l "_Toc147225795" </w:instrText>
          </w:r>
          <w:r>
            <w:fldChar w:fldCharType="separate"/>
          </w:r>
          <w:r>
            <w:rPr>
              <w:rStyle w:val="13"/>
            </w:rPr>
            <w:t>Hotel Standards</w:t>
          </w:r>
          <w:r>
            <w:tab/>
          </w:r>
          <w:r>
            <w:fldChar w:fldCharType="begin"/>
          </w:r>
          <w:r>
            <w:instrText xml:space="preserve"> PAGEREF _Toc147225795 \h </w:instrText>
          </w:r>
          <w:r>
            <w:fldChar w:fldCharType="separate"/>
          </w:r>
          <w:r>
            <w:t>8</w:t>
          </w:r>
          <w:r>
            <w:fldChar w:fldCharType="end"/>
          </w:r>
          <w:r>
            <w:fldChar w:fldCharType="end"/>
          </w:r>
        </w:p>
        <w:p>
          <w:pPr>
            <w:pStyle w:val="17"/>
            <w:tabs>
              <w:tab w:val="right" w:leader="dot" w:pos="9350"/>
            </w:tabs>
            <w:rPr>
              <w:rFonts w:asciiTheme="minorHAnsi" w:hAnsiTheme="minorHAnsi" w:eastAsiaTheme="minorEastAsia" w:cstheme="minorBidi"/>
              <w:kern w:val="2"/>
              <w:sz w:val="22"/>
              <w:szCs w:val="22"/>
              <w:lang w:val="en-GB" w:eastAsia="en-GB"/>
              <w14:ligatures w14:val="standardContextual"/>
            </w:rPr>
          </w:pPr>
          <w:r>
            <w:fldChar w:fldCharType="begin"/>
          </w:r>
          <w:r>
            <w:instrText xml:space="preserve"> HYPERLINK \l "_Toc147225796" </w:instrText>
          </w:r>
          <w:r>
            <w:fldChar w:fldCharType="separate"/>
          </w:r>
          <w:r>
            <w:rPr>
              <w:rStyle w:val="13"/>
            </w:rPr>
            <w:t>Conclusion</w:t>
          </w:r>
          <w:r>
            <w:tab/>
          </w:r>
          <w:r>
            <w:fldChar w:fldCharType="begin"/>
          </w:r>
          <w:r>
            <w:instrText xml:space="preserve"> PAGEREF _Toc147225796 \h </w:instrText>
          </w:r>
          <w:r>
            <w:fldChar w:fldCharType="separate"/>
          </w:r>
          <w:r>
            <w:t>9</w:t>
          </w:r>
          <w:r>
            <w:fldChar w:fldCharType="end"/>
          </w:r>
          <w:r>
            <w:fldChar w:fldCharType="end"/>
          </w:r>
        </w:p>
        <w:p>
          <w:pPr>
            <w:pStyle w:val="17"/>
            <w:tabs>
              <w:tab w:val="right" w:leader="dot" w:pos="9350"/>
            </w:tabs>
            <w:rPr>
              <w:rFonts w:asciiTheme="minorHAnsi" w:hAnsiTheme="minorHAnsi" w:eastAsiaTheme="minorEastAsia" w:cstheme="minorBidi"/>
              <w:kern w:val="2"/>
              <w:sz w:val="22"/>
              <w:szCs w:val="22"/>
              <w:lang w:val="en-GB" w:eastAsia="en-GB"/>
              <w14:ligatures w14:val="standardContextual"/>
            </w:rPr>
          </w:pPr>
          <w:r>
            <w:fldChar w:fldCharType="begin"/>
          </w:r>
          <w:r>
            <w:instrText xml:space="preserve"> HYPERLINK \l "_Toc147225797" </w:instrText>
          </w:r>
          <w:r>
            <w:fldChar w:fldCharType="separate"/>
          </w:r>
          <w:r>
            <w:rPr>
              <w:rStyle w:val="13"/>
            </w:rPr>
            <w:t>Recommendations</w:t>
          </w:r>
          <w:r>
            <w:tab/>
          </w:r>
          <w:r>
            <w:fldChar w:fldCharType="begin"/>
          </w:r>
          <w:r>
            <w:instrText xml:space="preserve"> PAGEREF _Toc147225797 \h </w:instrText>
          </w:r>
          <w:r>
            <w:fldChar w:fldCharType="separate"/>
          </w:r>
          <w:r>
            <w:t>9</w:t>
          </w:r>
          <w:r>
            <w:fldChar w:fldCharType="end"/>
          </w:r>
          <w:r>
            <w:fldChar w:fldCharType="end"/>
          </w:r>
        </w:p>
        <w:p>
          <w:pPr>
            <w:pStyle w:val="16"/>
            <w:tabs>
              <w:tab w:val="right" w:leader="dot" w:pos="9350"/>
            </w:tabs>
            <w:rPr>
              <w:rFonts w:asciiTheme="minorHAnsi" w:hAnsiTheme="minorHAnsi" w:eastAsiaTheme="minorEastAsia" w:cstheme="minorBidi"/>
              <w:kern w:val="2"/>
              <w:sz w:val="22"/>
              <w:szCs w:val="22"/>
              <w:lang w:val="en-GB" w:eastAsia="en-GB"/>
              <w14:ligatures w14:val="standardContextual"/>
            </w:rPr>
          </w:pPr>
          <w:r>
            <w:fldChar w:fldCharType="begin"/>
          </w:r>
          <w:r>
            <w:instrText xml:space="preserve"> HYPERLINK \l "_Toc147225798" </w:instrText>
          </w:r>
          <w:r>
            <w:fldChar w:fldCharType="separate"/>
          </w:r>
          <w:r>
            <w:rPr>
              <w:rStyle w:val="13"/>
            </w:rPr>
            <w:t>Reference list</w:t>
          </w:r>
          <w:r>
            <w:tab/>
          </w:r>
          <w:r>
            <w:fldChar w:fldCharType="begin"/>
          </w:r>
          <w:r>
            <w:instrText xml:space="preserve"> PAGEREF _Toc147225798 \h </w:instrText>
          </w:r>
          <w:r>
            <w:fldChar w:fldCharType="separate"/>
          </w:r>
          <w:r>
            <w:t>11</w:t>
          </w:r>
          <w:r>
            <w:fldChar w:fldCharType="end"/>
          </w:r>
          <w:r>
            <w:fldChar w:fldCharType="end"/>
          </w:r>
        </w:p>
        <w:p>
          <w:r>
            <w:fldChar w:fldCharType="end"/>
          </w:r>
        </w:p>
      </w:sdtContent>
    </w:sdt>
    <w:p>
      <w:pPr>
        <w:keepNext/>
        <w:keepLines/>
        <w:spacing w:before="240"/>
        <w:jc w:val="left"/>
        <w:rPr>
          <w:rFonts w:ascii="Calibri" w:hAnsi="Calibri" w:eastAsia="Calibri" w:cs="Calibri"/>
          <w:color w:val="366091"/>
          <w:sz w:val="32"/>
          <w:szCs w:val="32"/>
        </w:rPr>
      </w:pPr>
    </w:p>
    <w:p>
      <w:r>
        <w:br w:type="page"/>
      </w:r>
    </w:p>
    <w:p/>
    <w:p>
      <w:pPr>
        <w:pStyle w:val="2"/>
        <w:jc w:val="center"/>
      </w:pPr>
      <w:bookmarkStart w:id="1" w:name="_heading=h.1bhmmn81tzc5" w:colFirst="0" w:colLast="0"/>
      <w:bookmarkEnd w:id="1"/>
    </w:p>
    <w:p>
      <w:pPr>
        <w:pStyle w:val="2"/>
        <w:jc w:val="center"/>
      </w:pPr>
      <w:bookmarkStart w:id="2" w:name="_heading=h.fcesf6w5ix8t" w:colFirst="0" w:colLast="0"/>
      <w:bookmarkEnd w:id="2"/>
    </w:p>
    <w:p>
      <w:pPr>
        <w:pStyle w:val="2"/>
        <w:jc w:val="center"/>
      </w:pPr>
      <w:bookmarkStart w:id="3" w:name="_Toc147225788"/>
      <w:r>
        <w:t>Assignment 2: The importance of effectively monitoring guest service approaches</w:t>
      </w:r>
      <w:bookmarkEnd w:id="3"/>
    </w:p>
    <w:p>
      <w:pPr>
        <w:pStyle w:val="3"/>
      </w:pPr>
      <w:bookmarkStart w:id="4" w:name="_heading=h.31q7p666a9z5" w:colFirst="0" w:colLast="0"/>
      <w:bookmarkEnd w:id="4"/>
      <w:r>
        <w:br w:type="page"/>
      </w:r>
    </w:p>
    <w:p>
      <w:pPr>
        <w:pStyle w:val="3"/>
        <w:jc w:val="center"/>
      </w:pPr>
      <w:bookmarkStart w:id="5" w:name="_heading=h.4kckkhob2975" w:colFirst="0" w:colLast="0"/>
      <w:bookmarkEnd w:id="5"/>
      <w:bookmarkStart w:id="6" w:name="_Toc147225789"/>
      <w:r>
        <w:t>Executive Summary</w:t>
      </w:r>
      <w:bookmarkEnd w:id="6"/>
    </w:p>
    <w:p>
      <w:r>
        <w:t>Effective guest services are the most important factor in the hospitality industry because they help to establish a strong bond between the hospitality sector and customers and improve the organisation and visibility in the global market. The study has explained the way service culture, brand consistency, reputation management, and hotel standards are related to guest service in the hospitality industry. It has also presented recommendations for the sector to improve their guest services by implementing technology and collecting feedback from customers which help to enhance different factors related to this service.</w:t>
      </w:r>
      <w:r>
        <w:br w:type="page"/>
      </w:r>
    </w:p>
    <w:p>
      <w:pPr>
        <w:pStyle w:val="3"/>
      </w:pPr>
      <w:bookmarkStart w:id="7" w:name="_heading=h.3z3nl777cvhk" w:colFirst="0" w:colLast="0"/>
      <w:bookmarkEnd w:id="7"/>
      <w:bookmarkStart w:id="8" w:name="_Toc147225790"/>
      <w:r>
        <w:t>Introduction</w:t>
      </w:r>
      <w:bookmarkEnd w:id="8"/>
    </w:p>
    <w:p>
      <w:r>
        <w:t>Quality guest service is a major part of the hospitality industry because it focuses on increasing the satisfaction level of guests or customers by providing effective customer service which helps to increase their accommodation experiences (</w:t>
      </w:r>
      <w:r>
        <w:rPr>
          <w:color w:val="222222"/>
          <w:highlight w:val="white"/>
        </w:rPr>
        <w:t xml:space="preserve">Baek </w:t>
      </w:r>
      <w:r>
        <w:rPr>
          <w:i/>
          <w:color w:val="222222"/>
          <w:highlight w:val="white"/>
        </w:rPr>
        <w:t>et al</w:t>
      </w:r>
      <w:r>
        <w:rPr>
          <w:color w:val="222222"/>
          <w:highlight w:val="white"/>
        </w:rPr>
        <w:t>., 2020)</w:t>
      </w:r>
      <w:r>
        <w:t>. It helps to increase brand awareness and maintain the reputation of the hospitality industry by providing customer demand in the competitive market to increase their engagement in this industry. The current report will analyse different aspects related to guest services including reputation management, service culture, brand consistency and hotel standards to ensure the success of the hospitality industry by providing effective customer or guest service.</w:t>
      </w:r>
    </w:p>
    <w:p>
      <w:pPr>
        <w:pStyle w:val="3"/>
      </w:pPr>
      <w:bookmarkStart w:id="9" w:name="_Toc147225791"/>
      <w:r>
        <w:t>Main Findings</w:t>
      </w:r>
      <w:bookmarkEnd w:id="9"/>
    </w:p>
    <w:p>
      <w:pPr>
        <w:pStyle w:val="4"/>
      </w:pPr>
      <w:bookmarkStart w:id="10" w:name="_Toc147225792"/>
      <w:r>
        <w:t>Reputation Management</w:t>
      </w:r>
      <w:bookmarkEnd w:id="10"/>
    </w:p>
    <w:p>
      <w:r>
        <w:t>In the competitive realm of the hospitality industry, vigilant monitoring of visitor service approaches is indispensable for effective reputation management. This practice guarantees the swift resolution of visitor issues, averting potential negative input heightening. Positive visitor encounters, distinguished through continuous monitoring, can be highlighted in marketing attempts, fortifying online reputation with extraordinary outlines and ratings (</w:t>
      </w:r>
      <w:r>
        <w:rPr>
          <w:color w:val="222222"/>
        </w:rPr>
        <w:t>Lucas, 2022)</w:t>
      </w:r>
      <w:r>
        <w:t>. Moreover, data-driven insights gleaned from this process empower businesses to pinpoint and change areas denied of improvement, fostering lasting visitor satisfaction and a sterling reputation. Consistency in service quality across all touchpoints is maintained, nurturing trust among visitors and distinguishing the business from rivals. This expected procedure, combined with capable emergency management, defends the brand's picture during challenging times. A solid reputation gives a competitive advantage as well as exploits verbal exchange marketing, with fulfilled visitors becoming partners. In the long run, dynamic obligation with online examination reinforces the obligation to visitor satisfaction, exerting a positive influence on potential clients researching the business online (</w:t>
      </w:r>
      <w:r>
        <w:rPr>
          <w:color w:val="222222"/>
          <w:highlight w:val="white"/>
        </w:rPr>
        <w:t>Raman, 2019)</w:t>
      </w:r>
      <w:r>
        <w:t xml:space="preserve">. In this way, effective monitoring of visitor service approaches is inextricably linked to reputation management, fostering a thriving and distinguished presence in the dynamic hospitality industry. For example, many hotels in the U.K. and restaurants in the U.K. depend on TripAdvisor and other review platforms for guest feedback and reputation management. Some hotels monitor guest reviews and ratings responding to both positive and negative feedback. </w:t>
      </w:r>
    </w:p>
    <w:p>
      <w:pPr>
        <w:pStyle w:val="4"/>
      </w:pPr>
      <w:bookmarkStart w:id="11" w:name="_Toc147225793"/>
      <w:r>
        <w:t>Service Culture</w:t>
      </w:r>
      <w:bookmarkEnd w:id="11"/>
    </w:p>
    <w:p>
      <w:r>
        <w:t>A robust service culture is linked to the significance of diligently monitoring guest service approaches in the hospitality industry. This culture serves as the guiding power that enables establishments to reliably pass exceptional experiences on to their guests. Firstly, a well-defined service culture ensures that each individual from the team comprehends and internalizes the establishment's values and principles related to service greatness (</w:t>
      </w:r>
      <w:r>
        <w:rPr>
          <w:color w:val="222222"/>
          <w:highlight w:val="white"/>
        </w:rPr>
        <w:t xml:space="preserve">Tien </w:t>
      </w:r>
      <w:r>
        <w:rPr>
          <w:i/>
          <w:color w:val="222222"/>
          <w:highlight w:val="white"/>
        </w:rPr>
        <w:t xml:space="preserve">et al., </w:t>
      </w:r>
      <w:r>
        <w:rPr>
          <w:color w:val="222222"/>
          <w:highlight w:val="white"/>
        </w:rPr>
        <w:t>2021)</w:t>
      </w:r>
      <w:r>
        <w:t>. This shared understanding creates a foundation whereupon all guest interactions can be aligned with established service standards. Secondly, an empowered and engaged workforce, fostered by areas of solidarity for culture, will without a doubt take ownership of guest satisfaction. When employees feel a significant satisfaction and obligation in conveying exceptional service, they actively participate during the time spent monitoring guest service approaches, contributing valuable snippets of information and feedback based on their immediate interactions with guests. Moreover, a service culture instills a culture of continuous improvement, encouraging staff to continually search for ways to enhance the guest experience. Monitoring guest service approaches isn't viewed as an oddball task but as a continuous obligation to refine and create services to meet guest inclinations and adapt to changing industry patterns. Consistency across the organization is another crucial facet of a service culture (</w:t>
      </w:r>
      <w:r>
        <w:rPr>
          <w:color w:val="222222"/>
          <w:highlight w:val="white"/>
        </w:rPr>
        <w:t xml:space="preserve">Rahi </w:t>
      </w:r>
      <w:r>
        <w:rPr>
          <w:i/>
          <w:color w:val="222222"/>
          <w:highlight w:val="white"/>
        </w:rPr>
        <w:t xml:space="preserve">et al., </w:t>
      </w:r>
      <w:r>
        <w:rPr>
          <w:color w:val="222222"/>
          <w:highlight w:val="white"/>
        </w:rPr>
        <w:t>2020)</w:t>
      </w:r>
      <w:r>
        <w:t xml:space="preserve">. When everyone, from frontline staff to management, is dedicated to a common vision of exceptional service, it ensures that the quality of service remains uniform throughout the establishment. Monitoring guest service approaches ends up making lasting advancements in such a climate because of this shared obligation to maintain consistency. For example, the Ritz London is well known for its service culture. They often monitor guest service approaches through staff training and regular performance evaluation </w:t>
      </w:r>
    </w:p>
    <w:p>
      <w:pPr>
        <w:pStyle w:val="4"/>
      </w:pPr>
      <w:bookmarkStart w:id="12" w:name="_Toc147225794"/>
      <w:r>
        <w:t>Brand Consistency</w:t>
      </w:r>
      <w:bookmarkEnd w:id="12"/>
    </w:p>
    <w:p>
      <w:r>
        <w:t>Brand consistency is intricately connected with the paramount importance of effectively monitoring guest service approaches inside the dynamic realm of the hospitality business. In our continuous reality where guest experiences are fundamentally bound with a brand's personality, remaining mindful of adequacy across all touchpoints is of the most ludicrous importance. Firstly, brand consistency ensures that each guest interaction is a reflection of the established brand values and promises (</w:t>
      </w:r>
      <w:r>
        <w:rPr>
          <w:color w:val="222222"/>
          <w:highlight w:val="white"/>
        </w:rPr>
        <w:t xml:space="preserve">Li </w:t>
      </w:r>
      <w:r>
        <w:rPr>
          <w:i/>
          <w:color w:val="222222"/>
          <w:highlight w:val="white"/>
        </w:rPr>
        <w:t xml:space="preserve">et al., </w:t>
      </w:r>
      <w:r>
        <w:rPr>
          <w:color w:val="222222"/>
          <w:highlight w:val="white"/>
        </w:rPr>
        <w:t>2021)</w:t>
      </w:r>
      <w:r>
        <w:t>. Effective monitoring of guest service approaches is major for ensuring that these brand credits are constantly kept aware of, making a solid and clear guest experience. Whether guests draw in with the brand on the web, assist with outing staff nearby, or utilize different solaces, the experience ought to reliably concur with the brand's center person. Furthermore, brand consistency makes trust and reliability. It offers guests an impression of assurance, knowing what's on the horizon when they pick a particular brand. Monitoring guest service approaches is basic to guarantee that services constantly meet the brand's quality and service guidelines, in this manner supporting the brand's relentlessness. Additionally, brand consistency separates a hospitality establishment from competitors. When a brand is known for delivering a specific type of experience, it becomes particular according to guests. Effective monitoring ensures that the brand's cunning characteristics remain mindful of, giving guests a convincing motivation to pick it over different choices in the horrendous scene. Therefore consistency stimulates brand reliability. Guests who experience positive, obvious experiences will without a doubt become immovable advertisers. Monitoring guest service approaches empowers the obvious affirmation of locale where consistency could vacillate and works with accommodating measures to remain mindful of guest dedication. For example, Travelodge is a well-known budget hotel chain in the U.K.  (</w:t>
      </w:r>
      <w:r>
        <w:rPr>
          <w:color w:val="222222"/>
          <w:highlight w:val="white"/>
        </w:rPr>
        <w:t xml:space="preserve">Nordheim </w:t>
      </w:r>
      <w:r>
        <w:rPr>
          <w:i/>
          <w:color w:val="222222"/>
          <w:highlight w:val="white"/>
        </w:rPr>
        <w:t xml:space="preserve">et al., </w:t>
      </w:r>
      <w:r>
        <w:rPr>
          <w:color w:val="222222"/>
          <w:highlight w:val="white"/>
        </w:rPr>
        <w:t>2019)</w:t>
      </w:r>
      <w:r>
        <w:t>. They maintain a strong focus on brand consistency across all their properties. The Keller customer-based Brand Equity Model shows the importance of building and managing brand consistency to enhance brand equity. According to this model, brand consistency contributes to brand awareness, brand image, and brand meaning as well as brand resonance which can often influence brand value.</w:t>
      </w:r>
    </w:p>
    <w:p>
      <w:pPr>
        <w:jc w:val="center"/>
      </w:pPr>
      <w:r>
        <w:drawing>
          <wp:inline distT="114300" distB="114300" distL="114300" distR="114300">
            <wp:extent cx="5195570" cy="3267075"/>
            <wp:effectExtent l="12700" t="12700" r="12700" b="12700"/>
            <wp:docPr id="2" name="image9.png"/>
            <wp:cNvGraphicFramePr/>
            <a:graphic xmlns:a="http://schemas.openxmlformats.org/drawingml/2006/main">
              <a:graphicData uri="http://schemas.openxmlformats.org/drawingml/2006/picture">
                <pic:pic xmlns:pic="http://schemas.openxmlformats.org/drawingml/2006/picture">
                  <pic:nvPicPr>
                    <pic:cNvPr id="2" name="image9.png"/>
                    <pic:cNvPicPr preferRelativeResize="0"/>
                  </pic:nvPicPr>
                  <pic:blipFill>
                    <a:blip r:embed="rId7"/>
                    <a:srcRect/>
                    <a:stretch>
                      <a:fillRect/>
                    </a:stretch>
                  </pic:blipFill>
                  <pic:spPr>
                    <a:xfrm>
                      <a:off x="0" y="0"/>
                      <a:ext cx="5195888" cy="3267075"/>
                    </a:xfrm>
                    <a:prstGeom prst="rect">
                      <a:avLst/>
                    </a:prstGeom>
                    <a:ln w="12700">
                      <a:solidFill>
                        <a:srgbClr val="000000"/>
                      </a:solidFill>
                      <a:prstDash val="solid"/>
                    </a:ln>
                  </pic:spPr>
                </pic:pic>
              </a:graphicData>
            </a:graphic>
          </wp:inline>
        </w:drawing>
      </w:r>
    </w:p>
    <w:p>
      <w:pPr>
        <w:jc w:val="center"/>
        <w:rPr>
          <w:b/>
        </w:rPr>
      </w:pPr>
      <w:r>
        <w:rPr>
          <w:b/>
        </w:rPr>
        <w:t>Figure 1: Brand equity model</w:t>
      </w:r>
    </w:p>
    <w:p>
      <w:pPr>
        <w:jc w:val="center"/>
      </w:pPr>
      <w:r>
        <w:t xml:space="preserve">(Source: </w:t>
      </w:r>
      <w:r>
        <w:rPr>
          <w:color w:val="222222"/>
          <w:highlight w:val="white"/>
        </w:rPr>
        <w:t xml:space="preserve">Bielicki </w:t>
      </w:r>
      <w:r>
        <w:rPr>
          <w:i/>
          <w:color w:val="222222"/>
          <w:highlight w:val="white"/>
        </w:rPr>
        <w:t xml:space="preserve">et al., </w:t>
      </w:r>
      <w:r>
        <w:rPr>
          <w:color w:val="222222"/>
          <w:highlight w:val="white"/>
        </w:rPr>
        <w:t>2021)</w:t>
      </w:r>
    </w:p>
    <w:p>
      <w:pPr>
        <w:pStyle w:val="4"/>
      </w:pPr>
      <w:bookmarkStart w:id="13" w:name="_Toc147225795"/>
      <w:r>
        <w:t>Hotel Standards</w:t>
      </w:r>
      <w:bookmarkEnd w:id="13"/>
    </w:p>
    <w:p>
      <w:r>
        <w:t>The effective monitoring of guest association approaches anticipates a pivotal part in upholding and surpassing hotel standards. These standards are the bedrock of the hospitality industry, defining the degree of quality and association guests can anticipate during their visit (</w:t>
      </w:r>
      <w:r>
        <w:rPr>
          <w:color w:val="222222"/>
          <w:highlight w:val="white"/>
        </w:rPr>
        <w:t>Alshurideh</w:t>
      </w:r>
      <w:r>
        <w:rPr>
          <w:i/>
          <w:color w:val="222222"/>
          <w:highlight w:val="white"/>
        </w:rPr>
        <w:t xml:space="preserve">et al., </w:t>
      </w:r>
      <w:r>
        <w:rPr>
          <w:color w:val="222222"/>
          <w:highlight w:val="white"/>
        </w:rPr>
        <w:t>2022)</w:t>
      </w:r>
      <w:r>
        <w:t>. Monitoring guest association approaches guarantees that these standards are constantly met and, when key, made. It ensures that every guest investment lines up with the established hotel standards, remaining mindful of the validity of the hotel's image through committed consistency. Moreover, monitoring enables hotels to gauge guest satisfaction in real-time, considering data-driven decisions to enhance the guest experience, hence meeting or exceeding their standards. Swift issue resolution, adaptability to changing guest expectations, operational efficiency, expert preparation, and brand notoriety enhancement are enthusiastically joined to effective monitoring (</w:t>
      </w:r>
      <w:r>
        <w:rPr>
          <w:color w:val="222222"/>
          <w:highlight w:val="white"/>
        </w:rPr>
        <w:t>Buhalis</w:t>
      </w:r>
      <w:r>
        <w:rPr>
          <w:i/>
          <w:color w:val="222222"/>
          <w:highlight w:val="white"/>
        </w:rPr>
        <w:t xml:space="preserve">et al., </w:t>
      </w:r>
      <w:r>
        <w:rPr>
          <w:color w:val="222222"/>
          <w:highlight w:val="white"/>
        </w:rPr>
        <w:t>2019)</w:t>
      </w:r>
      <w:r>
        <w:t>. This cycle is major for keeping a positive standing, creating guest resolve, getting a competitive advantage, and guaranteeing extended length headway in the hospitality industry. On an exceptionally essential level, monitoring guest association approaches is the key part that guarantees hotels satisfy their established standards as well as continually evolve to fulfil the ever-changing doubts of the ongoing guests and remain at the forefront of the competitive hospitality landscape.</w:t>
      </w:r>
    </w:p>
    <w:p>
      <w:pPr>
        <w:pStyle w:val="3"/>
      </w:pPr>
      <w:bookmarkStart w:id="14" w:name="_heading=h.dzzbqzurks6o" w:colFirst="0" w:colLast="0"/>
      <w:bookmarkEnd w:id="14"/>
      <w:bookmarkStart w:id="15" w:name="_Toc147225796"/>
      <w:r>
        <w:t>Conclusion</w:t>
      </w:r>
      <w:bookmarkEnd w:id="15"/>
    </w:p>
    <w:p>
      <w:r>
        <w:t>In conclusion, the current report has focused on the importance of developing effective guest services in the hospitality industry in order to satisfy customers and increase the reputation of hotels and restaurants in the competitive market. It has presented different factors related to guest services including reputation management, service culture, brand consistency, and hotel standards which help to understand the impact of effective guest services in the hospitality industry. It has presented the way these factors affect the deputation and business performance of hotels and restaurants in the competitive market in order to ensure the necessity of implementing innovation for improving guest services.</w:t>
      </w:r>
    </w:p>
    <w:p>
      <w:pPr>
        <w:pStyle w:val="3"/>
      </w:pPr>
      <w:bookmarkStart w:id="16" w:name="_heading=h.ce6kr3960347" w:colFirst="0" w:colLast="0"/>
      <w:bookmarkEnd w:id="16"/>
      <w:bookmarkStart w:id="17" w:name="_Toc147225797"/>
      <w:r>
        <w:t>Recommendations</w:t>
      </w:r>
      <w:bookmarkEnd w:id="17"/>
    </w:p>
    <w:p>
      <w:r>
        <w:t>By analysing the above discussion it can be recommended that it is very important for the hospitality industry to improve services by implementing different strategies.</w:t>
      </w:r>
    </w:p>
    <w:p>
      <w:pPr>
        <w:widowControl w:val="0"/>
        <w:numPr>
          <w:ilvl w:val="0"/>
          <w:numId w:val="1"/>
        </w:numPr>
      </w:pPr>
      <w:r>
        <w:rPr>
          <w:b/>
        </w:rPr>
        <w:t>Improving technological infrastructure:</w:t>
      </w:r>
      <w:r>
        <w:t xml:space="preserve"> It is very important for the hospitality industry to develop effective technological infrastructure by implementing AI technology which helps to provide self-check-in and check-out opportunities and online services which help to increase the satisfaction level of customers in the hospitality industry. The online services and Technology infrastructure in the hospitality industry help to enhance the quality of customer services and improve the market visibility of hotels and restaurants in the competitive market to hold the market position. With the help of technology, this industry can achieve and determine customer engagement in this sector to gain financial advantages.</w:t>
      </w:r>
    </w:p>
    <w:p>
      <w:pPr>
        <w:widowControl w:val="0"/>
        <w:numPr>
          <w:ilvl w:val="0"/>
          <w:numId w:val="1"/>
        </w:numPr>
      </w:pPr>
      <w:r>
        <w:rPr>
          <w:b/>
        </w:rPr>
        <w:t xml:space="preserve">Focusing on customer feedback: </w:t>
      </w:r>
      <w:r>
        <w:t>The hospitality industry needs to focus on the feedback of customers by developing communication with them to understand their problems with the customer services of hotels and restaurants which helps to provide a scope of improvement. The sector can also encourage hotels and restaurants to enhance their visibility on social media platforms and collect feedback on digital platforms in order to analyse their reviews which help to attract customers and increase brand awareness.</w:t>
      </w:r>
    </w:p>
    <w:p>
      <w:r>
        <w:br w:type="page"/>
      </w:r>
    </w:p>
    <w:p>
      <w:pPr>
        <w:pStyle w:val="2"/>
      </w:pPr>
      <w:bookmarkStart w:id="18" w:name="_Toc147225798"/>
      <w:r>
        <w:t>Reference list</w:t>
      </w:r>
      <w:bookmarkEnd w:id="18"/>
    </w:p>
    <w:p>
      <w:pPr>
        <w:rPr>
          <w:color w:val="222222"/>
          <w:highlight w:val="white"/>
        </w:rPr>
      </w:pPr>
      <w:r>
        <w:rPr>
          <w:color w:val="222222"/>
          <w:highlight w:val="white"/>
        </w:rPr>
        <w:t xml:space="preserve">Lucas, R., 2022. </w:t>
      </w:r>
      <w:r>
        <w:rPr>
          <w:i/>
          <w:color w:val="222222"/>
          <w:highlight w:val="white"/>
        </w:rPr>
        <w:t>Customer service</w:t>
      </w:r>
      <w:r>
        <w:rPr>
          <w:color w:val="222222"/>
          <w:highlight w:val="white"/>
        </w:rPr>
        <w:t>. McGraw-Hill US Higher Ed USE.</w:t>
      </w:r>
    </w:p>
    <w:p>
      <w:pPr>
        <w:rPr>
          <w:color w:val="222222"/>
          <w:highlight w:val="white"/>
        </w:rPr>
      </w:pPr>
      <w:r>
        <w:rPr>
          <w:color w:val="222222"/>
          <w:highlight w:val="white"/>
        </w:rPr>
        <w:t xml:space="preserve">Raman, P., 2019. Understanding female consumers’ intention to shop online: The role of trust, convenience and customer service. </w:t>
      </w:r>
      <w:r>
        <w:rPr>
          <w:i/>
          <w:color w:val="222222"/>
          <w:highlight w:val="white"/>
        </w:rPr>
        <w:t>Asia Pacific Journal of Marketing and Logistics</w:t>
      </w:r>
      <w:r>
        <w:rPr>
          <w:color w:val="222222"/>
          <w:highlight w:val="white"/>
        </w:rPr>
        <w:t xml:space="preserve">, </w:t>
      </w:r>
      <w:r>
        <w:rPr>
          <w:i/>
          <w:color w:val="222222"/>
          <w:highlight w:val="white"/>
        </w:rPr>
        <w:t>31</w:t>
      </w:r>
      <w:r>
        <w:rPr>
          <w:color w:val="222222"/>
          <w:highlight w:val="white"/>
        </w:rPr>
        <w:t>(4), pp.1138-1160.</w:t>
      </w:r>
    </w:p>
    <w:p>
      <w:pPr>
        <w:rPr>
          <w:color w:val="222222"/>
          <w:highlight w:val="white"/>
        </w:rPr>
      </w:pPr>
      <w:r>
        <w:rPr>
          <w:color w:val="222222"/>
          <w:highlight w:val="white"/>
        </w:rPr>
        <w:t xml:space="preserve">Tien, N.H., Diem, P.T., Van On, P., Anh, V.T., Van Dat, N., Hung, N.T. and Tam, B.Q., 2021. The formation and development of the CRM system at Thien Hoa Electronics supermarket in Vietnam. </w:t>
      </w:r>
      <w:r>
        <w:rPr>
          <w:i/>
          <w:color w:val="222222"/>
          <w:highlight w:val="white"/>
        </w:rPr>
        <w:t>International Journal of Research and Growth Evaluation</w:t>
      </w:r>
      <w:r>
        <w:rPr>
          <w:color w:val="222222"/>
          <w:highlight w:val="white"/>
        </w:rPr>
        <w:t xml:space="preserve">, </w:t>
      </w:r>
      <w:r>
        <w:rPr>
          <w:i/>
          <w:color w:val="222222"/>
          <w:highlight w:val="white"/>
        </w:rPr>
        <w:t>2</w:t>
      </w:r>
      <w:r>
        <w:rPr>
          <w:color w:val="222222"/>
          <w:highlight w:val="white"/>
        </w:rPr>
        <w:t>(4), pp.752-760.</w:t>
      </w:r>
    </w:p>
    <w:p>
      <w:pPr>
        <w:rPr>
          <w:color w:val="222222"/>
          <w:highlight w:val="white"/>
        </w:rPr>
      </w:pPr>
      <w:r>
        <w:rPr>
          <w:color w:val="222222"/>
          <w:highlight w:val="white"/>
        </w:rPr>
        <w:t xml:space="preserve">Rahi, S., Ghani, M.A. and Ngah, A.H., 2020. Factors propelling the adoption of Internet banking: the role of e-customer service, website design, brand image, and customer satisfaction. </w:t>
      </w:r>
      <w:r>
        <w:rPr>
          <w:i/>
          <w:color w:val="222222"/>
          <w:highlight w:val="white"/>
        </w:rPr>
        <w:t>International Journal of Business Information Systems</w:t>
      </w:r>
      <w:r>
        <w:rPr>
          <w:color w:val="222222"/>
          <w:highlight w:val="white"/>
        </w:rPr>
        <w:t xml:space="preserve">, </w:t>
      </w:r>
      <w:r>
        <w:rPr>
          <w:i/>
          <w:color w:val="222222"/>
          <w:highlight w:val="white"/>
        </w:rPr>
        <w:t>33</w:t>
      </w:r>
      <w:r>
        <w:rPr>
          <w:color w:val="222222"/>
          <w:highlight w:val="white"/>
        </w:rPr>
        <w:t>(4), pp.549-569.</w:t>
      </w:r>
    </w:p>
    <w:p>
      <w:pPr>
        <w:rPr>
          <w:color w:val="222222"/>
          <w:highlight w:val="white"/>
        </w:rPr>
      </w:pPr>
      <w:r>
        <w:rPr>
          <w:color w:val="222222"/>
          <w:highlight w:val="white"/>
        </w:rPr>
        <w:t xml:space="preserve">Li, B., Zhong, Y., Zhang, T. and Hua, N., 2021. Transcending the COVID-19 crisis: Business resilience and innovation of the restaurant industry in China. </w:t>
      </w:r>
      <w:r>
        <w:rPr>
          <w:i/>
          <w:color w:val="222222"/>
          <w:highlight w:val="white"/>
        </w:rPr>
        <w:t>Journal of Hospitality and Tourism Management</w:t>
      </w:r>
      <w:r>
        <w:rPr>
          <w:color w:val="222222"/>
          <w:highlight w:val="white"/>
        </w:rPr>
        <w:t xml:space="preserve">, </w:t>
      </w:r>
      <w:r>
        <w:rPr>
          <w:i/>
          <w:color w:val="222222"/>
          <w:highlight w:val="white"/>
        </w:rPr>
        <w:t>49</w:t>
      </w:r>
      <w:r>
        <w:rPr>
          <w:color w:val="222222"/>
          <w:highlight w:val="white"/>
        </w:rPr>
        <w:t>, pp.44-53.</w:t>
      </w:r>
    </w:p>
    <w:p>
      <w:pPr>
        <w:rPr>
          <w:color w:val="222222"/>
          <w:highlight w:val="white"/>
        </w:rPr>
      </w:pPr>
      <w:r>
        <w:rPr>
          <w:color w:val="222222"/>
          <w:highlight w:val="white"/>
        </w:rPr>
        <w:t xml:space="preserve">Nordheim, C.B., Følstad, A. and Bjørkli, C.A., 2019. An initial model of trust in chatbots for customer service—findings from a questionnaire study. </w:t>
      </w:r>
      <w:r>
        <w:rPr>
          <w:i/>
          <w:color w:val="222222"/>
          <w:highlight w:val="white"/>
        </w:rPr>
        <w:t>Interacting with Computers</w:t>
      </w:r>
      <w:r>
        <w:rPr>
          <w:color w:val="222222"/>
          <w:highlight w:val="white"/>
        </w:rPr>
        <w:t xml:space="preserve">, </w:t>
      </w:r>
      <w:r>
        <w:rPr>
          <w:i/>
          <w:color w:val="222222"/>
          <w:highlight w:val="white"/>
        </w:rPr>
        <w:t>31</w:t>
      </w:r>
      <w:r>
        <w:rPr>
          <w:color w:val="222222"/>
          <w:highlight w:val="white"/>
        </w:rPr>
        <w:t>(3), pp.317-335.</w:t>
      </w:r>
    </w:p>
    <w:p>
      <w:pPr>
        <w:rPr>
          <w:color w:val="222222"/>
          <w:highlight w:val="white"/>
        </w:rPr>
      </w:pPr>
      <w:r>
        <w:rPr>
          <w:color w:val="222222"/>
          <w:highlight w:val="white"/>
        </w:rPr>
        <w:t>Alshurideh, M., 2022. Does electronic customer relationship management (E-CRM) affect service quality at private hospitals in Jordan?</w:t>
      </w:r>
      <w:r>
        <w:rPr>
          <w:i/>
          <w:color w:val="222222"/>
          <w:highlight w:val="white"/>
        </w:rPr>
        <w:t>Uncertain Supply Chain Management</w:t>
      </w:r>
      <w:r>
        <w:rPr>
          <w:color w:val="222222"/>
          <w:highlight w:val="white"/>
        </w:rPr>
        <w:t xml:space="preserve">, </w:t>
      </w:r>
      <w:r>
        <w:rPr>
          <w:i/>
          <w:color w:val="222222"/>
          <w:highlight w:val="white"/>
        </w:rPr>
        <w:t>10</w:t>
      </w:r>
      <w:r>
        <w:rPr>
          <w:color w:val="222222"/>
          <w:highlight w:val="white"/>
        </w:rPr>
        <w:t>(2), pp.325-332.</w:t>
      </w:r>
    </w:p>
    <w:p>
      <w:pPr>
        <w:rPr>
          <w:color w:val="222222"/>
          <w:highlight w:val="white"/>
        </w:rPr>
      </w:pPr>
      <w:r>
        <w:rPr>
          <w:color w:val="222222"/>
          <w:highlight w:val="white"/>
        </w:rPr>
        <w:t xml:space="preserve">Baek, J., Choe, Y. and Ok, C.M., 2020. Determinants of hotel guests’ service experiences: an examination of differences between lifestyle and traditional hotels. </w:t>
      </w:r>
      <w:r>
        <w:rPr>
          <w:i/>
          <w:color w:val="222222"/>
          <w:highlight w:val="white"/>
        </w:rPr>
        <w:t>Journal of Hospitality Marketing &amp; Management</w:t>
      </w:r>
      <w:r>
        <w:rPr>
          <w:color w:val="222222"/>
          <w:highlight w:val="white"/>
        </w:rPr>
        <w:t xml:space="preserve">, </w:t>
      </w:r>
      <w:r>
        <w:rPr>
          <w:i/>
          <w:color w:val="222222"/>
          <w:highlight w:val="white"/>
        </w:rPr>
        <w:t>29</w:t>
      </w:r>
      <w:r>
        <w:rPr>
          <w:color w:val="222222"/>
          <w:highlight w:val="white"/>
        </w:rPr>
        <w:t>(1), pp.88-105.</w:t>
      </w:r>
    </w:p>
    <w:p>
      <w:pPr>
        <w:rPr>
          <w:color w:val="222222"/>
          <w:highlight w:val="white"/>
        </w:rPr>
      </w:pPr>
      <w:r>
        <w:rPr>
          <w:color w:val="222222"/>
          <w:highlight w:val="white"/>
        </w:rPr>
        <w:t xml:space="preserve">Buhalis, D. and Sinarta, Y., 2019. Real-time co-creation and nowness service: lessons from tourism and hospitality. </w:t>
      </w:r>
      <w:r>
        <w:rPr>
          <w:i/>
          <w:color w:val="222222"/>
          <w:highlight w:val="white"/>
        </w:rPr>
        <w:t>Journal of Travel &amp; Tourism Marketing</w:t>
      </w:r>
      <w:r>
        <w:rPr>
          <w:color w:val="222222"/>
          <w:highlight w:val="white"/>
        </w:rPr>
        <w:t xml:space="preserve">, </w:t>
      </w:r>
      <w:r>
        <w:rPr>
          <w:i/>
          <w:color w:val="222222"/>
          <w:highlight w:val="white"/>
        </w:rPr>
        <w:t>36</w:t>
      </w:r>
      <w:r>
        <w:rPr>
          <w:color w:val="222222"/>
          <w:highlight w:val="white"/>
        </w:rPr>
        <w:t>(5), pp.563-582.</w:t>
      </w:r>
    </w:p>
    <w:p>
      <w:pPr>
        <w:rPr>
          <w:color w:val="222222"/>
          <w:highlight w:val="white"/>
        </w:rPr>
      </w:pPr>
      <w:r>
        <w:rPr>
          <w:color w:val="222222"/>
          <w:highlight w:val="white"/>
        </w:rPr>
        <w:t xml:space="preserve">Bielicki, J.A., Duval, X., Gobat, N., Goossens, H., Koopmans, M., Tacconelli, E. and van der Werf, S., 2020. Monitoring approaches for health-care workers during the COVID-19 pandemic. </w:t>
      </w:r>
      <w:r>
        <w:rPr>
          <w:i/>
          <w:color w:val="222222"/>
          <w:highlight w:val="white"/>
        </w:rPr>
        <w:t>The Lancet Infectious Diseases</w:t>
      </w:r>
      <w:r>
        <w:rPr>
          <w:color w:val="222222"/>
          <w:highlight w:val="white"/>
        </w:rPr>
        <w:t xml:space="preserve">, </w:t>
      </w:r>
      <w:r>
        <w:rPr>
          <w:i/>
          <w:color w:val="222222"/>
          <w:highlight w:val="white"/>
        </w:rPr>
        <w:t>20</w:t>
      </w:r>
      <w:r>
        <w:rPr>
          <w:color w:val="222222"/>
          <w:highlight w:val="white"/>
        </w:rPr>
        <w:t>(10), pp.e261-e267.</w:t>
      </w:r>
    </w:p>
    <w:p>
      <w:pPr>
        <w:rPr>
          <w:color w:val="222222"/>
          <w:highlight w:val="white"/>
        </w:rPr>
      </w:pPr>
      <w:r>
        <w:rPr>
          <w:color w:val="222222"/>
          <w:highlight w:val="white"/>
        </w:rPr>
        <w:t xml:space="preserve">O'Connor, R.S., Kunin, W.E., Garratt, M.P., Potts, S.G., Roy, H.E., Andrews, C., Jones, C.M., Peyton, J.M., Savage, J., Harvey, M.C. and Morris, R.K., 2019. Monitoring insect pollinators and flower visitation: The effectiveness and feasibility of different survey methods. </w:t>
      </w:r>
      <w:r>
        <w:rPr>
          <w:i/>
          <w:color w:val="222222"/>
          <w:highlight w:val="white"/>
        </w:rPr>
        <w:t>Methods in Ecology and Evolution</w:t>
      </w:r>
      <w:r>
        <w:rPr>
          <w:color w:val="222222"/>
          <w:highlight w:val="white"/>
        </w:rPr>
        <w:t xml:space="preserve">, </w:t>
      </w:r>
      <w:r>
        <w:rPr>
          <w:i/>
          <w:color w:val="222222"/>
          <w:highlight w:val="white"/>
        </w:rPr>
        <w:t>10</w:t>
      </w:r>
      <w:r>
        <w:rPr>
          <w:color w:val="222222"/>
          <w:highlight w:val="white"/>
        </w:rPr>
        <w:t>(12), pp.2129-2140.</w:t>
      </w:r>
    </w:p>
    <w:p>
      <w:pPr>
        <w:rPr>
          <w:b/>
        </w:rPr>
      </w:pPr>
    </w:p>
    <w:sectPr>
      <w:footerReference r:id="rId5" w:type="default"/>
      <w:pgSz w:w="12240" w:h="15840"/>
      <w:pgMar w:top="1440" w:right="1440" w:bottom="1440" w:left="1440" w:header="720" w:footer="720" w:gutter="0"/>
      <w:pgNumType w:start="1"/>
      <w:cols w:space="720" w:num="1"/>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Tahoma">
    <w:panose1 w:val="020B0604030504040204"/>
    <w:charset w:val="00"/>
    <w:family w:val="swiss"/>
    <w:pitch w:val="default"/>
    <w:sig w:usb0="E1002EFF" w:usb1="C000605B" w:usb2="00000029" w:usb3="00000000" w:csb0="200101FF" w:csb1="20280000"/>
  </w:font>
  <w:font w:name="Cambria">
    <w:panose1 w:val="02040503050406030204"/>
    <w:charset w:val="00"/>
    <w:family w:val="roman"/>
    <w:pitch w:val="default"/>
    <w:sig w:usb0="E00006FF" w:usb1="420024FF" w:usb2="02000000" w:usb3="00000000" w:csb0="2000019F" w:csb1="00000000"/>
  </w:font>
  <w:font w:name="Microsoft YaHei">
    <w:panose1 w:val="020B0503020204020204"/>
    <w:charset w:val="86"/>
    <w:family w:val="auto"/>
    <w:pitch w:val="default"/>
    <w:sig w:usb0="80000287" w:usb1="2ACF3C50" w:usb2="00000016" w:usb3="00000000" w:csb0="0004001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tabs>
        <w:tab w:val="center" w:pos="4513"/>
        <w:tab w:val="right" w:pos="9026"/>
      </w:tabs>
      <w:spacing w:line="240" w:lineRule="auto"/>
      <w:jc w:val="right"/>
      <w:rPr>
        <w:rFonts w:ascii="Arial" w:hAnsi="Arial" w:eastAsia="Arial" w:cs="Arial"/>
        <w:color w:val="000000"/>
        <w:sz w:val="22"/>
        <w:szCs w:val="22"/>
      </w:rPr>
    </w:pPr>
    <w:r>
      <w:rPr>
        <w:rFonts w:ascii="Arial" w:hAnsi="Arial" w:eastAsia="Arial" w:cs="Arial"/>
        <w:color w:val="000000"/>
        <w:sz w:val="22"/>
        <w:szCs w:val="22"/>
      </w:rPr>
      <w:fldChar w:fldCharType="begin"/>
    </w:r>
    <w:r>
      <w:rPr>
        <w:rFonts w:ascii="Arial" w:hAnsi="Arial" w:eastAsia="Arial" w:cs="Arial"/>
        <w:color w:val="000000"/>
        <w:sz w:val="22"/>
        <w:szCs w:val="22"/>
      </w:rPr>
      <w:instrText xml:space="preserve">PAGE</w:instrText>
    </w:r>
    <w:r>
      <w:rPr>
        <w:rFonts w:ascii="Arial" w:hAnsi="Arial" w:eastAsia="Arial" w:cs="Arial"/>
        <w:color w:val="000000"/>
        <w:sz w:val="22"/>
        <w:szCs w:val="22"/>
      </w:rPr>
      <w:fldChar w:fldCharType="separate"/>
    </w:r>
    <w:r>
      <w:rPr>
        <w:rFonts w:ascii="Arial" w:hAnsi="Arial" w:eastAsia="Arial" w:cs="Arial"/>
        <w:color w:val="000000"/>
        <w:sz w:val="22"/>
        <w:szCs w:val="22"/>
      </w:rPr>
      <w:t>2</w:t>
    </w:r>
    <w:r>
      <w:rPr>
        <w:rFonts w:ascii="Arial" w:hAnsi="Arial" w:eastAsia="Arial" w:cs="Arial"/>
        <w:color w:val="000000"/>
        <w:sz w:val="22"/>
        <w:szCs w:val="22"/>
      </w:rPr>
      <w:fldChar w:fldCharType="end"/>
    </w:r>
  </w:p>
  <w:p>
    <w:pPr>
      <w:tabs>
        <w:tab w:val="center" w:pos="4513"/>
        <w:tab w:val="right" w:pos="9026"/>
      </w:tabs>
      <w:spacing w:line="240" w:lineRule="auto"/>
      <w:jc w:val="left"/>
      <w:rPr>
        <w:rFonts w:ascii="Arial" w:hAnsi="Arial" w:eastAsia="Arial" w:cs="Arial"/>
        <w:color w:val="000000"/>
        <w:sz w:val="22"/>
        <w:szCs w:val="22"/>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360" w:lineRule="auto"/>
      </w:pPr>
      <w:r>
        <w:separator/>
      </w:r>
    </w:p>
  </w:footnote>
  <w:footnote w:type="continuationSeparator" w:id="1">
    <w:p>
      <w:pPr>
        <w:spacing w:line="36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004A4CD0"/>
    <w:multiLevelType w:val="multilevel"/>
    <w:tmpl w:val="004A4CD0"/>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4"/>
  </w:compat>
  <w:rsids>
    <w:rsidRoot w:val="00781121"/>
    <w:rsid w:val="001264C0"/>
    <w:rsid w:val="006868DA"/>
    <w:rsid w:val="00781121"/>
    <w:rsid w:val="00C54161"/>
    <w:rsid w:val="00EC3150"/>
    <w:rsid w:val="00ED4098"/>
    <w:rsid w:val="47AA21E3"/>
    <w:rsid w:val="61C51F38"/>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Times New Roma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uiPriority="39" w:semiHidden="0" w:name="toc 2"/>
    <w:lsdException w:qFormat="1"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0"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iPriority="99" w:name="Balloon Text"/>
    <w:lsdException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line="360" w:lineRule="auto"/>
      <w:jc w:val="both"/>
    </w:pPr>
    <w:rPr>
      <w:rFonts w:ascii="Times New Roman" w:hAnsi="Times New Roman" w:eastAsia="Times New Roman" w:cs="Times New Roman"/>
      <w:sz w:val="24"/>
      <w:szCs w:val="24"/>
      <w:lang w:val="en-IN" w:eastAsia="en-IN" w:bidi="ar-SA"/>
    </w:rPr>
  </w:style>
  <w:style w:type="paragraph" w:styleId="2">
    <w:name w:val="heading 1"/>
    <w:basedOn w:val="1"/>
    <w:next w:val="1"/>
    <w:qFormat/>
    <w:uiPriority w:val="9"/>
    <w:pPr>
      <w:keepNext/>
      <w:keepLines/>
      <w:spacing w:before="400" w:after="120"/>
      <w:outlineLvl w:val="0"/>
    </w:pPr>
    <w:rPr>
      <w:b/>
      <w:bCs/>
      <w:color w:val="000000" w:themeColor="text1"/>
      <w:sz w:val="32"/>
      <w:szCs w:val="32"/>
      <w14:textFill>
        <w14:solidFill>
          <w14:schemeClr w14:val="tx1"/>
        </w14:solidFill>
      </w14:textFill>
    </w:rPr>
  </w:style>
  <w:style w:type="paragraph" w:styleId="3">
    <w:name w:val="heading 2"/>
    <w:basedOn w:val="1"/>
    <w:next w:val="1"/>
    <w:unhideWhenUsed/>
    <w:qFormat/>
    <w:uiPriority w:val="9"/>
    <w:pPr>
      <w:keepNext/>
      <w:keepLines/>
      <w:spacing w:before="360" w:after="120"/>
      <w:outlineLvl w:val="1"/>
    </w:pPr>
    <w:rPr>
      <w:b/>
      <w:color w:val="000000" w:themeColor="text1"/>
      <w:sz w:val="26"/>
      <w:szCs w:val="32"/>
      <w14:textFill>
        <w14:solidFill>
          <w14:schemeClr w14:val="tx1"/>
        </w14:solidFill>
      </w14:textFill>
    </w:rPr>
  </w:style>
  <w:style w:type="paragraph" w:styleId="4">
    <w:name w:val="heading 3"/>
    <w:basedOn w:val="1"/>
    <w:next w:val="1"/>
    <w:semiHidden/>
    <w:unhideWhenUsed/>
    <w:qFormat/>
    <w:uiPriority w:val="9"/>
    <w:pPr>
      <w:keepNext/>
      <w:keepLines/>
      <w:spacing w:before="320" w:after="80"/>
      <w:outlineLvl w:val="2"/>
    </w:pPr>
    <w:rPr>
      <w:color w:val="434343"/>
      <w:sz w:val="28"/>
      <w:szCs w:val="28"/>
    </w:rPr>
  </w:style>
  <w:style w:type="paragraph" w:styleId="5">
    <w:name w:val="heading 4"/>
    <w:basedOn w:val="1"/>
    <w:next w:val="1"/>
    <w:semiHidden/>
    <w:unhideWhenUsed/>
    <w:qFormat/>
    <w:uiPriority w:val="9"/>
    <w:pPr>
      <w:keepNext/>
      <w:keepLines/>
      <w:spacing w:before="280" w:after="80"/>
      <w:outlineLvl w:val="3"/>
    </w:pPr>
    <w:rPr>
      <w:color w:val="666666"/>
    </w:rPr>
  </w:style>
  <w:style w:type="paragraph" w:styleId="6">
    <w:name w:val="heading 5"/>
    <w:basedOn w:val="1"/>
    <w:next w:val="1"/>
    <w:semiHidden/>
    <w:unhideWhenUsed/>
    <w:qFormat/>
    <w:uiPriority w:val="9"/>
    <w:pPr>
      <w:keepNext/>
      <w:keepLines/>
      <w:spacing w:before="240" w:after="80"/>
      <w:outlineLvl w:val="4"/>
    </w:pPr>
    <w:rPr>
      <w:color w:val="666666"/>
    </w:rPr>
  </w:style>
  <w:style w:type="paragraph" w:styleId="7">
    <w:name w:val="heading 6"/>
    <w:basedOn w:val="1"/>
    <w:next w:val="1"/>
    <w:semiHidden/>
    <w:unhideWhenUsed/>
    <w:qFormat/>
    <w:uiPriority w:val="9"/>
    <w:pPr>
      <w:keepNext/>
      <w:keepLines/>
      <w:spacing w:before="240" w:after="80"/>
      <w:outlineLvl w:val="5"/>
    </w:pPr>
    <w:rPr>
      <w:i/>
      <w:color w:val="666666"/>
    </w:rPr>
  </w:style>
  <w:style w:type="character" w:default="1" w:styleId="8">
    <w:name w:val="Default Paragraph Font"/>
    <w:semiHidden/>
    <w:unhideWhenUsed/>
    <w:uiPriority w:val="1"/>
  </w:style>
  <w:style w:type="table" w:default="1" w:styleId="9">
    <w:name w:val="Normal Table"/>
    <w:semiHidden/>
    <w:unhideWhenUsed/>
    <w:uiPriority w:val="99"/>
    <w:tblPr>
      <w:tblCellMar>
        <w:top w:w="0" w:type="dxa"/>
        <w:left w:w="108" w:type="dxa"/>
        <w:bottom w:w="0" w:type="dxa"/>
        <w:right w:w="108" w:type="dxa"/>
      </w:tblCellMar>
    </w:tblPr>
  </w:style>
  <w:style w:type="paragraph" w:styleId="10">
    <w:name w:val="Balloon Text"/>
    <w:basedOn w:val="1"/>
    <w:link w:val="22"/>
    <w:semiHidden/>
    <w:unhideWhenUsed/>
    <w:qFormat/>
    <w:uiPriority w:val="99"/>
    <w:pPr>
      <w:spacing w:line="240" w:lineRule="auto"/>
    </w:pPr>
    <w:rPr>
      <w:rFonts w:ascii="Tahoma" w:hAnsi="Tahoma" w:cs="Tahoma"/>
      <w:sz w:val="16"/>
      <w:szCs w:val="16"/>
    </w:rPr>
  </w:style>
  <w:style w:type="paragraph" w:styleId="11">
    <w:name w:val="footer"/>
    <w:basedOn w:val="1"/>
    <w:link w:val="21"/>
    <w:unhideWhenUsed/>
    <w:qFormat/>
    <w:uiPriority w:val="99"/>
    <w:pPr>
      <w:tabs>
        <w:tab w:val="center" w:pos="4513"/>
        <w:tab w:val="right" w:pos="9026"/>
      </w:tabs>
      <w:spacing w:line="240" w:lineRule="auto"/>
    </w:pPr>
  </w:style>
  <w:style w:type="paragraph" w:styleId="12">
    <w:name w:val="header"/>
    <w:basedOn w:val="1"/>
    <w:link w:val="20"/>
    <w:unhideWhenUsed/>
    <w:qFormat/>
    <w:uiPriority w:val="99"/>
    <w:pPr>
      <w:tabs>
        <w:tab w:val="center" w:pos="4513"/>
        <w:tab w:val="right" w:pos="9026"/>
      </w:tabs>
      <w:spacing w:line="240" w:lineRule="auto"/>
    </w:pPr>
  </w:style>
  <w:style w:type="character" w:styleId="13">
    <w:name w:val="Hyperlink"/>
    <w:basedOn w:val="8"/>
    <w:unhideWhenUsed/>
    <w:qFormat/>
    <w:uiPriority w:val="99"/>
    <w:rPr>
      <w:color w:val="0000FF" w:themeColor="hyperlink"/>
      <w:u w:val="single"/>
      <w14:textFill>
        <w14:solidFill>
          <w14:schemeClr w14:val="hlink"/>
        </w14:solidFill>
      </w14:textFill>
    </w:rPr>
  </w:style>
  <w:style w:type="paragraph" w:styleId="14">
    <w:name w:val="Subtitle"/>
    <w:basedOn w:val="1"/>
    <w:next w:val="1"/>
    <w:qFormat/>
    <w:uiPriority w:val="0"/>
    <w:pPr>
      <w:keepNext/>
      <w:keepLines/>
      <w:spacing w:after="320"/>
    </w:pPr>
    <w:rPr>
      <w:color w:val="666666"/>
      <w:sz w:val="30"/>
      <w:szCs w:val="30"/>
    </w:rPr>
  </w:style>
  <w:style w:type="paragraph" w:styleId="15">
    <w:name w:val="Title"/>
    <w:basedOn w:val="1"/>
    <w:next w:val="1"/>
    <w:qFormat/>
    <w:uiPriority w:val="10"/>
    <w:pPr>
      <w:keepNext/>
      <w:keepLines/>
      <w:spacing w:after="60"/>
    </w:pPr>
    <w:rPr>
      <w:sz w:val="52"/>
      <w:szCs w:val="52"/>
    </w:rPr>
  </w:style>
  <w:style w:type="paragraph" w:styleId="16">
    <w:name w:val="toc 1"/>
    <w:basedOn w:val="1"/>
    <w:next w:val="1"/>
    <w:unhideWhenUsed/>
    <w:qFormat/>
    <w:uiPriority w:val="39"/>
    <w:pPr>
      <w:spacing w:after="100"/>
    </w:pPr>
  </w:style>
  <w:style w:type="paragraph" w:styleId="17">
    <w:name w:val="toc 2"/>
    <w:basedOn w:val="1"/>
    <w:next w:val="1"/>
    <w:unhideWhenUsed/>
    <w:uiPriority w:val="39"/>
    <w:pPr>
      <w:spacing w:after="100"/>
      <w:ind w:left="220"/>
    </w:pPr>
  </w:style>
  <w:style w:type="paragraph" w:styleId="18">
    <w:name w:val="toc 3"/>
    <w:basedOn w:val="1"/>
    <w:next w:val="1"/>
    <w:unhideWhenUsed/>
    <w:qFormat/>
    <w:uiPriority w:val="39"/>
    <w:pPr>
      <w:spacing w:after="100"/>
      <w:ind w:left="480"/>
    </w:pPr>
  </w:style>
  <w:style w:type="paragraph" w:customStyle="1" w:styleId="19">
    <w:name w:val="TOC Heading1"/>
    <w:basedOn w:val="2"/>
    <w:next w:val="1"/>
    <w:unhideWhenUsed/>
    <w:qFormat/>
    <w:uiPriority w:val="39"/>
    <w:pPr>
      <w:spacing w:before="240" w:after="0" w:line="259" w:lineRule="auto"/>
      <w:jc w:val="left"/>
      <w:outlineLvl w:val="9"/>
    </w:pPr>
    <w:rPr>
      <w:rFonts w:asciiTheme="majorHAnsi" w:hAnsiTheme="majorHAnsi" w:eastAsiaTheme="majorEastAsia" w:cstheme="majorBidi"/>
      <w:b w:val="0"/>
      <w:color w:val="376092" w:themeColor="accent1" w:themeShade="BF"/>
      <w:lang w:val="en-US" w:eastAsia="en-US"/>
    </w:rPr>
  </w:style>
  <w:style w:type="character" w:customStyle="1" w:styleId="20">
    <w:name w:val="Header Char"/>
    <w:basedOn w:val="8"/>
    <w:link w:val="12"/>
    <w:uiPriority w:val="99"/>
  </w:style>
  <w:style w:type="character" w:customStyle="1" w:styleId="21">
    <w:name w:val="Footer Char"/>
    <w:basedOn w:val="8"/>
    <w:link w:val="11"/>
    <w:qFormat/>
    <w:uiPriority w:val="99"/>
  </w:style>
  <w:style w:type="character" w:customStyle="1" w:styleId="22">
    <w:name w:val="Balloon Text Char"/>
    <w:basedOn w:val="8"/>
    <w:link w:val="10"/>
    <w:semiHidden/>
    <w:qFormat/>
    <w:uiPriority w:val="99"/>
    <w:rPr>
      <w:rFonts w:ascii="Tahoma" w:hAnsi="Tahoma" w:cs="Tahoma"/>
      <w:sz w:val="16"/>
      <w:szCs w:val="16"/>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1.xml"/><Relationship Id="rId8" Type="http://schemas.openxmlformats.org/officeDocument/2006/relationships/numbering" Target="numbering.xml"/><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lAnIgxl+5vCZLeOPyf3RICw8rSA==">CgMxLjAyDmguYmMzcGVhajV5cXUxMghoLmdqZGd4czIOaC4xYmhtbW44MXR6YzUyDmguZmNlc2Y2dzVpeDh0MgloLjMwajB6bGwyDmguMzFxN3A2NjZhOXo1Mg5oLjRrY2traG9iMjk3NTIOaC4zejNubDc3N2N2aGsyCWguMWZvYjl0ZTIJaC4zem55c2g3MgloLjJldDkycDAyCGgudHlqY3d0MgloLjNkeTZ2a20yDmguZHp6YnF6dXJrczZvMg5oLmNlNmtyMzk2MDM0NzIJaC4xdDNoNXNmOAByITFYaXk4TDMzUkNJOWFXS0FhRmdiSjNaNFo4enZKMEdPTg==</go:docsCustomData>
</go:gDocsCustomXmlDataStorage>
</file>

<file path=customXml/itemProps1.xml><?xml version="1.0" encoding="utf-8"?>
<ds:datastoreItem xmlns:ds="http://schemas.openxmlformats.org/officeDocument/2006/customXml" ds:itemID="{11111111-1234-1234-1234-123412341234}">
  <ds:schemaRefs/>
</ds:datastoreItem>
</file>

<file path=docProps/app.xml><?xml version="1.0" encoding="utf-8"?>
<Properties xmlns="http://schemas.openxmlformats.org/officeDocument/2006/extended-properties" xmlns:vt="http://schemas.openxmlformats.org/officeDocument/2006/docPropsVTypes">
  <Template>Normal</Template>
  <Pages>1</Pages>
  <Words>2222</Words>
  <Characters>12668</Characters>
  <Lines>105</Lines>
  <Paragraphs>29</Paragraphs>
  <TotalTime>1</TotalTime>
  <ScaleCrop>false</ScaleCrop>
  <LinksUpToDate>false</LinksUpToDate>
  <CharactersWithSpaces>14861</CharactersWithSpaces>
  <Application>WPS Office_12.2.0.13215_F1E327BC-269C-435d-A152-05C5408002CA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2023-09-29T12:30:00Z</dcterms:created>
  <dc:creator>Alina</dc:creator>
  <cp:lastModifiedBy>Alina</cp:lastModifiedBy>
  <dcterms:modified xsi:type="dcterms:W3CDTF">2023-10-09T18:48:35Z</dcterms:modified>
  <cp:revision>4</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b38d52f4c995c4852114f0d6883091fdc6ea23aa1bbdd284c930c9117817e612</vt:lpwstr>
  </property>
  <property fmtid="{D5CDD505-2E9C-101B-9397-08002B2CF9AE}" pid="3" name="KSOProductBuildVer">
    <vt:lpwstr>2057-12.2.0.13215</vt:lpwstr>
  </property>
  <property fmtid="{D5CDD505-2E9C-101B-9397-08002B2CF9AE}" pid="4" name="ICV">
    <vt:lpwstr>96939A24683047EE9A307EAAA9C39A00_12</vt:lpwstr>
  </property>
</Properties>
</file>