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13F5" w:rsidRPr="00CC6641" w:rsidRDefault="006A77AB" w:rsidP="00A613F5">
      <w:pPr>
        <w:jc w:val="center"/>
        <w:rPr>
          <w:b/>
          <w:sz w:val="24"/>
          <w:u w:val="single"/>
        </w:rPr>
      </w:pPr>
      <w:r>
        <w:rPr>
          <w:b/>
          <w:sz w:val="24"/>
          <w:u w:val="single"/>
        </w:rPr>
        <w:t>What is ‘Religion’</w:t>
      </w:r>
      <w:r w:rsidR="00CC6641">
        <w:rPr>
          <w:b/>
          <w:sz w:val="24"/>
          <w:u w:val="single"/>
        </w:rPr>
        <w:t>?</w:t>
      </w:r>
    </w:p>
    <w:p w:rsidR="00A613F5" w:rsidRDefault="00CC6641" w:rsidP="00A613F5">
      <w:pPr>
        <w:rPr>
          <w:sz w:val="24"/>
        </w:rPr>
      </w:pPr>
      <w:r>
        <w:rPr>
          <w:sz w:val="24"/>
        </w:rPr>
        <w:t xml:space="preserve">Debate and discussion of ‘religion’ has been practised by scholars and philosophers since time immemorial but the very concept of what we call ‘religion’ is purely a result of western academia. </w:t>
      </w:r>
      <w:r w:rsidR="00646398">
        <w:rPr>
          <w:sz w:val="24"/>
        </w:rPr>
        <w:t>In non-European cultures, it is very difficult or impossible to define</w:t>
      </w:r>
      <w:r w:rsidR="00F846A7">
        <w:rPr>
          <w:sz w:val="24"/>
        </w:rPr>
        <w:t xml:space="preserve"> ‘religion’ as a </w:t>
      </w:r>
      <w:r w:rsidR="008F2308">
        <w:rPr>
          <w:sz w:val="24"/>
        </w:rPr>
        <w:t>separate</w:t>
      </w:r>
      <w:r w:rsidR="00F846A7">
        <w:rPr>
          <w:sz w:val="24"/>
        </w:rPr>
        <w:t xml:space="preserve"> entity</w:t>
      </w:r>
      <w:r w:rsidR="008F2308">
        <w:rPr>
          <w:sz w:val="24"/>
        </w:rPr>
        <w:t xml:space="preserve"> in and of itself</w:t>
      </w:r>
      <w:r w:rsidR="00646398">
        <w:rPr>
          <w:sz w:val="24"/>
        </w:rPr>
        <w:t xml:space="preserve">. </w:t>
      </w:r>
      <w:r w:rsidR="008E74AE">
        <w:rPr>
          <w:sz w:val="24"/>
        </w:rPr>
        <w:t xml:space="preserve">However, in western academia the subject ‘religion’ is discussed greatly. </w:t>
      </w:r>
      <w:r w:rsidR="00610B24">
        <w:rPr>
          <w:sz w:val="24"/>
        </w:rPr>
        <w:t xml:space="preserve">Therefore, there have arisen many </w:t>
      </w:r>
      <w:r w:rsidR="00444C4F">
        <w:rPr>
          <w:sz w:val="24"/>
        </w:rPr>
        <w:t>arguments on wh</w:t>
      </w:r>
      <w:r w:rsidR="006A77AB">
        <w:rPr>
          <w:sz w:val="24"/>
        </w:rPr>
        <w:t>at</w:t>
      </w:r>
      <w:r w:rsidR="00610B24">
        <w:rPr>
          <w:sz w:val="24"/>
        </w:rPr>
        <w:t xml:space="preserve"> </w:t>
      </w:r>
      <w:r w:rsidR="009C037E">
        <w:rPr>
          <w:sz w:val="24"/>
        </w:rPr>
        <w:t>‘religion’</w:t>
      </w:r>
      <w:r w:rsidR="00444C4F">
        <w:rPr>
          <w:sz w:val="24"/>
        </w:rPr>
        <w:t xml:space="preserve"> </w:t>
      </w:r>
      <w:r w:rsidR="006A77AB">
        <w:rPr>
          <w:sz w:val="24"/>
        </w:rPr>
        <w:t>is</w:t>
      </w:r>
    </w:p>
    <w:p w:rsidR="009C037E" w:rsidRDefault="006A77AB" w:rsidP="00A613F5">
      <w:pPr>
        <w:rPr>
          <w:sz w:val="24"/>
        </w:rPr>
      </w:pPr>
      <w:r>
        <w:rPr>
          <w:sz w:val="24"/>
        </w:rPr>
        <w:t>The term ‘religion’ is evolved from the Latin word</w:t>
      </w:r>
      <w:r w:rsidR="00F810B3">
        <w:rPr>
          <w:sz w:val="24"/>
        </w:rPr>
        <w:t xml:space="preserve"> ‘</w:t>
      </w:r>
      <w:proofErr w:type="spellStart"/>
      <w:r w:rsidR="00F810B3" w:rsidRPr="00F810B3">
        <w:rPr>
          <w:i/>
          <w:sz w:val="24"/>
        </w:rPr>
        <w:t>religare</w:t>
      </w:r>
      <w:proofErr w:type="spellEnd"/>
      <w:r w:rsidR="00F810B3">
        <w:rPr>
          <w:sz w:val="24"/>
        </w:rPr>
        <w:t>’;</w:t>
      </w:r>
      <w:r w:rsidR="00F810B3" w:rsidRPr="00F810B3">
        <w:rPr>
          <w:sz w:val="24"/>
        </w:rPr>
        <w:t xml:space="preserve"> </w:t>
      </w:r>
      <w:r w:rsidR="00F810B3" w:rsidRPr="00F810B3">
        <w:rPr>
          <w:i/>
          <w:sz w:val="24"/>
        </w:rPr>
        <w:t>re</w:t>
      </w:r>
      <w:r w:rsidR="00F810B3" w:rsidRPr="00F810B3">
        <w:rPr>
          <w:sz w:val="24"/>
        </w:rPr>
        <w:t xml:space="preserve">- (again) </w:t>
      </w:r>
      <w:r w:rsidR="00F810B3">
        <w:rPr>
          <w:sz w:val="24"/>
        </w:rPr>
        <w:t>and</w:t>
      </w:r>
      <w:r w:rsidR="00F810B3" w:rsidRPr="00F810B3">
        <w:rPr>
          <w:sz w:val="24"/>
        </w:rPr>
        <w:t xml:space="preserve"> </w:t>
      </w:r>
      <w:proofErr w:type="spellStart"/>
      <w:r w:rsidR="00F810B3" w:rsidRPr="00F810B3">
        <w:rPr>
          <w:i/>
          <w:sz w:val="24"/>
        </w:rPr>
        <w:t>ligare</w:t>
      </w:r>
      <w:proofErr w:type="spellEnd"/>
      <w:r w:rsidR="00F810B3" w:rsidRPr="00F810B3">
        <w:rPr>
          <w:sz w:val="24"/>
        </w:rPr>
        <w:t xml:space="preserve"> "to reconnect"</w:t>
      </w:r>
      <w:r w:rsidR="00F810B3">
        <w:rPr>
          <w:sz w:val="24"/>
        </w:rPr>
        <w:t xml:space="preserve">. Simply religion means to “tie back to one’s source”. Up until the nineteenth century it was used solely to refer to the three major Abrahamic faiths (Being Christianity, Islam, and Judaism). This was due to the increased interest in the debate over other faiths and the </w:t>
      </w:r>
      <w:r w:rsidR="00505746">
        <w:rPr>
          <w:sz w:val="24"/>
        </w:rPr>
        <w:t xml:space="preserve">introduction of religion as a part of society and culture that could be studied as put forward by </w:t>
      </w:r>
      <w:r w:rsidR="00505746" w:rsidRPr="00505746">
        <w:rPr>
          <w:sz w:val="24"/>
        </w:rPr>
        <w:t>Émile Durkheim</w:t>
      </w:r>
      <w:r w:rsidR="00505746">
        <w:rPr>
          <w:sz w:val="24"/>
        </w:rPr>
        <w:t xml:space="preserve"> in his book </w:t>
      </w:r>
      <w:r w:rsidR="00505746">
        <w:rPr>
          <w:i/>
          <w:sz w:val="24"/>
        </w:rPr>
        <w:t xml:space="preserve">‘The Elementary Forms of Religious Life’ </w:t>
      </w:r>
      <w:r w:rsidR="00505746">
        <w:rPr>
          <w:sz w:val="24"/>
        </w:rPr>
        <w:t>(1911).</w:t>
      </w:r>
    </w:p>
    <w:p w:rsidR="00505746" w:rsidRDefault="00505746" w:rsidP="00A613F5">
      <w:pPr>
        <w:rPr>
          <w:sz w:val="24"/>
        </w:rPr>
      </w:pPr>
      <w:r>
        <w:rPr>
          <w:sz w:val="24"/>
        </w:rPr>
        <w:t xml:space="preserve">But how does one define religion? </w:t>
      </w:r>
      <w:r w:rsidR="00254B09">
        <w:rPr>
          <w:sz w:val="24"/>
        </w:rPr>
        <w:t>There are problems in defining something that for most is undefinable</w:t>
      </w:r>
      <w:r w:rsidR="00EF25AD">
        <w:rPr>
          <w:sz w:val="24"/>
        </w:rPr>
        <w:t xml:space="preserve"> and exists solely within academic thought</w:t>
      </w:r>
      <w:r w:rsidR="00254B09">
        <w:rPr>
          <w:sz w:val="24"/>
        </w:rPr>
        <w:t xml:space="preserve">. </w:t>
      </w:r>
      <w:r w:rsidR="00254B09" w:rsidRPr="00254B09">
        <w:rPr>
          <w:sz w:val="24"/>
        </w:rPr>
        <w:t>Jonathan Z. Smith</w:t>
      </w:r>
      <w:r w:rsidR="00254B09">
        <w:rPr>
          <w:sz w:val="24"/>
        </w:rPr>
        <w:t xml:space="preserve"> illustrates this in his 1982 book ‘</w:t>
      </w:r>
      <w:r w:rsidR="00254B09">
        <w:rPr>
          <w:i/>
          <w:sz w:val="24"/>
        </w:rPr>
        <w:t>Imagining Religion’</w:t>
      </w:r>
      <w:r w:rsidR="00254B09">
        <w:rPr>
          <w:sz w:val="24"/>
        </w:rPr>
        <w:t>: “</w:t>
      </w:r>
      <w:r w:rsidR="00254B09" w:rsidRPr="00254B09">
        <w:rPr>
          <w:sz w:val="24"/>
        </w:rPr>
        <w:t>There is no data for religion. Religion is solely the creation of the scholar’s study. It is created for the scholar’s analytic purposes by his imaginative acts of comparison and generalization. Religion has no independent existence apart from the academy. For this reason, the student of religion, and most particular the historian of religion, must be relentlessly self-conscious. Indeed, this self-consciousness constitutes his primary expertise, his foremost object of study.</w:t>
      </w:r>
      <w:r w:rsidR="00254B09">
        <w:rPr>
          <w:sz w:val="24"/>
        </w:rPr>
        <w:t>”</w:t>
      </w:r>
      <w:sdt>
        <w:sdtPr>
          <w:rPr>
            <w:sz w:val="24"/>
          </w:rPr>
          <w:id w:val="1965386586"/>
          <w:citation/>
        </w:sdtPr>
        <w:sdtContent>
          <w:r w:rsidR="00254B09">
            <w:rPr>
              <w:sz w:val="24"/>
            </w:rPr>
            <w:fldChar w:fldCharType="begin"/>
          </w:r>
          <w:r w:rsidR="00254B09">
            <w:rPr>
              <w:sz w:val="24"/>
            </w:rPr>
            <w:instrText xml:space="preserve"> CITATION Smi82 \l 2057 </w:instrText>
          </w:r>
          <w:r w:rsidR="00254B09">
            <w:rPr>
              <w:sz w:val="24"/>
            </w:rPr>
            <w:fldChar w:fldCharType="separate"/>
          </w:r>
          <w:r w:rsidR="00254B09">
            <w:rPr>
              <w:noProof/>
              <w:sz w:val="24"/>
            </w:rPr>
            <w:t xml:space="preserve"> </w:t>
          </w:r>
          <w:r w:rsidR="00254B09" w:rsidRPr="00254B09">
            <w:rPr>
              <w:noProof/>
              <w:sz w:val="24"/>
            </w:rPr>
            <w:t>(Smith, 1982)</w:t>
          </w:r>
          <w:r w:rsidR="00254B09">
            <w:rPr>
              <w:sz w:val="24"/>
            </w:rPr>
            <w:fldChar w:fldCharType="end"/>
          </w:r>
        </w:sdtContent>
      </w:sdt>
      <w:r w:rsidR="00F50D5E">
        <w:rPr>
          <w:sz w:val="24"/>
        </w:rPr>
        <w:t xml:space="preserve"> </w:t>
      </w:r>
      <w:r w:rsidR="00AB0ABF">
        <w:rPr>
          <w:sz w:val="24"/>
        </w:rPr>
        <w:t>.</w:t>
      </w:r>
    </w:p>
    <w:p w:rsidR="00BB4266" w:rsidRDefault="00BB4266" w:rsidP="00A613F5">
      <w:pPr>
        <w:rPr>
          <w:sz w:val="24"/>
        </w:rPr>
      </w:pPr>
      <w:r>
        <w:rPr>
          <w:sz w:val="24"/>
        </w:rPr>
        <w:t xml:space="preserve">Additionally, Willi Braun of the University of Alberta in Canada highlighted the difficulty of </w:t>
      </w:r>
      <w:r w:rsidR="00AB0ABF">
        <w:rPr>
          <w:sz w:val="24"/>
        </w:rPr>
        <w:t xml:space="preserve">finding a definition of religion. This is because religion is not a real substance that can be quantified or constrained by definition; it is a concept </w:t>
      </w:r>
      <w:sdt>
        <w:sdtPr>
          <w:rPr>
            <w:sz w:val="24"/>
          </w:rPr>
          <w:id w:val="-194085930"/>
          <w:citation/>
        </w:sdtPr>
        <w:sdtContent>
          <w:r w:rsidR="00AB0ABF">
            <w:rPr>
              <w:sz w:val="24"/>
            </w:rPr>
            <w:fldChar w:fldCharType="begin"/>
          </w:r>
          <w:r w:rsidR="00AB0ABF">
            <w:rPr>
              <w:sz w:val="24"/>
            </w:rPr>
            <w:instrText xml:space="preserve"> CITATION Wil00 \l 2057 </w:instrText>
          </w:r>
          <w:r w:rsidR="00AB0ABF">
            <w:rPr>
              <w:sz w:val="24"/>
            </w:rPr>
            <w:fldChar w:fldCharType="separate"/>
          </w:r>
          <w:r w:rsidR="00AB0ABF" w:rsidRPr="00AB0ABF">
            <w:rPr>
              <w:noProof/>
              <w:sz w:val="24"/>
            </w:rPr>
            <w:t>(Braun, 2000)</w:t>
          </w:r>
          <w:r w:rsidR="00AB0ABF">
            <w:rPr>
              <w:sz w:val="24"/>
            </w:rPr>
            <w:fldChar w:fldCharType="end"/>
          </w:r>
        </w:sdtContent>
      </w:sdt>
      <w:r w:rsidR="00AB0ABF">
        <w:rPr>
          <w:sz w:val="24"/>
        </w:rPr>
        <w:t xml:space="preserve">. </w:t>
      </w:r>
    </w:p>
    <w:p w:rsidR="005A37EF" w:rsidRDefault="005A37EF" w:rsidP="00A613F5">
      <w:pPr>
        <w:rPr>
          <w:sz w:val="24"/>
        </w:rPr>
      </w:pPr>
      <w:r>
        <w:rPr>
          <w:sz w:val="24"/>
        </w:rPr>
        <w:t>However, many have attempted to define what constitutes a religion</w:t>
      </w:r>
      <w:r w:rsidR="001F1289">
        <w:rPr>
          <w:sz w:val="24"/>
        </w:rPr>
        <w:t xml:space="preserve"> such as Mircea Eliade. Eliade defined religion as the manifestation of the sacred (“</w:t>
      </w:r>
      <w:proofErr w:type="spellStart"/>
      <w:r w:rsidR="001F1289">
        <w:rPr>
          <w:sz w:val="24"/>
        </w:rPr>
        <w:t>hierophany</w:t>
      </w:r>
      <w:proofErr w:type="spellEnd"/>
      <w:r w:rsidR="001F1289">
        <w:rPr>
          <w:sz w:val="24"/>
        </w:rPr>
        <w:t>”</w:t>
      </w:r>
      <w:r w:rsidR="00B544D6">
        <w:rPr>
          <w:sz w:val="24"/>
        </w:rPr>
        <w:t xml:space="preserve">) in an occasion, place, or object and the patterns and beliefs that arise from that; as opposed to the profane which has no special qualities. However, this definition relies on the notion of ‘sacred’ being apart from the ‘profane’. </w:t>
      </w:r>
      <w:r w:rsidR="00F70CDA">
        <w:rPr>
          <w:sz w:val="24"/>
        </w:rPr>
        <w:t xml:space="preserve">This is highlighted by </w:t>
      </w:r>
      <w:r w:rsidR="00F70CDA" w:rsidRPr="00F70CDA">
        <w:rPr>
          <w:sz w:val="24"/>
        </w:rPr>
        <w:t xml:space="preserve">Grant </w:t>
      </w:r>
      <w:proofErr w:type="spellStart"/>
      <w:r w:rsidR="00F70CDA" w:rsidRPr="00F70CDA">
        <w:rPr>
          <w:sz w:val="24"/>
        </w:rPr>
        <w:t>Bulltail</w:t>
      </w:r>
      <w:proofErr w:type="spellEnd"/>
      <w:r w:rsidR="00F70CDA" w:rsidRPr="00F70CDA">
        <w:rPr>
          <w:sz w:val="24"/>
        </w:rPr>
        <w:t xml:space="preserve">, an </w:t>
      </w:r>
      <w:proofErr w:type="spellStart"/>
      <w:r w:rsidR="00F70CDA" w:rsidRPr="00F70CDA">
        <w:rPr>
          <w:sz w:val="24"/>
        </w:rPr>
        <w:t>Apsáalooke</w:t>
      </w:r>
      <w:proofErr w:type="spellEnd"/>
      <w:r w:rsidR="00F70CDA" w:rsidRPr="00F70CDA">
        <w:rPr>
          <w:sz w:val="24"/>
        </w:rPr>
        <w:t xml:space="preserve"> (Crow) elder</w:t>
      </w:r>
      <w:r w:rsidR="00F70CDA">
        <w:rPr>
          <w:sz w:val="24"/>
        </w:rPr>
        <w:t xml:space="preserve"> during an interview at the important site of Heart Mountain in 2003: “</w:t>
      </w:r>
      <w:r w:rsidR="00F70CDA" w:rsidRPr="00F70CDA">
        <w:rPr>
          <w:sz w:val="24"/>
        </w:rPr>
        <w:t>I don't want to call it a sacred site because your idea of something sacred and my idea of something sacred are a little bit different.</w:t>
      </w:r>
      <w:r w:rsidR="00F70CDA">
        <w:rPr>
          <w:sz w:val="24"/>
        </w:rPr>
        <w:t xml:space="preserve">” </w:t>
      </w:r>
      <w:sdt>
        <w:sdtPr>
          <w:rPr>
            <w:sz w:val="24"/>
          </w:rPr>
          <w:id w:val="-1141032469"/>
          <w:citation/>
        </w:sdtPr>
        <w:sdtContent>
          <w:r w:rsidR="00F70CDA">
            <w:rPr>
              <w:sz w:val="24"/>
            </w:rPr>
            <w:fldChar w:fldCharType="begin"/>
          </w:r>
          <w:r w:rsidR="00F70CDA">
            <w:rPr>
              <w:sz w:val="24"/>
            </w:rPr>
            <w:instrText xml:space="preserve"> CITATION Mar14 \l 2057 </w:instrText>
          </w:r>
          <w:r w:rsidR="00F70CDA">
            <w:rPr>
              <w:sz w:val="24"/>
            </w:rPr>
            <w:fldChar w:fldCharType="separate"/>
          </w:r>
          <w:r w:rsidR="00F70CDA" w:rsidRPr="00F70CDA">
            <w:rPr>
              <w:noProof/>
              <w:sz w:val="24"/>
            </w:rPr>
            <w:t>(Keller, 2014)</w:t>
          </w:r>
          <w:r w:rsidR="00F70CDA">
            <w:rPr>
              <w:sz w:val="24"/>
            </w:rPr>
            <w:fldChar w:fldCharType="end"/>
          </w:r>
        </w:sdtContent>
      </w:sdt>
    </w:p>
    <w:p w:rsidR="00F70CDA" w:rsidRDefault="00F70CDA" w:rsidP="00A613F5">
      <w:pPr>
        <w:rPr>
          <w:rFonts w:cstheme="minorHAnsi"/>
          <w:iCs/>
          <w:color w:val="222222"/>
          <w:sz w:val="24"/>
          <w:szCs w:val="21"/>
          <w:shd w:val="clear" w:color="auto" w:fill="FFFFFF"/>
        </w:rPr>
      </w:pPr>
      <w:r>
        <w:rPr>
          <w:sz w:val="24"/>
        </w:rPr>
        <w:t xml:space="preserve">A definition that avoids this problem of definitions not being widely applicable is </w:t>
      </w:r>
      <w:proofErr w:type="spellStart"/>
      <w:r>
        <w:rPr>
          <w:sz w:val="24"/>
        </w:rPr>
        <w:t>Ninian</w:t>
      </w:r>
      <w:proofErr w:type="spellEnd"/>
      <w:r>
        <w:rPr>
          <w:sz w:val="24"/>
        </w:rPr>
        <w:t xml:space="preserve"> Smart’s seven dimensions of religion. </w:t>
      </w:r>
      <w:r w:rsidR="008C4FBA">
        <w:rPr>
          <w:sz w:val="24"/>
        </w:rPr>
        <w:t>Smart avoids defining religion but instead labels religion as an activity that follows seven elements that are found in almost all religions. These are Doctrinal, mythological</w:t>
      </w:r>
      <w:r w:rsidR="00E535BC">
        <w:rPr>
          <w:sz w:val="24"/>
        </w:rPr>
        <w:t xml:space="preserve">, Ethical, Ritual, </w:t>
      </w:r>
      <w:proofErr w:type="spellStart"/>
      <w:r w:rsidR="00E535BC">
        <w:rPr>
          <w:sz w:val="24"/>
        </w:rPr>
        <w:t>Experiental</w:t>
      </w:r>
      <w:proofErr w:type="spellEnd"/>
      <w:r w:rsidR="00E535BC">
        <w:rPr>
          <w:sz w:val="24"/>
        </w:rPr>
        <w:t>, social, and (added in 1989 in his book ‘</w:t>
      </w:r>
      <w:r w:rsidR="00E535BC" w:rsidRPr="00E535BC">
        <w:rPr>
          <w:rFonts w:cstheme="minorHAnsi"/>
          <w:i/>
          <w:iCs/>
          <w:color w:val="222222"/>
          <w:sz w:val="24"/>
          <w:szCs w:val="21"/>
          <w:shd w:val="clear" w:color="auto" w:fill="FFFFFF"/>
        </w:rPr>
        <w:t>The World's Religions</w:t>
      </w:r>
      <w:r w:rsidR="00E535BC">
        <w:rPr>
          <w:rFonts w:cstheme="minorHAnsi"/>
          <w:i/>
          <w:iCs/>
          <w:color w:val="222222"/>
          <w:sz w:val="24"/>
          <w:szCs w:val="21"/>
          <w:shd w:val="clear" w:color="auto" w:fill="FFFFFF"/>
        </w:rPr>
        <w:t>’</w:t>
      </w:r>
      <w:r w:rsidR="00E535BC">
        <w:rPr>
          <w:rFonts w:cstheme="minorHAnsi"/>
          <w:iCs/>
          <w:color w:val="222222"/>
          <w:sz w:val="24"/>
          <w:szCs w:val="21"/>
          <w:shd w:val="clear" w:color="auto" w:fill="FFFFFF"/>
        </w:rPr>
        <w:t xml:space="preserve">) Material. </w:t>
      </w:r>
      <w:sdt>
        <w:sdtPr>
          <w:rPr>
            <w:rFonts w:cstheme="minorHAnsi"/>
            <w:iCs/>
            <w:color w:val="222222"/>
            <w:sz w:val="24"/>
            <w:szCs w:val="21"/>
            <w:shd w:val="clear" w:color="auto" w:fill="FFFFFF"/>
          </w:rPr>
          <w:id w:val="-161096569"/>
          <w:citation/>
        </w:sdtPr>
        <w:sdtContent>
          <w:r w:rsidR="00E535BC">
            <w:rPr>
              <w:rFonts w:cstheme="minorHAnsi"/>
              <w:iCs/>
              <w:color w:val="222222"/>
              <w:sz w:val="24"/>
              <w:szCs w:val="21"/>
              <w:shd w:val="clear" w:color="auto" w:fill="FFFFFF"/>
            </w:rPr>
            <w:fldChar w:fldCharType="begin"/>
          </w:r>
          <w:r w:rsidR="00E535BC">
            <w:rPr>
              <w:rFonts w:cstheme="minorHAnsi"/>
              <w:iCs/>
              <w:color w:val="222222"/>
              <w:sz w:val="24"/>
              <w:szCs w:val="21"/>
              <w:shd w:val="clear" w:color="auto" w:fill="FFFFFF"/>
            </w:rPr>
            <w:instrText xml:space="preserve"> CITATION Sma68 \l 2057 </w:instrText>
          </w:r>
          <w:r w:rsidR="00E535BC">
            <w:rPr>
              <w:rFonts w:cstheme="minorHAnsi"/>
              <w:iCs/>
              <w:color w:val="222222"/>
              <w:sz w:val="24"/>
              <w:szCs w:val="21"/>
              <w:shd w:val="clear" w:color="auto" w:fill="FFFFFF"/>
            </w:rPr>
            <w:fldChar w:fldCharType="separate"/>
          </w:r>
          <w:r w:rsidR="00E535BC" w:rsidRPr="00E535BC">
            <w:rPr>
              <w:rFonts w:cstheme="minorHAnsi"/>
              <w:noProof/>
              <w:color w:val="222222"/>
              <w:sz w:val="24"/>
              <w:szCs w:val="21"/>
              <w:shd w:val="clear" w:color="auto" w:fill="FFFFFF"/>
            </w:rPr>
            <w:t>(Smart, 1968)</w:t>
          </w:r>
          <w:r w:rsidR="00E535BC">
            <w:rPr>
              <w:rFonts w:cstheme="minorHAnsi"/>
              <w:iCs/>
              <w:color w:val="222222"/>
              <w:sz w:val="24"/>
              <w:szCs w:val="21"/>
              <w:shd w:val="clear" w:color="auto" w:fill="FFFFFF"/>
            </w:rPr>
            <w:fldChar w:fldCharType="end"/>
          </w:r>
        </w:sdtContent>
      </w:sdt>
      <w:r w:rsidR="00E535BC">
        <w:rPr>
          <w:rFonts w:cstheme="minorHAnsi"/>
          <w:iCs/>
          <w:color w:val="222222"/>
          <w:sz w:val="24"/>
          <w:szCs w:val="21"/>
          <w:shd w:val="clear" w:color="auto" w:fill="FFFFFF"/>
        </w:rPr>
        <w:t>.</w:t>
      </w:r>
    </w:p>
    <w:p w:rsidR="00E535BC" w:rsidRDefault="00E535BC" w:rsidP="00A613F5">
      <w:pPr>
        <w:rPr>
          <w:rFonts w:cstheme="minorHAnsi"/>
          <w:iCs/>
          <w:color w:val="222222"/>
          <w:sz w:val="24"/>
          <w:szCs w:val="21"/>
          <w:shd w:val="clear" w:color="auto" w:fill="FFFFFF"/>
        </w:rPr>
      </w:pPr>
      <w:r>
        <w:rPr>
          <w:rFonts w:cstheme="minorHAnsi"/>
          <w:iCs/>
          <w:color w:val="222222"/>
          <w:sz w:val="24"/>
          <w:szCs w:val="21"/>
          <w:shd w:val="clear" w:color="auto" w:fill="FFFFFF"/>
        </w:rPr>
        <w:t>Religion is an activity that that is observed by more than one person</w:t>
      </w:r>
      <w:r w:rsidR="00397AAA">
        <w:rPr>
          <w:rFonts w:cstheme="minorHAnsi"/>
          <w:iCs/>
          <w:color w:val="222222"/>
          <w:sz w:val="24"/>
          <w:szCs w:val="21"/>
          <w:shd w:val="clear" w:color="auto" w:fill="FFFFFF"/>
        </w:rPr>
        <w:t xml:space="preserve"> with variations of Smart’s seven dimensions. </w:t>
      </w:r>
    </w:p>
    <w:p w:rsidR="00397AAA" w:rsidRDefault="00397AAA" w:rsidP="00A613F5">
      <w:pPr>
        <w:rPr>
          <w:sz w:val="24"/>
        </w:rPr>
      </w:pPr>
    </w:p>
    <w:sdt>
      <w:sdtPr>
        <w:id w:val="-160912214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97AAA" w:rsidRDefault="00397AAA">
          <w:pPr>
            <w:pStyle w:val="Heading1"/>
          </w:pPr>
          <w:r>
            <w:t>Bibliography</w:t>
          </w:r>
        </w:p>
        <w:sdt>
          <w:sdtPr>
            <w:id w:val="111145805"/>
            <w:bibliography/>
          </w:sdtPr>
          <w:sdtContent>
            <w:p w:rsidR="00397AAA" w:rsidRDefault="00397AAA" w:rsidP="00397AAA">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Braun, W., 2000. In: </w:t>
              </w:r>
              <w:r>
                <w:rPr>
                  <w:i/>
                  <w:iCs/>
                  <w:noProof/>
                  <w:lang w:val="en-US"/>
                </w:rPr>
                <w:t xml:space="preserve">Guide To The Study of Religion. </w:t>
              </w:r>
              <w:r>
                <w:rPr>
                  <w:noProof/>
                  <w:lang w:val="en-US"/>
                </w:rPr>
                <w:t>London: Cassell, p. 9.</w:t>
              </w:r>
            </w:p>
            <w:p w:rsidR="00397AAA" w:rsidRDefault="00397AAA" w:rsidP="00397AAA">
              <w:pPr>
                <w:pStyle w:val="Bibliography"/>
                <w:rPr>
                  <w:noProof/>
                  <w:lang w:val="en-US"/>
                </w:rPr>
              </w:pPr>
              <w:r>
                <w:rPr>
                  <w:noProof/>
                  <w:lang w:val="en-US"/>
                </w:rPr>
                <w:t xml:space="preserve">Keller, M. L., 2014. Indigenous Studies and “the Sacred”. </w:t>
              </w:r>
              <w:r>
                <w:rPr>
                  <w:i/>
                  <w:iCs/>
                  <w:noProof/>
                  <w:lang w:val="en-US"/>
                </w:rPr>
                <w:t xml:space="preserve">American Indian Quarterly, </w:t>
              </w:r>
              <w:r>
                <w:rPr>
                  <w:noProof/>
                  <w:lang w:val="en-US"/>
                </w:rPr>
                <w:t>38(1), p. 88.</w:t>
              </w:r>
            </w:p>
            <w:p w:rsidR="00397AAA" w:rsidRDefault="00397AAA" w:rsidP="00397AAA">
              <w:pPr>
                <w:pStyle w:val="Bibliography"/>
                <w:rPr>
                  <w:noProof/>
                  <w:lang w:val="en-US"/>
                </w:rPr>
              </w:pPr>
              <w:r>
                <w:rPr>
                  <w:noProof/>
                  <w:lang w:val="en-US"/>
                </w:rPr>
                <w:t xml:space="preserve">Smart, N., 1968. </w:t>
              </w:r>
              <w:r>
                <w:rPr>
                  <w:i/>
                  <w:iCs/>
                  <w:noProof/>
                  <w:lang w:val="en-US"/>
                </w:rPr>
                <w:t xml:space="preserve">Secular Education and the Logic of Religion. </w:t>
              </w:r>
              <w:r>
                <w:rPr>
                  <w:noProof/>
                  <w:lang w:val="en-US"/>
                </w:rPr>
                <w:t>New York: Humanities Press.</w:t>
              </w:r>
            </w:p>
            <w:p w:rsidR="00397AAA" w:rsidRDefault="00397AAA" w:rsidP="00397AAA">
              <w:pPr>
                <w:pStyle w:val="Bibliography"/>
                <w:rPr>
                  <w:noProof/>
                  <w:lang w:val="en-US"/>
                </w:rPr>
              </w:pPr>
              <w:r>
                <w:rPr>
                  <w:noProof/>
                  <w:lang w:val="en-US"/>
                </w:rPr>
                <w:t xml:space="preserve">Smith, J. Z., 1982. In: </w:t>
              </w:r>
              <w:r>
                <w:rPr>
                  <w:i/>
                  <w:iCs/>
                  <w:noProof/>
                  <w:lang w:val="en-US"/>
                </w:rPr>
                <w:t xml:space="preserve">Imagining Religion. </w:t>
              </w:r>
              <w:r>
                <w:rPr>
                  <w:noProof/>
                  <w:lang w:val="en-US"/>
                </w:rPr>
                <w:t>Chicago: University of Chicago Press, p. xi.</w:t>
              </w:r>
            </w:p>
            <w:p w:rsidR="00397AAA" w:rsidRDefault="00397AAA" w:rsidP="00397AAA">
              <w:r>
                <w:rPr>
                  <w:b/>
                  <w:bCs/>
                  <w:noProof/>
                </w:rPr>
                <w:fldChar w:fldCharType="end"/>
              </w:r>
            </w:p>
          </w:sdtContent>
        </w:sdt>
      </w:sdtContent>
    </w:sdt>
    <w:p w:rsidR="00397AAA" w:rsidRPr="00E535BC" w:rsidRDefault="00397AAA" w:rsidP="00A613F5">
      <w:pPr>
        <w:rPr>
          <w:sz w:val="24"/>
        </w:rPr>
      </w:pPr>
      <w:bookmarkStart w:id="0" w:name="_GoBack"/>
      <w:bookmarkEnd w:id="0"/>
    </w:p>
    <w:sectPr w:rsidR="00397AAA" w:rsidRPr="00E535B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1F7B" w:rsidRDefault="00C51F7B" w:rsidP="00AF3260">
      <w:pPr>
        <w:spacing w:after="0" w:line="240" w:lineRule="auto"/>
      </w:pPr>
      <w:r>
        <w:separator/>
      </w:r>
    </w:p>
  </w:endnote>
  <w:endnote w:type="continuationSeparator" w:id="0">
    <w:p w:rsidR="00C51F7B" w:rsidRDefault="00C51F7B" w:rsidP="00AF3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1F7B" w:rsidRDefault="00C51F7B" w:rsidP="00AF3260">
      <w:pPr>
        <w:spacing w:after="0" w:line="240" w:lineRule="auto"/>
      </w:pPr>
      <w:r>
        <w:separator/>
      </w:r>
    </w:p>
  </w:footnote>
  <w:footnote w:type="continuationSeparator" w:id="0">
    <w:p w:rsidR="00C51F7B" w:rsidRDefault="00C51F7B" w:rsidP="00AF3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3260" w:rsidRDefault="00AF3260">
    <w:pPr>
      <w:pStyle w:val="Header"/>
    </w:pPr>
    <w:r>
      <w:t>By Felix Whiteley-Bristow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3F5"/>
    <w:rsid w:val="001F1289"/>
    <w:rsid w:val="00254B09"/>
    <w:rsid w:val="00397AAA"/>
    <w:rsid w:val="003D22B0"/>
    <w:rsid w:val="00417069"/>
    <w:rsid w:val="00444C4F"/>
    <w:rsid w:val="00505746"/>
    <w:rsid w:val="005A37EF"/>
    <w:rsid w:val="00610B24"/>
    <w:rsid w:val="00646398"/>
    <w:rsid w:val="006A77AB"/>
    <w:rsid w:val="008C4FBA"/>
    <w:rsid w:val="008E74AE"/>
    <w:rsid w:val="008F2308"/>
    <w:rsid w:val="009C037E"/>
    <w:rsid w:val="00A613F5"/>
    <w:rsid w:val="00AB0ABF"/>
    <w:rsid w:val="00AF3260"/>
    <w:rsid w:val="00B544D6"/>
    <w:rsid w:val="00BB4266"/>
    <w:rsid w:val="00C51F7B"/>
    <w:rsid w:val="00CC6641"/>
    <w:rsid w:val="00E535BC"/>
    <w:rsid w:val="00E91B65"/>
    <w:rsid w:val="00EF25AD"/>
    <w:rsid w:val="00F50D5E"/>
    <w:rsid w:val="00F70CDA"/>
    <w:rsid w:val="00F810B3"/>
    <w:rsid w:val="00F84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12B4"/>
  <w15:chartTrackingRefBased/>
  <w15:docId w15:val="{0F8B5164-EEE9-4E61-A057-27F7FA734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AA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3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260"/>
  </w:style>
  <w:style w:type="paragraph" w:styleId="Footer">
    <w:name w:val="footer"/>
    <w:basedOn w:val="Normal"/>
    <w:link w:val="FooterChar"/>
    <w:uiPriority w:val="99"/>
    <w:unhideWhenUsed/>
    <w:rsid w:val="00AF3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260"/>
  </w:style>
  <w:style w:type="character" w:customStyle="1" w:styleId="Heading1Char">
    <w:name w:val="Heading 1 Char"/>
    <w:basedOn w:val="DefaultParagraphFont"/>
    <w:link w:val="Heading1"/>
    <w:uiPriority w:val="9"/>
    <w:rsid w:val="00397AA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7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530385">
      <w:bodyDiv w:val="1"/>
      <w:marLeft w:val="0"/>
      <w:marRight w:val="0"/>
      <w:marTop w:val="0"/>
      <w:marBottom w:val="0"/>
      <w:divBdr>
        <w:top w:val="none" w:sz="0" w:space="0" w:color="auto"/>
        <w:left w:val="none" w:sz="0" w:space="0" w:color="auto"/>
        <w:bottom w:val="none" w:sz="0" w:space="0" w:color="auto"/>
        <w:right w:val="none" w:sz="0" w:space="0" w:color="auto"/>
      </w:divBdr>
    </w:div>
    <w:div w:id="379480847">
      <w:bodyDiv w:val="1"/>
      <w:marLeft w:val="0"/>
      <w:marRight w:val="0"/>
      <w:marTop w:val="0"/>
      <w:marBottom w:val="0"/>
      <w:divBdr>
        <w:top w:val="none" w:sz="0" w:space="0" w:color="auto"/>
        <w:left w:val="none" w:sz="0" w:space="0" w:color="auto"/>
        <w:bottom w:val="none" w:sz="0" w:space="0" w:color="auto"/>
        <w:right w:val="none" w:sz="0" w:space="0" w:color="auto"/>
      </w:divBdr>
    </w:div>
    <w:div w:id="1321929737">
      <w:bodyDiv w:val="1"/>
      <w:marLeft w:val="0"/>
      <w:marRight w:val="0"/>
      <w:marTop w:val="0"/>
      <w:marBottom w:val="0"/>
      <w:divBdr>
        <w:top w:val="none" w:sz="0" w:space="0" w:color="auto"/>
        <w:left w:val="none" w:sz="0" w:space="0" w:color="auto"/>
        <w:bottom w:val="none" w:sz="0" w:space="0" w:color="auto"/>
        <w:right w:val="none" w:sz="0" w:space="0" w:color="auto"/>
      </w:divBdr>
    </w:div>
    <w:div w:id="1477448573">
      <w:bodyDiv w:val="1"/>
      <w:marLeft w:val="0"/>
      <w:marRight w:val="0"/>
      <w:marTop w:val="0"/>
      <w:marBottom w:val="0"/>
      <w:divBdr>
        <w:top w:val="none" w:sz="0" w:space="0" w:color="auto"/>
        <w:left w:val="none" w:sz="0" w:space="0" w:color="auto"/>
        <w:bottom w:val="none" w:sz="0" w:space="0" w:color="auto"/>
        <w:right w:val="none" w:sz="0" w:space="0" w:color="auto"/>
      </w:divBdr>
    </w:div>
    <w:div w:id="1796636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Smi82</b:Tag>
    <b:SourceType>BookSection</b:SourceType>
    <b:Guid>{00AFEFA7-6B61-48CB-9E5D-E172AD763766}</b:Guid>
    <b:Author>
      <b:Author>
        <b:NameList>
          <b:Person>
            <b:Last>Smith</b:Last>
            <b:First>Jonathan</b:First>
            <b:Middle>Z.</b:Middle>
          </b:Person>
        </b:NameList>
      </b:Author>
    </b:Author>
    <b:BookTitle>Imagining Religion</b:BookTitle>
    <b:Year>1982</b:Year>
    <b:Pages>xi</b:Pages>
    <b:City>Chicago</b:City>
    <b:Publisher>University of Chicago Press</b:Publisher>
    <b:RefOrder>1</b:RefOrder>
  </b:Source>
  <b:Source>
    <b:Tag>Wil00</b:Tag>
    <b:SourceType>BookSection</b:SourceType>
    <b:Guid>{2FD66830-EB3A-4552-B850-074446D51597}</b:Guid>
    <b:Author>
      <b:Author>
        <b:NameList>
          <b:Person>
            <b:Last>Braun</b:Last>
            <b:First>Willi</b:First>
          </b:Person>
        </b:NameList>
      </b:Author>
    </b:Author>
    <b:BookTitle>Guide To The Study of Religion</b:BookTitle>
    <b:Year>2000</b:Year>
    <b:Pages>9</b:Pages>
    <b:City>London</b:City>
    <b:Publisher>Cassell</b:Publisher>
    <b:RefOrder>2</b:RefOrder>
  </b:Source>
  <b:Source>
    <b:Tag>Mar14</b:Tag>
    <b:SourceType>JournalArticle</b:SourceType>
    <b:Guid>{73AB8D32-722D-4275-ACCC-F4B17EB9D797}</b:Guid>
    <b:Title>Indigenous Studies and “the Sacred”</b:Title>
    <b:Year>2014</b:Year>
    <b:Pages>88</b:Pages>
    <b:Author>
      <b:Interviewee>
        <b:NameList>
          <b:Person>
            <b:Last>Bulltail</b:Last>
            <b:First>Grant</b:First>
          </b:Person>
        </b:NameList>
      </b:Interviewee>
      <b:Author>
        <b:NameList>
          <b:Person>
            <b:Last>Keller</b:Last>
            <b:First>Mary</b:First>
            <b:Middle>L.</b:Middle>
          </b:Person>
        </b:NameList>
      </b:Author>
    </b:Author>
    <b:JournalName>American Indian Quarterly</b:JournalName>
    <b:Volume>38</b:Volume>
    <b:Issue>1</b:Issue>
    <b:RefOrder>3</b:RefOrder>
  </b:Source>
  <b:Source>
    <b:Tag>Sma68</b:Tag>
    <b:SourceType>Book</b:SourceType>
    <b:Guid>{DF88036D-6AE8-4AC6-80CB-BF7765E61E7A}</b:Guid>
    <b:Author>
      <b:Author>
        <b:NameList>
          <b:Person>
            <b:Last>Smart</b:Last>
            <b:First>Ninian</b:First>
          </b:Person>
        </b:NameList>
      </b:Author>
    </b:Author>
    <b:Title>Secular Education and the Logic of Religion</b:Title>
    <b:Year>1968</b:Year>
    <b:City>New York</b:City>
    <b:Publisher>Humanities Press</b:Publisher>
    <b:RefOrder>4</b:RefOrder>
  </b:Source>
</b:Sources>
</file>

<file path=customXml/itemProps1.xml><?xml version="1.0" encoding="utf-8"?>
<ds:datastoreItem xmlns:ds="http://schemas.openxmlformats.org/officeDocument/2006/customXml" ds:itemID="{08F6784C-FEF2-4804-9D88-93DC4280D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2</Pages>
  <Words>557</Words>
  <Characters>3178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dc:creator>
  <cp:keywords/>
  <dc:description/>
  <cp:lastModifiedBy>Felix</cp:lastModifiedBy>
  <cp:revision>11</cp:revision>
  <dcterms:created xsi:type="dcterms:W3CDTF">2019-12-19T22:51:00Z</dcterms:created>
  <dcterms:modified xsi:type="dcterms:W3CDTF">2019-12-20T01:03:00Z</dcterms:modified>
</cp:coreProperties>
</file>