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C1812" w:rsidRPr="002C43E0" w:rsidRDefault="00AC1812" w:rsidP="00AC1812">
      <w:pPr>
        <w:jc w:val="center"/>
      </w:pPr>
      <w:r w:rsidRPr="002C43E0">
        <w:t>What is Plato’s theory of forms? How coherent do you judge this theory to be?</w:t>
      </w:r>
    </w:p>
    <w:p w:rsidR="00AC1812" w:rsidRDefault="00AC1812" w:rsidP="00AC1812"/>
    <w:p w:rsidR="00AC1812" w:rsidRDefault="00AC1812" w:rsidP="00AC1812">
      <w:r>
        <w:t>In order to understand the Platonic forms, one has to understand the way in which Plato lays out his work and understand his meanings through that. When summarised, Plato’s thoughts are much easier to understand but due to the fact that all of his philosophical thoughts are written in prose, one needs to look past this and focus on the main principles that he is highlighting [Reynolds. 2007. Pg.142]. However, the back and forth discussion his personas/characters have is useful in breaking down a theory. So, to look into the Platonic forms, one needs to be able to navigate the Socratic dialogue and understand the thought process of Plato [Reynolds. 2007. Pg.142]. The general belief is that, as long as you have a good degree of cognitive function and open mind, one should be able to navigate Plato’s theories.</w:t>
      </w:r>
    </w:p>
    <w:p w:rsidR="00AC1812" w:rsidRDefault="00AC1812" w:rsidP="00AC1812"/>
    <w:p w:rsidR="00AC1812" w:rsidRDefault="00AC1812" w:rsidP="00AC1812">
      <w:r>
        <w:t xml:space="preserve">The Platonic forms are ideas </w:t>
      </w:r>
      <w:r w:rsidR="001D4708">
        <w:t>or ideas of particular things</w:t>
      </w:r>
      <w:r>
        <w:t xml:space="preserve"> which actually exist. All objects have a form which is what its principle or description of the object is [Schumacher. 2010. Pg.1]. Having been influenced by </w:t>
      </w:r>
      <w:proofErr w:type="spellStart"/>
      <w:r>
        <w:t>Cratylus</w:t>
      </w:r>
      <w:proofErr w:type="spellEnd"/>
      <w:r>
        <w:t>’ doctrine of flux, he had to reason why objects that are always in flux also have a constant about them and that’s what the form is [</w:t>
      </w:r>
      <w:proofErr w:type="spellStart"/>
      <w:r>
        <w:t>Heinaman</w:t>
      </w:r>
      <w:proofErr w:type="spellEnd"/>
      <w:r>
        <w:t>. 1997. Pg.358]. The idea which remains constant about the object – the form – has to be in place in order for the object to retain its identity [Ellerman. 2017. Pg.147-148]. F (the form) has to be F because it cannot be anything else and the object which holds the value F-ness, holds an element of this true F [</w:t>
      </w:r>
      <w:proofErr w:type="spellStart"/>
      <w:r>
        <w:t>Trivigno</w:t>
      </w:r>
      <w:proofErr w:type="spellEnd"/>
      <w:r>
        <w:t>. 2007. Pg. 127]. A common example of a form is beauty</w:t>
      </w:r>
      <w:r w:rsidR="001D4708">
        <w:t>.</w:t>
      </w:r>
      <w:r>
        <w:t xml:space="preserve"> </w:t>
      </w:r>
      <w:r w:rsidR="001D4708">
        <w:t>E</w:t>
      </w:r>
      <w:r w:rsidR="00A00875">
        <w:t>ric</w:t>
      </w:r>
      <w:r>
        <w:t xml:space="preserve"> Perl explains simply</w:t>
      </w:r>
      <w:r w:rsidR="001D4708">
        <w:t xml:space="preserve"> that</w:t>
      </w:r>
      <w:r>
        <w:t xml:space="preserve"> whilst what one considers beautiful is subjective, all things which are classed as beautiful by an individual thus hold the form of beauty [Perl. 1999. Pg.339-40]. Due to the inconsistencies between what each person would consider beauty, there has to be both a subjective/opinionated beauty and also a true beauty [Perl. 1999. Pg.229-40]. As such, along with Socrates in the dialogue, one has to come to the conclusion that there is something which can be considered as a common beauty to all, whether that be through other forms attached to it or because of its nature [Perl. 1999. Pg.340]. As such, the argument comes forward that does any</w:t>
      </w:r>
      <w:r w:rsidR="00CC0AEF">
        <w:t>,</w:t>
      </w:r>
      <w:r>
        <w:t xml:space="preserve"> one object always hold a consistent notion of one particular form? With something such as shape or numerical value [Sedley. 2016. Pg.4], as long as all those regarding that object have the same basic teaching, then yes, the form does remain constant and known. However, a form such as beauty is controversial because there is no one truth as there is when you have an answer with an absolute truth, as with mathematical equations [Copleston. 2003. Pg.164]. There are more examples of the issues surrounding the forms when discussing the coherency and ability to understand how Plato </w:t>
      </w:r>
      <w:r w:rsidR="001D4708">
        <w:t xml:space="preserve">reasoned </w:t>
      </w:r>
      <w:r>
        <w:t xml:space="preserve">these forms. </w:t>
      </w:r>
    </w:p>
    <w:p w:rsidR="00AC1812" w:rsidRDefault="00AC1812" w:rsidP="00AC1812"/>
    <w:p w:rsidR="00AC1812" w:rsidRDefault="00A00875" w:rsidP="00AC1812">
      <w:r>
        <w:t xml:space="preserve">The theory of forms is given meaning primarily in Plato’s </w:t>
      </w:r>
      <w:r>
        <w:rPr>
          <w:i/>
        </w:rPr>
        <w:t xml:space="preserve">The </w:t>
      </w:r>
      <w:r w:rsidRPr="00A00875">
        <w:rPr>
          <w:i/>
        </w:rPr>
        <w:t>Republic</w:t>
      </w:r>
      <w:r>
        <w:t xml:space="preserve"> but is also alluded to in </w:t>
      </w:r>
      <w:r>
        <w:rPr>
          <w:i/>
        </w:rPr>
        <w:t xml:space="preserve">Phaedo </w:t>
      </w:r>
      <w:r>
        <w:t xml:space="preserve">and </w:t>
      </w:r>
      <w:r>
        <w:rPr>
          <w:i/>
        </w:rPr>
        <w:t>Parmenides</w:t>
      </w:r>
      <w:r>
        <w:t xml:space="preserve">.  </w:t>
      </w:r>
      <w:r w:rsidR="00AC1812" w:rsidRPr="00A00875">
        <w:t>The</w:t>
      </w:r>
      <w:r w:rsidR="00AC1812">
        <w:t xml:space="preserve"> nature of the theory is presented within Socratic dialogue, a prose-like layout in which characters speak to one another and discuss a theory [Reynolds. 2007. Pg.142]. In that sense, it is easy to look at the conversations as the characters lay out the theory. However, it takes someone of intellect to understand the thoughts and theories which are being laid before them [Reynolds. 2007. Pg.142]. </w:t>
      </w:r>
      <w:r>
        <w:t xml:space="preserve">Joshua </w:t>
      </w:r>
      <w:r w:rsidR="00AC1812">
        <w:t xml:space="preserve">Reynolds illustrates this point that, unless one is intellectually stimulated or previously been tutored on the subject, one will not be able to gauge the idea of forms as Plato lays it down for the reader [Reynolds. 2007. Pg.142]. </w:t>
      </w:r>
      <w:r>
        <w:t xml:space="preserve">Gerald </w:t>
      </w:r>
      <w:r w:rsidR="00AC1812">
        <w:t xml:space="preserve">Press concludes that the reason for so many voices arguing on these different theorems within philosophical work is because of the contradictions within the philosopher’s </w:t>
      </w:r>
      <w:r>
        <w:t>theory</w:t>
      </w:r>
      <w:r w:rsidR="00AC1812">
        <w:t xml:space="preserve"> as they reason and present their ideas in their writing </w:t>
      </w:r>
      <w:r w:rsidR="00AC1812">
        <w:lastRenderedPageBreak/>
        <w:t xml:space="preserve">[Press. 2012. Pg.133]. Furthermore, Plato’s ideas on reality can be somewhat boggling to people [Rutherford. 2005. Pg.239]. He proposes the idea of a higher reality which </w:t>
      </w:r>
      <w:r w:rsidR="00994281">
        <w:t>our</w:t>
      </w:r>
      <w:r w:rsidR="00AC1812">
        <w:t xml:space="preserve"> reality is inferior to, </w:t>
      </w:r>
      <w:r w:rsidR="00994281">
        <w:t xml:space="preserve">for nothing in our reality </w:t>
      </w:r>
      <w:r w:rsidR="00AC1812">
        <w:t xml:space="preserve">can never be classed as absolute or true (Plato calls this reality the intelligible world whilst we reside in the sensible realm [Carpenter. 2008. Pg.138-39]). This is due to the fact that they are only attributed to the form of such and are not truly the embodiment of such a form, beauty being the best example to contain this idea [Schumacher. 2010. Pg.2]. Plato’s view on the sensible and intelligible realm can be perceived as outlandish, as highlighted by </w:t>
      </w:r>
      <w:r w:rsidR="00CC0AEF">
        <w:t xml:space="preserve">Lydia </w:t>
      </w:r>
      <w:r w:rsidR="00AC1812">
        <w:t>Schumacher in her paper on Plato’s forms. She comes to a conclusion not dissimilar to one that will be raised later, that it is illogical for the human mind to have some preconceived view of a form that we can attribute to what we see in our reality [Schumacher. 2010. Pg.4-6]. S</w:t>
      </w:r>
      <w:r w:rsidR="00CC0AEF">
        <w:t xml:space="preserve">chumacher </w:t>
      </w:r>
      <w:r w:rsidR="00AC1812">
        <w:t>further goes on to debunk Plato’s theory about how the forms belong to some other realm, for if they were in another realm then we could not have prior knowledge of what the perfect version of the form actually is [Schumacher. 2010. Pg.8]. In addition to such, Plato appears to have contradicted himself within his work concerning the realms for Plato apparently believed that the soul would have been able to know what the true version of the form was [</w:t>
      </w:r>
      <w:proofErr w:type="spellStart"/>
      <w:r w:rsidR="00AC1812" w:rsidRPr="00CA3142">
        <w:t>Szlezák</w:t>
      </w:r>
      <w:proofErr w:type="spellEnd"/>
      <w:r w:rsidR="00AC1812">
        <w:t xml:space="preserve">. 2006]. And yet, Plato says that one can never truly grasp what the true nature of the forms are because of our existence in this realm in which nothing can equal the exact form [Carmichael. 2013. Pg.39]. Schumacher reasons that the reason for his contradictory nature within his works lie in the backlash that he may have received from his earlier work [ Schumacher. 2010. Pg.7]. This can be furthered by Rowe, who concurs with this thought, distinguishing the two parts of </w:t>
      </w:r>
      <w:r w:rsidR="00AC1812">
        <w:rPr>
          <w:i/>
        </w:rPr>
        <w:t>Parmenides</w:t>
      </w:r>
      <w:r w:rsidR="00AC1812">
        <w:t xml:space="preserve"> to be considered as a late theory of forms versus the high theory of forms in which Plato had responded to negativity and developed a more reasoned way of looking at the theory [Rowe. 2009. Pg.300]. </w:t>
      </w:r>
      <w:r w:rsidR="00994281">
        <w:t xml:space="preserve">Whilst the basic principles of Plato’s theory are easy enough to grasp, </w:t>
      </w:r>
      <w:r w:rsidR="00AC1812">
        <w:t>there are elements of such a presentation which not only lessen the coherency of his work but also put into question his reliability.</w:t>
      </w:r>
      <w:r w:rsidR="00994281">
        <w:t xml:space="preserve"> </w:t>
      </w:r>
      <w:r w:rsidR="00EA70EB">
        <w:br/>
      </w:r>
    </w:p>
    <w:p w:rsidR="00AC1812" w:rsidRDefault="00AC1812" w:rsidP="00AC1812">
      <w:r>
        <w:t>Returning to the issue of coherency, Plato’s work would not have been for all, and still is not. It takes someone who is intellectually stimulated to understand philosophical works, so in ancient Greece, this would have been an issue for the common, uneducated citizens [</w:t>
      </w:r>
      <w:proofErr w:type="spellStart"/>
      <w:r>
        <w:t>Losev</w:t>
      </w:r>
      <w:proofErr w:type="spellEnd"/>
      <w:r>
        <w:t xml:space="preserve">. 2018. Pg.515]. In fact, </w:t>
      </w:r>
      <w:r w:rsidR="00CC0AEF" w:rsidRPr="00CC0AEF">
        <w:t>Geneviève</w:t>
      </w:r>
      <w:r w:rsidR="00CC0AEF">
        <w:t xml:space="preserve"> </w:t>
      </w:r>
      <w:r>
        <w:t>Lachance comments that it sometimes takes some “unorthodox” thinking to really process some of Plato’s thoughts, especially when it comes to his more controversial theories [Lachance. 2018. Pg.213]. Furthermore, the more you delve into Plato’s work, the more confusing it can seem to one, due to the way in which his theories and ideas are laid out and the nature of his ideas which contradict common belief, even for a philosopher [Rutherford. 2005. Pg.239]. Due to the condemnation of myth and mythology in society during his time of writing, Plato is seen as odd for he enjoys the poetry of the time even though it goes against his beliefs and writings [Rutherford. 2005. Pg.239]. As such, Plato received criticism and his philosophical school was eyed w</w:t>
      </w:r>
      <w:r w:rsidR="00EA70EB">
        <w:t>arily</w:t>
      </w:r>
      <w:r>
        <w:t xml:space="preserve"> by a few due to his contradicting beliefs to the people [Rutherford. 2005. Pg239-40]. It would also have been up to the intellectually stimulated to come to these views of scepticism due to the fact that they would have been the only ones to read the volumes [</w:t>
      </w:r>
      <w:proofErr w:type="spellStart"/>
      <w:r>
        <w:t>Losev</w:t>
      </w:r>
      <w:proofErr w:type="spellEnd"/>
      <w:r>
        <w:t xml:space="preserve">. 2018. Pg.515]. Furthermore, talk of sensible objects, transcendence forms, physical world versus perfect reality, and the way the forms are presented and rationalised [Perl. 1999. Pg.343] tends to confuse and baffle students of his work, both now and in his time [Rutherford. 2005. Pg.239]. Press, upon reading other papers and the theory himself, reasons that this is because of Plato’s nuanced </w:t>
      </w:r>
      <w:r w:rsidR="00F24133">
        <w:t>understanding of</w:t>
      </w:r>
      <w:r>
        <w:t xml:space="preserve"> human desire within both a political and everyday standing [Press. 2012. Pg.134]. Furthering </w:t>
      </w:r>
      <w:r w:rsidR="008F2941">
        <w:t>his</w:t>
      </w:r>
      <w:r>
        <w:t xml:space="preserve"> view of desire, </w:t>
      </w:r>
      <w:r w:rsidR="00CC0AEF">
        <w:t xml:space="preserve">James </w:t>
      </w:r>
      <w:proofErr w:type="spellStart"/>
      <w:r>
        <w:t>Wilberding</w:t>
      </w:r>
      <w:proofErr w:type="spellEnd"/>
      <w:r>
        <w:t xml:space="preserve"> speculates that it is the soul that desires the knowledge and victory [</w:t>
      </w:r>
      <w:proofErr w:type="spellStart"/>
      <w:r>
        <w:t>Wilberding</w:t>
      </w:r>
      <w:proofErr w:type="spellEnd"/>
      <w:r>
        <w:t>. 2009. Pg.354-55]. This gives us a link to Plato’s reasoning that the soul has seen these true forms and, as such, strives to replicate them [</w:t>
      </w:r>
      <w:proofErr w:type="spellStart"/>
      <w:r w:rsidRPr="00CA3142">
        <w:t>Szlezák</w:t>
      </w:r>
      <w:proofErr w:type="spellEnd"/>
      <w:r>
        <w:t>. 2006].</w:t>
      </w:r>
      <w:r w:rsidRPr="00287626">
        <w:t xml:space="preserve"> </w:t>
      </w:r>
      <w:r>
        <w:t xml:space="preserve">Scholars, such as </w:t>
      </w:r>
      <w:r w:rsidR="00855345">
        <w:t xml:space="preserve">David </w:t>
      </w:r>
      <w:r>
        <w:t xml:space="preserve">Sedley, have taken </w:t>
      </w:r>
      <w:r>
        <w:lastRenderedPageBreak/>
        <w:t>issue with some of Plato’s work on the forms due to its undeveloped theories, especially with knowledge [Sedley. 2016. Pg.4-5]. Due to the concept of nature and nurture not coming around until the Victorian period, there are controversial and disregarded parts of the theory of forms. Sedley gives the example of Plato’s theory on knowledge, which looks at how there are some truths and prejudices which people are born knowing [Sedley. 1999. Pg.5]. However, scholars and modern philosophers can no longer just blindly accept such a claim as truth anymore due to our, now, more advanced world view and knowledge on psychology. Plato poses that the knowledge of equality and goodness (two more of his forms) are actually nature, instead of nurture [Sedley. 1999. Pg.5]. This is now something which we can disprove due to psychological advances and have concluded are actually due to nurture. As such, we ha</w:t>
      </w:r>
      <w:r w:rsidR="00F24133">
        <w:t>v</w:t>
      </w:r>
      <w:r>
        <w:t>e more grounds to question Plato as a reputable source for metaphysical philosophy. However, we do have to remember that he was limited by the knowledge of his time for certain aspects.</w:t>
      </w:r>
      <w:r w:rsidR="00F24133">
        <w:br/>
      </w:r>
    </w:p>
    <w:p w:rsidR="00AC1812" w:rsidRDefault="00AC1812" w:rsidP="00AC1812">
      <w:r>
        <w:t>To conclude, whether one finds Plato’s theory of forms coherent or not depends upon one’s own intellect and ability to reason his logic. Scholars all have varying views on Plato’s work on the forms, but they all generally agree that to have prior knowledge of Plato’s work and also philosophical outlook and presentation is essential to understanding the way in which Plato delivered his theory on the forms. However, modern philosophers and historians have to take into account that some of his theories can be disproved with our more advanced and developed knowledge of reality. As such, as long as you understand the limitations of knowledge in ancient Greece and the take into account how Plato would have been writing these dialogues which depict his theories then they can be seen as coherent. It would be illogical to expect someone from Classical Greece to know all that we do today. Whilst his theory of forms does hold a certain plausibility about it, there are certain aspects, such as the realms, which lead one to question whether his theories could actually be true. Furthermore, during the time, his more myth-based viewpoint of the world would have made him abnormal for the time, due to the movement away from the gods</w:t>
      </w:r>
      <w:r w:rsidR="00F24133">
        <w:t xml:space="preserve"> by other philosophers</w:t>
      </w:r>
      <w:r>
        <w:t>. Ultimately though, one would generally draw the conclusion that Plato’s theory of forms is not completely sound in nature and its contradictory and mildly outlandish sub-theories make the overall theory less coherent. However, his basic premise is easy enou</w:t>
      </w:r>
      <w:bookmarkStart w:id="0" w:name="_GoBack"/>
      <w:bookmarkEnd w:id="0"/>
      <w:r>
        <w:t xml:space="preserve">gh to understand. </w:t>
      </w:r>
    </w:p>
    <w:p w:rsidR="00AC1812" w:rsidRDefault="00AC1812" w:rsidP="00AC1812"/>
    <w:p w:rsidR="00AC1812" w:rsidRPr="00427978" w:rsidRDefault="00AC1812" w:rsidP="00AC1812">
      <w:r>
        <w:t>Word count: 18</w:t>
      </w:r>
      <w:r w:rsidR="00855345">
        <w:t>38</w:t>
      </w:r>
    </w:p>
    <w:p w:rsidR="00AC1812" w:rsidRDefault="00AC1812" w:rsidP="00AC1812"/>
    <w:p w:rsidR="00380A78" w:rsidRDefault="00380A78" w:rsidP="00AC1812"/>
    <w:p w:rsidR="00380A78" w:rsidRDefault="00380A78" w:rsidP="00AC1812"/>
    <w:p w:rsidR="00380A78" w:rsidRDefault="00380A78" w:rsidP="00AC1812"/>
    <w:p w:rsidR="00380A78" w:rsidRDefault="00380A78" w:rsidP="00AC1812"/>
    <w:p w:rsidR="00380A78" w:rsidRDefault="00380A78" w:rsidP="00AC1812"/>
    <w:p w:rsidR="00380A78" w:rsidRDefault="00380A78" w:rsidP="00AC1812"/>
    <w:p w:rsidR="00380A78" w:rsidRDefault="00380A78" w:rsidP="00AC1812"/>
    <w:p w:rsidR="00380A78" w:rsidRDefault="00380A78" w:rsidP="00AC1812"/>
    <w:p w:rsidR="00380A78" w:rsidRDefault="00380A78" w:rsidP="00AC1812"/>
    <w:p w:rsidR="00AC1812" w:rsidRPr="00157CE2" w:rsidRDefault="00AC1812" w:rsidP="00AC1812">
      <w:pPr>
        <w:rPr>
          <w:u w:val="single"/>
        </w:rPr>
      </w:pPr>
      <w:r>
        <w:rPr>
          <w:u w:val="single"/>
        </w:rPr>
        <w:lastRenderedPageBreak/>
        <w:t>Bibliography</w:t>
      </w:r>
    </w:p>
    <w:p w:rsidR="00AC1812" w:rsidRPr="00AE6406" w:rsidRDefault="00AC1812" w:rsidP="00AC1812">
      <w:r w:rsidRPr="00AE6406">
        <w:t>Carmichael, J. (2013) ‘</w:t>
      </w:r>
      <w:proofErr w:type="spellStart"/>
      <w:r w:rsidRPr="00AE6406">
        <w:t>Indiscernibles</w:t>
      </w:r>
      <w:proofErr w:type="spellEnd"/>
      <w:r w:rsidRPr="00AE6406">
        <w:t xml:space="preserve"> and Plato’s Forms vs. Parmenides’, Stance (1943-1880), 6, pp. 37–43. Available at: https://ezproxy.uwtsd.ac.uk/login?url=https://search.ebscohost.com/login.aspx?direct=true&amp;db=hus&amp;AN=87491641&amp;site=ehost-live (Accessed: 31 March 2019)</w:t>
      </w:r>
    </w:p>
    <w:p w:rsidR="00AC1812" w:rsidRDefault="00AC1812" w:rsidP="00AC1812">
      <w:r w:rsidRPr="00AE6406">
        <w:t xml:space="preserve">Carpenter, A. D. (2008) ‘[Plato on Knowledge and Forms]’, Philosophical Review, 117(1), pp. 138–141. </w:t>
      </w:r>
      <w:proofErr w:type="spellStart"/>
      <w:r w:rsidRPr="00AE6406">
        <w:t>doi</w:t>
      </w:r>
      <w:proofErr w:type="spellEnd"/>
      <w:r w:rsidRPr="00AE6406">
        <w:t>: 10.1215/00318108-2007-032.</w:t>
      </w:r>
    </w:p>
    <w:p w:rsidR="00AC1812" w:rsidRPr="003864FE" w:rsidRDefault="00AC1812" w:rsidP="00AC1812">
      <w:r>
        <w:t xml:space="preserve">Copleston, F (2003). </w:t>
      </w:r>
      <w:r>
        <w:rPr>
          <w:i/>
        </w:rPr>
        <w:t>A History of Philosophy: Greece and Rome</w:t>
      </w:r>
      <w:r>
        <w:t>. Bloomsbury Publishing: London.</w:t>
      </w:r>
    </w:p>
    <w:p w:rsidR="00AC1812" w:rsidRPr="00AE6406" w:rsidRDefault="00AC1812" w:rsidP="00AC1812">
      <w:r w:rsidRPr="00AE6406">
        <w:t xml:space="preserve">Ellerman, D. </w:t>
      </w:r>
      <w:proofErr w:type="spellStart"/>
      <w:r w:rsidRPr="00AE6406">
        <w:t>david@ellerman</w:t>
      </w:r>
      <w:proofErr w:type="spellEnd"/>
      <w:r w:rsidRPr="00AE6406">
        <w:t xml:space="preserve">. or. (2017) ‘Category Theory and Set Theory as Theories about Complementary Types of Universals’, Logic &amp; Logical Philosophy, 26(2), pp. 145–162. </w:t>
      </w:r>
      <w:proofErr w:type="spellStart"/>
      <w:r w:rsidRPr="00AE6406">
        <w:t>doi</w:t>
      </w:r>
      <w:proofErr w:type="spellEnd"/>
      <w:r w:rsidRPr="00AE6406">
        <w:t>: 10.12775/LLP.2016.022.</w:t>
      </w:r>
    </w:p>
    <w:p w:rsidR="00AC1812" w:rsidRPr="00157CE2" w:rsidRDefault="00AC1812" w:rsidP="00AC1812">
      <w:proofErr w:type="spellStart"/>
      <w:r>
        <w:t>Heinaman</w:t>
      </w:r>
      <w:proofErr w:type="spellEnd"/>
      <w:r>
        <w:t xml:space="preserve">, R. (1997) “Plato: Metaphysics and Epistemology” in </w:t>
      </w:r>
      <w:r>
        <w:rPr>
          <w:i/>
        </w:rPr>
        <w:t>From Beginning to Plato</w:t>
      </w:r>
      <w:r>
        <w:t xml:space="preserve"> (ed. Taylor C.C.W) Routledge Publishing: London.</w:t>
      </w:r>
    </w:p>
    <w:p w:rsidR="00AC1812" w:rsidRPr="00AE6406" w:rsidRDefault="00AC1812" w:rsidP="00AC1812">
      <w:r w:rsidRPr="00AE6406">
        <w:t xml:space="preserve">Lachance, G. (2018) ‘The Principle of Non-Contradiction in Plato’s Republic: An Argument for Form’, Acta Classica, 61, pp. 212–215. </w:t>
      </w:r>
      <w:proofErr w:type="spellStart"/>
      <w:r w:rsidRPr="00AE6406">
        <w:t>doi</w:t>
      </w:r>
      <w:proofErr w:type="spellEnd"/>
      <w:r w:rsidRPr="00AE6406">
        <w:t>: 10.15731/AClass.061.11.</w:t>
      </w:r>
    </w:p>
    <w:p w:rsidR="00AC1812" w:rsidRPr="00AE6406" w:rsidRDefault="00AC1812" w:rsidP="00AC1812">
      <w:r w:rsidRPr="00AE6406">
        <w:t xml:space="preserve">Lesser, A. H. 1. A. H. L. ac. u. (2009) ‘Plato: A Guide for the Perplexed and Plato, Metaphysics and the Forms’, International Journal of the Platonic Tradition, 3(1), pp. 78–81. </w:t>
      </w:r>
      <w:proofErr w:type="spellStart"/>
      <w:r w:rsidRPr="00AE6406">
        <w:t>doi</w:t>
      </w:r>
      <w:proofErr w:type="spellEnd"/>
      <w:r w:rsidRPr="00AE6406">
        <w:t>: 10.1163/187254708X397441.</w:t>
      </w:r>
    </w:p>
    <w:p w:rsidR="00AC1812" w:rsidRPr="00AE6406" w:rsidRDefault="00AC1812" w:rsidP="00AC1812">
      <w:bookmarkStart w:id="1" w:name="_Hlk4964241"/>
      <w:proofErr w:type="spellStart"/>
      <w:r w:rsidRPr="00AE6406">
        <w:t>Losev</w:t>
      </w:r>
      <w:proofErr w:type="spellEnd"/>
      <w:r w:rsidRPr="00AE6406">
        <w:t xml:space="preserve">, A. F. (2018) ‘Plato’s Doctrine of Ideas: Conclusion (The Summing-up and the Next Steps)’, Russian Studies in Philosophy, 56(6), pp. 515–537. </w:t>
      </w:r>
      <w:proofErr w:type="spellStart"/>
      <w:r w:rsidRPr="00AE6406">
        <w:t>doi</w:t>
      </w:r>
      <w:proofErr w:type="spellEnd"/>
      <w:r w:rsidRPr="00AE6406">
        <w:t>: 10.1080/10611967.2018.1529980.</w:t>
      </w:r>
      <w:bookmarkEnd w:id="1"/>
    </w:p>
    <w:p w:rsidR="00AC1812" w:rsidRDefault="00AC1812" w:rsidP="00AC1812">
      <w:r w:rsidRPr="00AE6406">
        <w:t>Perl, E. D. (1999) ‘The presence of the paradigm: immanence and transcendence in Plato’s theory of forms’, Review of Metaphysics, 53(2), pp. 339–362. Available at: https://ezproxy.uwtsd.ac.uk/login?url=https://search.ebscohost.com/login.aspx?direct=true&amp;db=hus&amp;AN=505844590&amp;site=ehost-live (Accessed: 31 March 2019).</w:t>
      </w:r>
    </w:p>
    <w:p w:rsidR="00AC1812" w:rsidRPr="00873F08" w:rsidRDefault="00AC1812" w:rsidP="00AC1812">
      <w:r w:rsidRPr="00873F08">
        <w:t xml:space="preserve">Press, Gerald </w:t>
      </w:r>
      <w:proofErr w:type="spellStart"/>
      <w:r w:rsidRPr="00873F08">
        <w:t>A."Plato's</w:t>
      </w:r>
      <w:proofErr w:type="spellEnd"/>
      <w:r w:rsidRPr="00873F08">
        <w:t xml:space="preserve"> Philosophers: The Coherence of the Dialogues (review)." Journal of the History of Philosophy, vol. 50 no. 1, 2012, pp. 133-135. Project MUSE, </w:t>
      </w:r>
      <w:hyperlink r:id="rId7" w:history="1">
        <w:r w:rsidRPr="00873F08">
          <w:rPr>
            <w:rStyle w:val="Hyperlink"/>
          </w:rPr>
          <w:t>doi:10.1353/hph.2012.0012</w:t>
        </w:r>
      </w:hyperlink>
    </w:p>
    <w:p w:rsidR="00AC1812" w:rsidRDefault="00AC1812" w:rsidP="00AC1812">
      <w:r w:rsidRPr="00AE6406">
        <w:t xml:space="preserve">Reynolds, J. </w:t>
      </w:r>
      <w:proofErr w:type="gramStart"/>
      <w:r w:rsidRPr="00AE6406">
        <w:t>J. .</w:t>
      </w:r>
      <w:proofErr w:type="gramEnd"/>
      <w:r w:rsidRPr="00AE6406">
        <w:t xml:space="preserve"> (2007) ‘Plato’s Introduction of Forms’, Classical Bulletin, 83(1), pp. 142–144. Available at: https://ezproxy.uwtsd.ac.uk/login?url=https://search.ebscohost.com/login.aspx?direct=true&amp;db=hus&amp;AN=31409113&amp;site=ehost-live (Accessed: 31 March 2019).</w:t>
      </w:r>
    </w:p>
    <w:p w:rsidR="00AC1812" w:rsidRDefault="00AC1812" w:rsidP="00AC1812">
      <w:r w:rsidRPr="00AE6406">
        <w:t xml:space="preserve">Rowe, C. (2009) ‘[Plato’s Forms in Transition]’, Mnemosyne, 62(2), pp. 298–301. </w:t>
      </w:r>
      <w:proofErr w:type="spellStart"/>
      <w:r w:rsidRPr="00AE6406">
        <w:t>doi</w:t>
      </w:r>
      <w:proofErr w:type="spellEnd"/>
      <w:r w:rsidRPr="00AE6406">
        <w:t>: 10.1163/156852508X252993.</w:t>
      </w:r>
    </w:p>
    <w:p w:rsidR="00AC1812" w:rsidRDefault="00AC1812" w:rsidP="00AC1812">
      <w:r>
        <w:t xml:space="preserve">Rutherford, R. (2005). </w:t>
      </w:r>
      <w:r>
        <w:rPr>
          <w:i/>
        </w:rPr>
        <w:t xml:space="preserve">Blackwell Introduction to the Classical World: Classical Literature </w:t>
      </w:r>
      <w:proofErr w:type="gramStart"/>
      <w:r>
        <w:rPr>
          <w:i/>
        </w:rPr>
        <w:t>A</w:t>
      </w:r>
      <w:proofErr w:type="gramEnd"/>
      <w:r>
        <w:rPr>
          <w:i/>
        </w:rPr>
        <w:t xml:space="preserve"> </w:t>
      </w:r>
      <w:proofErr w:type="spellStart"/>
      <w:r>
        <w:rPr>
          <w:i/>
        </w:rPr>
        <w:t>Consise</w:t>
      </w:r>
      <w:proofErr w:type="spellEnd"/>
      <w:r>
        <w:rPr>
          <w:i/>
        </w:rPr>
        <w:t xml:space="preserve"> History</w:t>
      </w:r>
      <w:r>
        <w:t>. Blackwell Publishing.</w:t>
      </w:r>
    </w:p>
    <w:p w:rsidR="00AC1812" w:rsidRPr="00AE6406" w:rsidRDefault="00AC1812" w:rsidP="00AC1812">
      <w:r w:rsidRPr="00AE6406">
        <w:t>Schumacher, L. (2010) ‘Rethinking Recollection and Plato’s Theory of Forms’, Lyceum, 11(2), pp. 1–19. Available at: https://ezproxy.uwtsd.ac.uk/login?url=https://search.ebscohost.com/login.aspx?direct=true&amp;db=hus&amp;AN=60981647&amp;site=ehost-live (Accessed: 31 March 2019).</w:t>
      </w:r>
    </w:p>
    <w:p w:rsidR="00AC1812" w:rsidRDefault="00AC1812" w:rsidP="00AC1812">
      <w:r w:rsidRPr="00AE6406">
        <w:lastRenderedPageBreak/>
        <w:t xml:space="preserve">Sedley, D. (2016) ‘An Introduction to Plato’s Theory of Forms’, Royal Institute of Philosophy Supplement, 78, pp. 3–22. </w:t>
      </w:r>
      <w:proofErr w:type="spellStart"/>
      <w:r w:rsidRPr="00AE6406">
        <w:t>doi</w:t>
      </w:r>
      <w:proofErr w:type="spellEnd"/>
      <w:r w:rsidRPr="00AE6406">
        <w:t>: 10.1017/S1358246116000333.</w:t>
      </w:r>
    </w:p>
    <w:p w:rsidR="00AC1812" w:rsidRPr="00AE6406" w:rsidRDefault="00AC1812" w:rsidP="00AC1812">
      <w:proofErr w:type="spellStart"/>
      <w:r w:rsidRPr="00CA3142">
        <w:t>Szlezák</w:t>
      </w:r>
      <w:proofErr w:type="spellEnd"/>
      <w:r w:rsidRPr="00CA3142">
        <w:t>, Thomas A. (</w:t>
      </w:r>
      <w:r>
        <w:t>2006)</w:t>
      </w:r>
      <w:r w:rsidRPr="00CA3142">
        <w:t xml:space="preserve"> “Plato”, in: Brill’s New Pauly, Antiquity volumes edited by: Hubert </w:t>
      </w:r>
      <w:proofErr w:type="spellStart"/>
      <w:r w:rsidRPr="00CA3142">
        <w:t>Cancik</w:t>
      </w:r>
      <w:proofErr w:type="spellEnd"/>
      <w:r w:rsidRPr="00CA3142">
        <w:t xml:space="preserve"> </w:t>
      </w:r>
      <w:proofErr w:type="gramStart"/>
      <w:r w:rsidRPr="00CA3142">
        <w:t>and ,</w:t>
      </w:r>
      <w:proofErr w:type="gramEnd"/>
      <w:r w:rsidRPr="00CA3142">
        <w:t xml:space="preserve"> Helmuth Schneider, English Edition by: Christine F. Salazar, Classical Tradition volumes edited by: Manfred </w:t>
      </w:r>
      <w:proofErr w:type="spellStart"/>
      <w:r w:rsidRPr="00CA3142">
        <w:t>Landfester</w:t>
      </w:r>
      <w:proofErr w:type="spellEnd"/>
      <w:r w:rsidRPr="00CA3142">
        <w:t>, English Edition by: Francis G. Gentry. Consulted online on 31 March 2019 </w:t>
      </w:r>
      <w:r>
        <w:br/>
      </w:r>
      <w:r>
        <w:br/>
      </w:r>
      <w:proofErr w:type="spellStart"/>
      <w:r w:rsidRPr="00AE6406">
        <w:t>Trivigno</w:t>
      </w:r>
      <w:proofErr w:type="spellEnd"/>
      <w:r w:rsidRPr="00AE6406">
        <w:t>, F. (2007) ‘[Plato’s Introduction of Forms]’, Review of Metaphysics, 61(1), pp. 127–129. Available at: https://ezproxy.uwtsd.ac.uk/login?url=https://search.ebscohost.com/login.aspx?direct=true&amp;db=hus&amp;AN=505227382&amp;site=ehost-live (Accessed: 31 March 2019).</w:t>
      </w:r>
    </w:p>
    <w:p w:rsidR="00AC1812" w:rsidRDefault="00AC1812" w:rsidP="00AC1812">
      <w:proofErr w:type="spellStart"/>
      <w:r w:rsidRPr="00AE6406">
        <w:t>Wilberding</w:t>
      </w:r>
      <w:proofErr w:type="spellEnd"/>
      <w:r w:rsidRPr="00AE6406">
        <w:t xml:space="preserve">, J. (2009) ‘Plato’s Two Forms of Second-Best Morality’, Philosophical Review, 118(3), pp. 351–374. </w:t>
      </w:r>
      <w:proofErr w:type="spellStart"/>
      <w:r w:rsidRPr="00AE6406">
        <w:t>doi</w:t>
      </w:r>
      <w:proofErr w:type="spellEnd"/>
      <w:r w:rsidRPr="00AE6406">
        <w:t>: 10.1215/00318108-2009-003.</w:t>
      </w:r>
    </w:p>
    <w:p w:rsidR="00AC1812" w:rsidRDefault="00AC1812" w:rsidP="00AC1812"/>
    <w:p w:rsidR="00AC1812" w:rsidRDefault="00AC1812" w:rsidP="00AC1812">
      <w:r>
        <w:rPr>
          <w:u w:val="single"/>
        </w:rPr>
        <w:t>Ancient Sources</w:t>
      </w:r>
    </w:p>
    <w:p w:rsidR="00AC1812" w:rsidRDefault="00AC1812" w:rsidP="00AC1812"/>
    <w:p w:rsidR="00AC1812" w:rsidRDefault="00AC1812" w:rsidP="00AC1812">
      <w:r>
        <w:t xml:space="preserve">Plato. </w:t>
      </w:r>
      <w:r>
        <w:rPr>
          <w:i/>
        </w:rPr>
        <w:t>The Republic</w:t>
      </w:r>
      <w:r>
        <w:t>. Desmond Lee (trans). 1987. Penguin Books: London.</w:t>
      </w:r>
    </w:p>
    <w:p w:rsidR="00AC1812" w:rsidRDefault="00AC1812" w:rsidP="00AC1812">
      <w:r>
        <w:t xml:space="preserve">Plato. </w:t>
      </w:r>
      <w:r>
        <w:rPr>
          <w:i/>
        </w:rPr>
        <w:t>Parmenides</w:t>
      </w:r>
      <w:r>
        <w:t>. 1991. The Loeb Classical Library.</w:t>
      </w:r>
    </w:p>
    <w:p w:rsidR="00AC1812" w:rsidRPr="00DB4028" w:rsidRDefault="00AC1812" w:rsidP="00AC1812">
      <w:r>
        <w:t xml:space="preserve">Plato. </w:t>
      </w:r>
      <w:r>
        <w:rPr>
          <w:i/>
        </w:rPr>
        <w:t>Phaedo</w:t>
      </w:r>
      <w:r>
        <w:t>. 1991. The Loeb Classical Library</w:t>
      </w:r>
    </w:p>
    <w:p w:rsidR="00AC1812" w:rsidRDefault="00AC1812"/>
    <w:sectPr w:rsidR="00AC1812">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7609F" w:rsidRDefault="00F7609F" w:rsidP="00380A78">
      <w:pPr>
        <w:spacing w:after="0" w:line="240" w:lineRule="auto"/>
      </w:pPr>
      <w:r>
        <w:separator/>
      </w:r>
    </w:p>
  </w:endnote>
  <w:endnote w:type="continuationSeparator" w:id="0">
    <w:p w:rsidR="00F7609F" w:rsidRDefault="00F7609F" w:rsidP="00380A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80A78" w:rsidRPr="00380A78" w:rsidRDefault="00380A78">
    <w:pPr>
      <w:pStyle w:val="Footer"/>
      <w:jc w:val="right"/>
    </w:pPr>
    <w:r w:rsidRPr="00380A78">
      <w:rPr>
        <w:sz w:val="20"/>
        <w:szCs w:val="20"/>
      </w:rPr>
      <w:fldChar w:fldCharType="begin"/>
    </w:r>
    <w:r w:rsidRPr="00380A78">
      <w:rPr>
        <w:sz w:val="20"/>
        <w:szCs w:val="20"/>
      </w:rPr>
      <w:instrText xml:space="preserve"> PAGE  \* Arabic </w:instrText>
    </w:r>
    <w:r w:rsidRPr="00380A78">
      <w:rPr>
        <w:sz w:val="20"/>
        <w:szCs w:val="20"/>
      </w:rPr>
      <w:fldChar w:fldCharType="separate"/>
    </w:r>
    <w:r w:rsidRPr="00380A78">
      <w:rPr>
        <w:noProof/>
        <w:sz w:val="20"/>
        <w:szCs w:val="20"/>
      </w:rPr>
      <w:t>1</w:t>
    </w:r>
    <w:r w:rsidRPr="00380A78">
      <w:rPr>
        <w:sz w:val="20"/>
        <w:szCs w:val="20"/>
      </w:rPr>
      <w:fldChar w:fldCharType="end"/>
    </w:r>
  </w:p>
  <w:p w:rsidR="00380A78" w:rsidRDefault="00380A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7609F" w:rsidRDefault="00F7609F" w:rsidP="00380A78">
      <w:pPr>
        <w:spacing w:after="0" w:line="240" w:lineRule="auto"/>
      </w:pPr>
      <w:r>
        <w:separator/>
      </w:r>
    </w:p>
  </w:footnote>
  <w:footnote w:type="continuationSeparator" w:id="0">
    <w:p w:rsidR="00F7609F" w:rsidRDefault="00F7609F" w:rsidP="00380A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80A78" w:rsidRDefault="00380A78">
    <w:pPr>
      <w:pStyle w:val="Header"/>
    </w:pPr>
    <w:r>
      <w:t>Assignment 2 – Hazel Dawn Carter – 1800573 – Due 12/04/2019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1812"/>
    <w:rsid w:val="001D4708"/>
    <w:rsid w:val="00380A78"/>
    <w:rsid w:val="00855345"/>
    <w:rsid w:val="008F2941"/>
    <w:rsid w:val="00994281"/>
    <w:rsid w:val="00A00875"/>
    <w:rsid w:val="00AC1812"/>
    <w:rsid w:val="00C358D2"/>
    <w:rsid w:val="00CC0AEF"/>
    <w:rsid w:val="00D73224"/>
    <w:rsid w:val="00EA70EB"/>
    <w:rsid w:val="00F24133"/>
    <w:rsid w:val="00F760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2071A3"/>
  <w15:chartTrackingRefBased/>
  <w15:docId w15:val="{1B896B9F-B812-4BDD-B0C3-15985B9C64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181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C1812"/>
    <w:rPr>
      <w:color w:val="0000FF"/>
      <w:u w:val="single"/>
    </w:rPr>
  </w:style>
  <w:style w:type="paragraph" w:styleId="Header">
    <w:name w:val="header"/>
    <w:basedOn w:val="Normal"/>
    <w:link w:val="HeaderChar"/>
    <w:uiPriority w:val="99"/>
    <w:unhideWhenUsed/>
    <w:rsid w:val="00380A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0A78"/>
  </w:style>
  <w:style w:type="paragraph" w:styleId="Footer">
    <w:name w:val="footer"/>
    <w:basedOn w:val="Normal"/>
    <w:link w:val="FooterChar"/>
    <w:uiPriority w:val="99"/>
    <w:unhideWhenUsed/>
    <w:rsid w:val="00380A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0A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doi.org/10.1353/hph.2012.0012"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A0D92CF-564F-4F5F-AB7E-545B91756E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5</Pages>
  <Words>2221</Words>
  <Characters>12663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Hazel Dawn Carter</dc:creator>
  <cp:keywords/>
  <dc:description/>
  <cp:lastModifiedBy>Hazel Dawn Carter</cp:lastModifiedBy>
  <cp:revision>9</cp:revision>
  <dcterms:created xsi:type="dcterms:W3CDTF">2019-04-09T13:51:00Z</dcterms:created>
  <dcterms:modified xsi:type="dcterms:W3CDTF">2019-04-09T14:28:00Z</dcterms:modified>
</cp:coreProperties>
</file>