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360" w:lineRule="auto"/>
        <w:rPr>
          <w:rFonts w:ascii="Times New Roman" w:cs="Times New Roman" w:eastAsia="Times New Roman" w:hAnsi="Times New Roman"/>
          <w:sz w:val="24"/>
          <w:szCs w:val="24"/>
          <w:u w:val="single"/>
        </w:rPr>
      </w:pPr>
      <w:r w:rsidDel="00000000" w:rsidR="00000000" w:rsidRPr="00000000">
        <w:rPr>
          <w:rFonts w:ascii="Times New Roman" w:cs="Times New Roman" w:eastAsia="Times New Roman" w:hAnsi="Times New Roman"/>
          <w:sz w:val="24"/>
          <w:szCs w:val="24"/>
          <w:u w:val="single"/>
          <w:rtl w:val="0"/>
        </w:rPr>
        <w:t xml:space="preserve">1.0 Introduction</w:t>
      </w:r>
    </w:p>
    <w:p w:rsidR="00000000" w:rsidDel="00000000" w:rsidP="00000000" w:rsidRDefault="00000000" w:rsidRPr="00000000" w14:paraId="00000002">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According to Khan (2019) other than offer, acceptance and consideration, the last element that needs to be included would be intention to create legal relations, as without it there would not be a binding agreement. An agreement supported by consideration is not sufficient without the intention to create legal relations. The court requires to determine whether a party did intend to create legal relations it will consider a reasonable person that made an offer to him, while in the case of family, domestic or social agreements such as offer and acceptance there is no intention to create legal relations. This shows that when there is a presumption of absence of intention to create legal relations in the context of social or domestic agreement, the reasonable expectation that there are no legal consequences. </w:t>
      </w:r>
      <w:r w:rsidDel="00000000" w:rsidR="00000000" w:rsidRPr="00000000">
        <w:rPr>
          <w:rtl w:val="0"/>
        </w:rPr>
      </w:r>
    </w:p>
    <w:p w:rsidR="00000000" w:rsidDel="00000000" w:rsidP="00000000" w:rsidRDefault="00000000" w:rsidRPr="00000000" w14:paraId="00000003">
      <w:pPr>
        <w:spacing w:after="240" w:before="240" w:line="360" w:lineRule="auto"/>
        <w:ind w:left="0"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4">
      <w:pPr>
        <w:spacing w:after="240" w:before="240" w:line="360" w:lineRule="auto"/>
        <w:ind w:left="0"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5">
      <w:pPr>
        <w:spacing w:after="240" w:before="240"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6">
      <w:pPr>
        <w:spacing w:after="240" w:before="240" w:line="360" w:lineRule="auto"/>
        <w:jc w:val="both"/>
        <w:rPr>
          <w:rFonts w:ascii="Times New Roman" w:cs="Times New Roman" w:eastAsia="Times New Roman" w:hAnsi="Times New Roman"/>
          <w:b w:val="1"/>
          <w:sz w:val="24"/>
          <w:szCs w:val="24"/>
          <w:u w:val="single"/>
        </w:rPr>
      </w:pPr>
      <w:r w:rsidDel="00000000" w:rsidR="00000000" w:rsidRPr="00000000">
        <w:rPr>
          <w:rtl w:val="0"/>
        </w:rPr>
      </w:r>
    </w:p>
    <w:p w:rsidR="00000000" w:rsidDel="00000000" w:rsidP="00000000" w:rsidRDefault="00000000" w:rsidRPr="00000000" w14:paraId="00000007">
      <w:pPr>
        <w:spacing w:after="240" w:before="240" w:line="360" w:lineRule="auto"/>
        <w:jc w:val="both"/>
        <w:rPr>
          <w:rFonts w:ascii="Times New Roman" w:cs="Times New Roman" w:eastAsia="Times New Roman" w:hAnsi="Times New Roman"/>
          <w:b w:val="1"/>
          <w:sz w:val="24"/>
          <w:szCs w:val="24"/>
          <w:u w:val="single"/>
        </w:rPr>
      </w:pPr>
      <w:r w:rsidDel="00000000" w:rsidR="00000000" w:rsidRPr="00000000">
        <w:rPr>
          <w:rtl w:val="0"/>
        </w:rPr>
      </w:r>
    </w:p>
    <w:p w:rsidR="00000000" w:rsidDel="00000000" w:rsidP="00000000" w:rsidRDefault="00000000" w:rsidRPr="00000000" w14:paraId="00000008">
      <w:pPr>
        <w:spacing w:after="240" w:before="240" w:line="360" w:lineRule="auto"/>
        <w:jc w:val="both"/>
        <w:rPr>
          <w:rFonts w:ascii="Times New Roman" w:cs="Times New Roman" w:eastAsia="Times New Roman" w:hAnsi="Times New Roman"/>
          <w:b w:val="1"/>
          <w:sz w:val="24"/>
          <w:szCs w:val="24"/>
          <w:u w:val="single"/>
        </w:rPr>
      </w:pPr>
      <w:r w:rsidDel="00000000" w:rsidR="00000000" w:rsidRPr="00000000">
        <w:rPr>
          <w:rtl w:val="0"/>
        </w:rPr>
      </w:r>
    </w:p>
    <w:p w:rsidR="00000000" w:rsidDel="00000000" w:rsidP="00000000" w:rsidRDefault="00000000" w:rsidRPr="00000000" w14:paraId="00000009">
      <w:pPr>
        <w:spacing w:after="240" w:before="240" w:line="360" w:lineRule="auto"/>
        <w:jc w:val="both"/>
        <w:rPr>
          <w:rFonts w:ascii="Times New Roman" w:cs="Times New Roman" w:eastAsia="Times New Roman" w:hAnsi="Times New Roman"/>
          <w:b w:val="1"/>
          <w:sz w:val="24"/>
          <w:szCs w:val="24"/>
          <w:u w:val="single"/>
        </w:rPr>
      </w:pPr>
      <w:r w:rsidDel="00000000" w:rsidR="00000000" w:rsidRPr="00000000">
        <w:rPr>
          <w:rtl w:val="0"/>
        </w:rPr>
      </w:r>
    </w:p>
    <w:p w:rsidR="00000000" w:rsidDel="00000000" w:rsidP="00000000" w:rsidRDefault="00000000" w:rsidRPr="00000000" w14:paraId="0000000A">
      <w:pPr>
        <w:spacing w:after="240" w:before="240" w:line="360" w:lineRule="auto"/>
        <w:jc w:val="both"/>
        <w:rPr>
          <w:rFonts w:ascii="Times New Roman" w:cs="Times New Roman" w:eastAsia="Times New Roman" w:hAnsi="Times New Roman"/>
          <w:b w:val="1"/>
          <w:sz w:val="24"/>
          <w:szCs w:val="24"/>
          <w:u w:val="single"/>
        </w:rPr>
      </w:pPr>
      <w:r w:rsidDel="00000000" w:rsidR="00000000" w:rsidRPr="00000000">
        <w:rPr>
          <w:rtl w:val="0"/>
        </w:rPr>
      </w:r>
    </w:p>
    <w:p w:rsidR="00000000" w:rsidDel="00000000" w:rsidP="00000000" w:rsidRDefault="00000000" w:rsidRPr="00000000" w14:paraId="0000000B">
      <w:pPr>
        <w:spacing w:after="240" w:before="240" w:line="360" w:lineRule="auto"/>
        <w:jc w:val="both"/>
        <w:rPr>
          <w:rFonts w:ascii="Times New Roman" w:cs="Times New Roman" w:eastAsia="Times New Roman" w:hAnsi="Times New Roman"/>
          <w:b w:val="1"/>
          <w:sz w:val="24"/>
          <w:szCs w:val="24"/>
          <w:u w:val="single"/>
        </w:rPr>
      </w:pPr>
      <w:r w:rsidDel="00000000" w:rsidR="00000000" w:rsidRPr="00000000">
        <w:rPr>
          <w:rtl w:val="0"/>
        </w:rPr>
      </w:r>
    </w:p>
    <w:p w:rsidR="00000000" w:rsidDel="00000000" w:rsidP="00000000" w:rsidRDefault="00000000" w:rsidRPr="00000000" w14:paraId="0000000C">
      <w:pPr>
        <w:spacing w:after="240" w:before="240" w:line="360" w:lineRule="auto"/>
        <w:jc w:val="both"/>
        <w:rPr>
          <w:rFonts w:ascii="Times New Roman" w:cs="Times New Roman" w:eastAsia="Times New Roman" w:hAnsi="Times New Roman"/>
          <w:b w:val="1"/>
          <w:sz w:val="24"/>
          <w:szCs w:val="24"/>
          <w:u w:val="single"/>
        </w:rPr>
      </w:pPr>
      <w:r w:rsidDel="00000000" w:rsidR="00000000" w:rsidRPr="00000000">
        <w:rPr>
          <w:rtl w:val="0"/>
        </w:rPr>
      </w:r>
    </w:p>
    <w:p w:rsidR="00000000" w:rsidDel="00000000" w:rsidP="00000000" w:rsidRDefault="00000000" w:rsidRPr="00000000" w14:paraId="0000000D">
      <w:pPr>
        <w:spacing w:after="240" w:before="240" w:line="360" w:lineRule="auto"/>
        <w:jc w:val="both"/>
        <w:rPr>
          <w:rFonts w:ascii="Times New Roman" w:cs="Times New Roman" w:eastAsia="Times New Roman" w:hAnsi="Times New Roman"/>
          <w:b w:val="1"/>
          <w:sz w:val="24"/>
          <w:szCs w:val="24"/>
          <w:u w:val="single"/>
        </w:rPr>
      </w:pPr>
      <w:r w:rsidDel="00000000" w:rsidR="00000000" w:rsidRPr="00000000">
        <w:rPr>
          <w:rtl w:val="0"/>
        </w:rPr>
      </w:r>
    </w:p>
    <w:p w:rsidR="00000000" w:rsidDel="00000000" w:rsidP="00000000" w:rsidRDefault="00000000" w:rsidRPr="00000000" w14:paraId="0000000E">
      <w:pPr>
        <w:spacing w:after="240" w:before="240" w:line="360" w:lineRule="auto"/>
        <w:jc w:val="both"/>
        <w:rPr>
          <w:rFonts w:ascii="Times New Roman" w:cs="Times New Roman" w:eastAsia="Times New Roman" w:hAnsi="Times New Roman"/>
          <w:b w:val="1"/>
          <w:sz w:val="24"/>
          <w:szCs w:val="24"/>
          <w:u w:val="single"/>
        </w:rPr>
      </w:pPr>
      <w:r w:rsidDel="00000000" w:rsidR="00000000" w:rsidRPr="00000000">
        <w:rPr>
          <w:rtl w:val="0"/>
        </w:rPr>
      </w:r>
    </w:p>
    <w:p w:rsidR="00000000" w:rsidDel="00000000" w:rsidP="00000000" w:rsidRDefault="00000000" w:rsidRPr="00000000" w14:paraId="0000000F">
      <w:pPr>
        <w:spacing w:after="240" w:before="240" w:line="360" w:lineRule="auto"/>
        <w:jc w:val="both"/>
        <w:rPr>
          <w:rFonts w:ascii="Times New Roman" w:cs="Times New Roman" w:eastAsia="Times New Roman" w:hAnsi="Times New Roman"/>
          <w:b w:val="1"/>
          <w:sz w:val="24"/>
          <w:szCs w:val="24"/>
          <w:u w:val="single"/>
        </w:rPr>
      </w:pPr>
      <w:r w:rsidDel="00000000" w:rsidR="00000000" w:rsidRPr="00000000">
        <w:rPr>
          <w:rtl w:val="0"/>
        </w:rPr>
      </w:r>
    </w:p>
    <w:p w:rsidR="00000000" w:rsidDel="00000000" w:rsidP="00000000" w:rsidRDefault="00000000" w:rsidRPr="00000000" w14:paraId="00000010">
      <w:pPr>
        <w:spacing w:after="240" w:before="240" w:line="360" w:lineRule="auto"/>
        <w:jc w:val="both"/>
        <w:rPr>
          <w:rFonts w:ascii="Times New Roman" w:cs="Times New Roman" w:eastAsia="Times New Roman" w:hAnsi="Times New Roman"/>
          <w:b w:val="1"/>
          <w:sz w:val="24"/>
          <w:szCs w:val="24"/>
          <w:u w:val="single"/>
        </w:rPr>
      </w:pPr>
      <w:r w:rsidDel="00000000" w:rsidR="00000000" w:rsidRPr="00000000">
        <w:rPr>
          <w:rFonts w:ascii="Times New Roman" w:cs="Times New Roman" w:eastAsia="Times New Roman" w:hAnsi="Times New Roman"/>
          <w:b w:val="1"/>
          <w:sz w:val="24"/>
          <w:szCs w:val="24"/>
          <w:u w:val="single"/>
          <w:rtl w:val="0"/>
        </w:rPr>
        <w:t xml:space="preserve">2.0 Approach of the Courts </w:t>
      </w:r>
    </w:p>
    <w:p w:rsidR="00000000" w:rsidDel="00000000" w:rsidP="00000000" w:rsidRDefault="00000000" w:rsidRPr="00000000" w14:paraId="00000011">
      <w:pPr>
        <w:numPr>
          <w:ilvl w:val="0"/>
          <w:numId w:val="2"/>
        </w:numPr>
        <w:spacing w:line="360" w:lineRule="auto"/>
        <w:ind w:left="720" w:hanging="360"/>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Agreement made in Social or Domestic Context </w:t>
      </w:r>
    </w:p>
    <w:p w:rsidR="00000000" w:rsidDel="00000000" w:rsidP="00000000" w:rsidRDefault="00000000" w:rsidRPr="00000000" w14:paraId="00000012">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3">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sz w:val="24"/>
          <w:szCs w:val="24"/>
          <w:rtl w:val="0"/>
        </w:rPr>
        <w:t xml:space="preserve">Majority of the social and domestic arrangement is not a binding contract as they are not intended for it to be. When it comes to social and domestic arrangement it is divided into two which are family arrangement and other social arrangement. </w:t>
      </w:r>
      <w:r w:rsidDel="00000000" w:rsidR="00000000" w:rsidRPr="00000000">
        <w:rPr>
          <w:rtl w:val="0"/>
        </w:rPr>
      </w:r>
    </w:p>
    <w:p w:rsidR="00000000" w:rsidDel="00000000" w:rsidP="00000000" w:rsidRDefault="00000000" w:rsidRPr="00000000" w14:paraId="00000014">
      <w:pPr>
        <w:spacing w:line="360" w:lineRule="auto"/>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15">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For the first case in family arrangement would be under Balfour v Balfour (1919). In this case a married couple living in Ceylon in 1915. The woman was brought to England by her husband, a civil servant based in Sri Lanka. He agreed to give his wife £30 per month as maintenance if necessary because he would eventually return, but she had to remain in England due to medical reasons. The wife eventually filed a lawsuit against him when he didn't pay the sum. Her attempt failed for two reasons: first, there was no consideration given for the £30 each month, and second, neither party intended for the arrangement to be legally binding. According to the court, it is more up to the plaintiff, the wife to disprove the assumption that a contract wasn't intended to be created.(Richards, 2009). </w:t>
      </w:r>
    </w:p>
    <w:p w:rsidR="00000000" w:rsidDel="00000000" w:rsidP="00000000" w:rsidRDefault="00000000" w:rsidRPr="00000000" w14:paraId="00000016">
      <w:pPr>
        <w:spacing w:line="360" w:lineRule="auto"/>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sz w:val="24"/>
          <w:szCs w:val="24"/>
          <w:rtl w:val="0"/>
        </w:rPr>
        <w:tab/>
        <w:tab/>
        <w:t xml:space="preserve"> </w:t>
        <w:tab/>
        <w:t xml:space="preserve"> </w:t>
        <w:tab/>
        <w:t xml:space="preserve"> </w:t>
        <w:tab/>
        <w:tab/>
        <w:tab/>
        <w:tab/>
      </w:r>
      <w:r w:rsidDel="00000000" w:rsidR="00000000" w:rsidRPr="00000000">
        <w:rPr>
          <w:rtl w:val="0"/>
        </w:rPr>
      </w:r>
    </w:p>
    <w:p w:rsidR="00000000" w:rsidDel="00000000" w:rsidP="00000000" w:rsidRDefault="00000000" w:rsidRPr="00000000" w14:paraId="00000017">
      <w:pPr>
        <w:spacing w:line="360" w:lineRule="auto"/>
        <w:ind w:left="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When it comes to family arrangement, it does not necessarily mean marriage problems but it could also be between parents and children. In the case of Jones v Padavatton (1969), a mother had given a suggestion to her daughter that if she would quit her job in the United States and went to London to study for the bar, she would pay her $200 per month. The daughter was still reluctant as she had a well paid job with pension rights, nevertheless the mother still persuaded the daughter to join her in Trinidad as a lawyer (Poole, 2014). This agreement was not happening as the daughter thought that she would be receiving $200 but instead her mother meant Trinidad dollars. The daughter later got married and didn't finish college, which forced the mother to take over the house. The court ultimately determined that the arrangement was a domestic one, and because there was no evidence, it raised the possibility that the parties did not intend to be legally bound by the agreement..</w:t>
      </w:r>
    </w:p>
    <w:p w:rsidR="00000000" w:rsidDel="00000000" w:rsidP="00000000" w:rsidRDefault="00000000" w:rsidRPr="00000000" w14:paraId="00000018">
      <w:pPr>
        <w:spacing w:line="360" w:lineRule="auto"/>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19">
      <w:pPr>
        <w:spacing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rtl w:val="0"/>
        </w:rPr>
        <w:t xml:space="preserve">According to Richards (2009, pg 86) in the case of Merritt v Merritt (1970), the husband abandoned the marital residence to live with another woman. He later consented in writing at a meeting to give his wife £40 per month, which she was required to use to pay off the mortgage before she could turn the property over to her sole ownership.The husband then disagreed to transfer the house to the wife despite her paying off the house’s mortgage. The Court of Appeal held that there was no intention to create a legal relationship, </w:t>
      </w:r>
      <w:r w:rsidDel="00000000" w:rsidR="00000000" w:rsidRPr="00000000">
        <w:rPr>
          <w:rFonts w:ascii="Times New Roman" w:cs="Times New Roman" w:eastAsia="Times New Roman" w:hAnsi="Times New Roman"/>
          <w:sz w:val="24"/>
          <w:szCs w:val="24"/>
          <w:highlight w:val="white"/>
          <w:rtl w:val="0"/>
        </w:rPr>
        <w:t xml:space="preserve">the reasoning being the agreement took place in response to the marital breakdown. The Meritt case illustrates a point where the courts consider the existence or absence of intention to create a legal relationship, in contrast to Balfour, where the agreement was made on the basis of a mutual agreement.</w:t>
      </w:r>
    </w:p>
    <w:p w:rsidR="00000000" w:rsidDel="00000000" w:rsidP="00000000" w:rsidRDefault="00000000" w:rsidRPr="00000000" w14:paraId="0000001A">
      <w:pPr>
        <w:spacing w:line="360" w:lineRule="auto"/>
        <w:ind w:left="0" w:firstLine="0"/>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1B">
      <w:pPr>
        <w:spacing w:line="360" w:lineRule="auto"/>
        <w:ind w:left="0" w:firstLine="0"/>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rtl w:val="0"/>
        </w:rPr>
        <w:t xml:space="preserve">As above, cases illustrate agreements between husband and wife and parent and child which are everyday social agreements. There are also presumptions against finding intention to create a legal relationship even though this may be rebutted by evidence, in this case of Simpkins v Pays (1955) it shows mutuality. The defendant, who is the granddaughter and a plaintiff, a paying lodger all contributed in taking part in a newspaper competition. However they entered in the defendant’s name, which they did not set any boundaries in terms of postage. When the entry successfully won the competition, the defendant refused to share with the plaintiff making the plaintiff sued for his share. The plaintiff then was entitled to his share as the judge stated that there was a mutual agreement between both parties to establish a legally binding agreement</w:t>
      </w:r>
      <w:r w:rsidDel="00000000" w:rsidR="00000000" w:rsidRPr="00000000">
        <w:rPr>
          <w:rFonts w:ascii="Times New Roman" w:cs="Times New Roman" w:eastAsia="Times New Roman" w:hAnsi="Times New Roman"/>
          <w:sz w:val="24"/>
          <w:szCs w:val="24"/>
          <w:shd w:fill="c8e6c9" w:val="clear"/>
          <w:rtl w:val="0"/>
        </w:rPr>
        <w:t xml:space="preserve"> </w:t>
      </w:r>
      <w:r w:rsidDel="00000000" w:rsidR="00000000" w:rsidRPr="00000000">
        <w:rPr>
          <w:rFonts w:ascii="Times New Roman" w:cs="Times New Roman" w:eastAsia="Times New Roman" w:hAnsi="Times New Roman"/>
          <w:sz w:val="24"/>
          <w:szCs w:val="24"/>
          <w:highlight w:val="white"/>
          <w:rtl w:val="0"/>
        </w:rPr>
        <w:t xml:space="preserve">(Stone, 2013).</w:t>
      </w:r>
      <w:r w:rsidDel="00000000" w:rsidR="00000000" w:rsidRPr="00000000">
        <w:rPr>
          <w:rtl w:val="0"/>
        </w:rPr>
      </w:r>
    </w:p>
    <w:p w:rsidR="00000000" w:rsidDel="00000000" w:rsidP="00000000" w:rsidRDefault="00000000" w:rsidRPr="00000000" w14:paraId="0000001C">
      <w:pPr>
        <w:spacing w:line="360" w:lineRule="auto"/>
        <w:ind w:left="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D">
      <w:pPr>
        <w:spacing w:line="360" w:lineRule="auto"/>
        <w:ind w:left="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E">
      <w:pPr>
        <w:spacing w:line="360" w:lineRule="auto"/>
        <w:ind w:left="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F">
      <w:pPr>
        <w:spacing w:line="360" w:lineRule="auto"/>
        <w:ind w:left="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0">
      <w:pPr>
        <w:spacing w:line="360" w:lineRule="auto"/>
        <w:ind w:left="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1">
      <w:pPr>
        <w:spacing w:line="360" w:lineRule="auto"/>
        <w:ind w:left="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2">
      <w:pPr>
        <w:spacing w:line="360" w:lineRule="auto"/>
        <w:ind w:left="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3">
      <w:pPr>
        <w:spacing w:line="360" w:lineRule="auto"/>
        <w:ind w:left="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4">
      <w:pPr>
        <w:spacing w:line="360" w:lineRule="auto"/>
        <w:ind w:left="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5">
      <w:pPr>
        <w:spacing w:line="360" w:lineRule="auto"/>
        <w:ind w:left="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6">
      <w:pPr>
        <w:numPr>
          <w:ilvl w:val="0"/>
          <w:numId w:val="2"/>
        </w:numPr>
        <w:spacing w:line="360" w:lineRule="auto"/>
        <w:ind w:left="720" w:hanging="360"/>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Agreement made in Commercial/Business Context</w:t>
      </w:r>
    </w:p>
    <w:p w:rsidR="00000000" w:rsidDel="00000000" w:rsidP="00000000" w:rsidRDefault="00000000" w:rsidRPr="00000000" w14:paraId="00000027">
      <w:pPr>
        <w:spacing w:line="360" w:lineRule="auto"/>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28">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highlight w:val="white"/>
          <w:rtl w:val="0"/>
        </w:rPr>
        <w:t xml:space="preserve">In order for an agreement to be legally binding while also having an intention to create legal relations the law shows a contrast between the social and domestic agreement and agreements that are made in a commercial context.</w:t>
      </w:r>
      <w:r w:rsidDel="00000000" w:rsidR="00000000" w:rsidRPr="00000000">
        <w:rPr>
          <w:rFonts w:ascii="Times New Roman" w:cs="Times New Roman" w:eastAsia="Times New Roman" w:hAnsi="Times New Roman"/>
          <w:sz w:val="24"/>
          <w:szCs w:val="24"/>
          <w:rtl w:val="0"/>
        </w:rPr>
        <w:t xml:space="preserve"> W</w:t>
      </w:r>
      <w:r w:rsidDel="00000000" w:rsidR="00000000" w:rsidRPr="00000000">
        <w:rPr>
          <w:rFonts w:ascii="Times New Roman" w:cs="Times New Roman" w:eastAsia="Times New Roman" w:hAnsi="Times New Roman"/>
          <w:sz w:val="24"/>
          <w:szCs w:val="24"/>
          <w:rtl w:val="0"/>
        </w:rPr>
        <w:t xml:space="preserve">hen a married couple separates, the agreement is a writing that is made in a business context. While for the commercial agreements would be the opposite as there would be a strong presumption where there is an intention to create legal relations. </w:t>
      </w:r>
    </w:p>
    <w:p w:rsidR="00000000" w:rsidDel="00000000" w:rsidP="00000000" w:rsidRDefault="00000000" w:rsidRPr="00000000" w14:paraId="00000029">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A">
      <w:pPr>
        <w:spacing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The first case in Commercial and Business context is the Esso v Commissioners of Customs and Excise (1975) , the company had prepared a promotion due to the 1970 World Cup which was by purchasing four gallons of petrol would receive free coin from the World Cup Coins Collection. To recover purchase tax on the grounds they would produce it for general sale as Esso is liable to pay £200,000, This had caused an argument in the House of Lords as selling the coins only if there was an intention to create legal relations. Esso disagreed and argued that the coins were free gifts. Lord Simons and Wilberforce considered the intention was in terms of business context and the large commercial advantage that Esso expected to gain from. As there was an intention to create legal relations, the coins were offered in a commercial context which raised presumption (Elliott and Quinn, 2011).</w:t>
      </w:r>
    </w:p>
    <w:p w:rsidR="00000000" w:rsidDel="00000000" w:rsidP="00000000" w:rsidRDefault="00000000" w:rsidRPr="00000000" w14:paraId="0000002B">
      <w:pPr>
        <w:spacing w:line="360" w:lineRule="auto"/>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2C">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Moving on, Edward v Skyways (1964), The defendants, who were the plaintiff's employers, agreed to pay ex gratia payments to redundant personnel with a specific amount. The plaintiff was employed as an airline pilot. The plaintiff had two options because he was one of the contributory pension fund members of the defendant. One of the choices was to withdraw his contributions from the funds, and another was to receive a pension that would have an impact on him once he becomes 50. In the event that the plaintiff selects the first choice, the defendants will pay him "ex gratia" a sum equal to their financial contribution to the fund. His entire contribution was paid by the defendant, but he declined to make an "ex gratia" payment. The judgment states "ex gratia" did not pay to raise a bad agreement after the plaintiff successfully sued for breaching contract and won. This did not succeed in removing the assumption that a legal connection was intended, making the payer responsible for the payment (Richards, 2009). </w:t>
      </w:r>
    </w:p>
    <w:p w:rsidR="00000000" w:rsidDel="00000000" w:rsidP="00000000" w:rsidRDefault="00000000" w:rsidRPr="00000000" w14:paraId="0000002D">
      <w:pPr>
        <w:spacing w:line="360" w:lineRule="auto"/>
        <w:ind w:left="0" w:firstLine="0"/>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2E">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According to Elliott and Quinn (2011, pg 64) Rose &amp; Frank v Crompton Bros (1925) An English corporation entered into a written agreement to sell a carbon copy to a New York-based company in the United States; the plaintiffs were then granted the exclusive right to market such items for three years in the USA and Canada</w:t>
      </w:r>
      <w:r w:rsidDel="00000000" w:rsidR="00000000" w:rsidRPr="00000000">
        <w:rPr>
          <w:rFonts w:ascii="Times New Roman" w:cs="Times New Roman" w:eastAsia="Times New Roman" w:hAnsi="Times New Roman"/>
          <w:sz w:val="24"/>
          <w:szCs w:val="24"/>
          <w:rtl w:val="0"/>
        </w:rPr>
        <w:t xml:space="preserve">. The clause that is described </w:t>
      </w:r>
      <w:r w:rsidDel="00000000" w:rsidR="00000000" w:rsidRPr="00000000">
        <w:rPr>
          <w:rFonts w:ascii="Times New Roman" w:cs="Times New Roman" w:eastAsia="Times New Roman" w:hAnsi="Times New Roman"/>
          <w:sz w:val="24"/>
          <w:szCs w:val="24"/>
          <w:highlight w:val="white"/>
          <w:rtl w:val="0"/>
        </w:rPr>
        <w:t xml:space="preserve">as the Honourable Pledge C</w:t>
      </w:r>
      <w:r w:rsidDel="00000000" w:rsidR="00000000" w:rsidRPr="00000000">
        <w:rPr>
          <w:rFonts w:ascii="Times New Roman" w:cs="Times New Roman" w:eastAsia="Times New Roman" w:hAnsi="Times New Roman"/>
          <w:sz w:val="24"/>
          <w:szCs w:val="24"/>
          <w:rtl w:val="0"/>
        </w:rPr>
        <w:t xml:space="preserve">lause. The original agreement in the year 1913, however at the end of the three year period the option to extend. In the year of 1919, The arrangement was cancelled by the English defendants because it was not properly notified. This case results in a fair outcome while providing the parties with the effect they requested in the written memorandum. In the end, there would continue to be a strong presumption in business agreements that the goal is to create a legally enforceable contract, despite the ruling in the Rose and Frank case.</w:t>
      </w:r>
      <w:r w:rsidDel="00000000" w:rsidR="00000000" w:rsidRPr="00000000">
        <w:rPr>
          <w:rtl w:val="0"/>
        </w:rPr>
      </w:r>
    </w:p>
    <w:p w:rsidR="00000000" w:rsidDel="00000000" w:rsidP="00000000" w:rsidRDefault="00000000" w:rsidRPr="00000000" w14:paraId="0000002F">
      <w:pPr>
        <w:spacing w:line="360" w:lineRule="auto"/>
        <w:ind w:left="0"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0">
      <w:pPr>
        <w:spacing w:line="360" w:lineRule="auto"/>
        <w:ind w:left="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According to Poole (2014, pg 171) </w:t>
      </w:r>
      <w:r w:rsidDel="00000000" w:rsidR="00000000" w:rsidRPr="00000000">
        <w:rPr>
          <w:rFonts w:ascii="Times New Roman" w:cs="Times New Roman" w:eastAsia="Times New Roman" w:hAnsi="Times New Roman"/>
          <w:sz w:val="24"/>
          <w:szCs w:val="24"/>
          <w:rtl w:val="0"/>
        </w:rPr>
        <w:t xml:space="preserve">the case of Kleinwort Benson v Malaysia Mining Corp (1989)  the plaintiff, which was the bank that approved a loan facility to MMC Metals LTD, a fully owned subsidiary of MMC that trades tin on the London Metal Exchange. The bank requested that MMC Metals guarantee its own loan since it was unwilling to grant money based on MMC Metals' creditworthiness. Negotiations between the two sides, MMC agreed to provide a letter of comfort but would impose a higher rate of interest. In response to its own proposal, MMC then stated that it was against its policy to guarantee the debts of its subsidiaries. The defendant parent business is the defendant, and the plaintiff claimed ownership of the remaining funds. A letter of consolation was written. It is a letter of memoranda that is typically produced by a business to lend some money to one of its subsidiaries.</w:t>
      </w:r>
    </w:p>
    <w:p w:rsidR="00000000" w:rsidDel="00000000" w:rsidP="00000000" w:rsidRDefault="00000000" w:rsidRPr="00000000" w14:paraId="00000031">
      <w:pPr>
        <w:spacing w:line="360" w:lineRule="auto"/>
        <w:ind w:left="0"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2">
      <w:pPr>
        <w:spacing w:line="360" w:lineRule="auto"/>
        <w:ind w:left="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Richards (2009, pg 88) stated that, since it was a highly commercial agreement with a contractual duty on the part of the defendants, the judge determined that the case dealt with an intention to establish a legal connection. The judge made the ruling based on the Edward v Skyways (1964) case, which claims that the purpose of the commercial environment was to establish a legal relationship. The Skyways case had a promise that was supported by a consideration, therefore it had no application, according to the court of appeals, which later disagreed with the judge. The court then found that it is merely a statement as to present intention and it was carefully drafted so it does not contain any statement to future conduct. </w:t>
      </w:r>
    </w:p>
    <w:p w:rsidR="00000000" w:rsidDel="00000000" w:rsidP="00000000" w:rsidRDefault="00000000" w:rsidRPr="00000000" w14:paraId="00000033">
      <w:pPr>
        <w:spacing w:line="360" w:lineRule="auto"/>
        <w:ind w:left="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4">
      <w:pPr>
        <w:spacing w:line="360" w:lineRule="auto"/>
        <w:ind w:left="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Another case from ERDC Group Ltd v Brunel University (2006), the respondents, Brunel, wanted to build a new sports facility. The claimants, ERDC had submitted a tender for works on JCT standard form with the contractor design. Brunel decided to appoint ERDC, until a fully planned permission was obtained it was postponed due to the execution of the formal contract. To design their work under a letter of appointment, the first letter was issued then two other letters were issued and the three letters were returned countersigned by ERDC. Eventually another two letters were sent later on but ERDC did not countersign or return those letters, causing ERDC to continue working until the athletics track was completed. The "quantum meruit basis" should be used to value the job. From the first three letters by official countersignature by ERDC, there was a clear aim to establish legal ties in this matter. The rights and duties of the parties who intend for the agreement to be legally binding.</w:t>
      </w:r>
    </w:p>
    <w:p w:rsidR="00000000" w:rsidDel="00000000" w:rsidP="00000000" w:rsidRDefault="00000000" w:rsidRPr="00000000" w14:paraId="00000035">
      <w:pPr>
        <w:spacing w:line="360" w:lineRule="auto"/>
        <w:ind w:left="0"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6">
      <w:pPr>
        <w:numPr>
          <w:ilvl w:val="0"/>
          <w:numId w:val="2"/>
        </w:numPr>
        <w:spacing w:line="360" w:lineRule="auto"/>
        <w:ind w:left="720" w:hanging="360"/>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Agreement in Public Bodies Context </w:t>
      </w:r>
      <w:r w:rsidDel="00000000" w:rsidR="00000000" w:rsidRPr="00000000">
        <w:rPr>
          <w:rtl w:val="0"/>
        </w:rPr>
      </w:r>
    </w:p>
    <w:p w:rsidR="00000000" w:rsidDel="00000000" w:rsidP="00000000" w:rsidRDefault="00000000" w:rsidRPr="00000000" w14:paraId="00000037">
      <w:pPr>
        <w:spacing w:line="360" w:lineRule="auto"/>
        <w:ind w:left="0"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8">
      <w:pPr>
        <w:spacing w:line="360" w:lineRule="auto"/>
        <w:ind w:left="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the Triefus Case v Post Office (1957), the appellants had posted a package where the Post Office accepted, the packages contained diamonds for conveyance to New Zealand. The compensation will not be paid for any loss or damage of the contents. The packages were in fact stolen by one of the servants in the Post Office during the transit, the diamonds were uninsured, hence why he appellants attempt to recover their losses by bringing legal action against the Post Office for negligence, breach of the contract of carriage, and payment of damages. The claim in negligence was eventually barred from the Crown Proceedings Act 1947, this forbids any proceeding torts that is against the Crown or any officer. The post offices of both countries would seem to be in an almost impregnable position until a set time or the court's judgment, however the Post Office Act does provide tort actions against the crown in specific instances for loss or any damages aside from this.. </w:t>
      </w:r>
    </w:p>
    <w:p w:rsidR="00000000" w:rsidDel="00000000" w:rsidP="00000000" w:rsidRDefault="00000000" w:rsidRPr="00000000" w14:paraId="00000039">
      <w:pPr>
        <w:spacing w:line="360" w:lineRule="auto"/>
        <w:ind w:left="0"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A">
      <w:pPr>
        <w:spacing w:line="360" w:lineRule="auto"/>
        <w:ind w:left="0"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B">
      <w:pPr>
        <w:ind w:left="0" w:firstLine="0"/>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3C">
      <w:pPr>
        <w:spacing w:line="360" w:lineRule="auto"/>
        <w:ind w:left="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Furthermore, in another case of Robinson v HM Customs &amp; Excise (2000), the claimant, Mr Peter Robinson had bought a claim in the Watford County Court against the Commissioners of Customs and Excise due to the damages in breaching the contract and arising interest from an agreement. Both of the parties emphasized 2 issues at the hearing, which was that the parties had intentions to create legal relations. The claimant brought proceedings without any request for his identity to not be revealed and the case was heard in an open court. The custom offered reward for any information but the offer was not a certainty and there was no intention to create legal or contractual relation making the informant to clearly make his decision therefore no legal binding offer to make any payments. </w:t>
      </w:r>
    </w:p>
    <w:p w:rsidR="00000000" w:rsidDel="00000000" w:rsidP="00000000" w:rsidRDefault="00000000" w:rsidRPr="00000000" w14:paraId="0000003D">
      <w:pPr>
        <w:spacing w:line="360" w:lineRule="auto"/>
        <w:ind w:left="0"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E">
      <w:pPr>
        <w:spacing w:line="360" w:lineRule="auto"/>
        <w:ind w:left="0"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F">
      <w:pPr>
        <w:spacing w:line="360" w:lineRule="auto"/>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40">
      <w:pPr>
        <w:spacing w:line="360" w:lineRule="auto"/>
        <w:ind w:left="0" w:firstLine="0"/>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41">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2">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3">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4">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5">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6">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7">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8">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9">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A">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B">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C">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D">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E">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F">
      <w:pPr>
        <w:spacing w:line="360" w:lineRule="auto"/>
        <w:rPr>
          <w:rFonts w:ascii="Times New Roman" w:cs="Times New Roman" w:eastAsia="Times New Roman" w:hAnsi="Times New Roman"/>
          <w:sz w:val="24"/>
          <w:szCs w:val="24"/>
          <w:u w:val="single"/>
        </w:rPr>
      </w:pPr>
      <w:r w:rsidDel="00000000" w:rsidR="00000000" w:rsidRPr="00000000">
        <w:rPr>
          <w:rtl w:val="0"/>
        </w:rPr>
      </w:r>
    </w:p>
    <w:p w:rsidR="00000000" w:rsidDel="00000000" w:rsidP="00000000" w:rsidRDefault="00000000" w:rsidRPr="00000000" w14:paraId="00000050">
      <w:pPr>
        <w:spacing w:line="360" w:lineRule="auto"/>
        <w:rPr>
          <w:rFonts w:ascii="Times New Roman" w:cs="Times New Roman" w:eastAsia="Times New Roman" w:hAnsi="Times New Roman"/>
          <w:sz w:val="24"/>
          <w:szCs w:val="24"/>
          <w:u w:val="single"/>
        </w:rPr>
      </w:pPr>
      <w:r w:rsidDel="00000000" w:rsidR="00000000" w:rsidRPr="00000000">
        <w:rPr>
          <w:rtl w:val="0"/>
        </w:rPr>
      </w:r>
    </w:p>
    <w:p w:rsidR="00000000" w:rsidDel="00000000" w:rsidP="00000000" w:rsidRDefault="00000000" w:rsidRPr="00000000" w14:paraId="00000051">
      <w:pPr>
        <w:spacing w:line="360" w:lineRule="auto"/>
        <w:rPr>
          <w:rFonts w:ascii="Times New Roman" w:cs="Times New Roman" w:eastAsia="Times New Roman" w:hAnsi="Times New Roman"/>
          <w:sz w:val="24"/>
          <w:szCs w:val="24"/>
          <w:u w:val="single"/>
        </w:rPr>
      </w:pPr>
      <w:r w:rsidDel="00000000" w:rsidR="00000000" w:rsidRPr="00000000">
        <w:rPr>
          <w:rtl w:val="0"/>
        </w:rPr>
      </w:r>
    </w:p>
    <w:p w:rsidR="00000000" w:rsidDel="00000000" w:rsidP="00000000" w:rsidRDefault="00000000" w:rsidRPr="00000000" w14:paraId="00000052">
      <w:pPr>
        <w:spacing w:line="360" w:lineRule="auto"/>
        <w:rPr>
          <w:rFonts w:ascii="Times New Roman" w:cs="Times New Roman" w:eastAsia="Times New Roman" w:hAnsi="Times New Roman"/>
          <w:sz w:val="24"/>
          <w:szCs w:val="24"/>
          <w:u w:val="single"/>
        </w:rPr>
      </w:pPr>
      <w:r w:rsidDel="00000000" w:rsidR="00000000" w:rsidRPr="00000000">
        <w:rPr>
          <w:rtl w:val="0"/>
        </w:rPr>
      </w:r>
    </w:p>
    <w:p w:rsidR="00000000" w:rsidDel="00000000" w:rsidP="00000000" w:rsidRDefault="00000000" w:rsidRPr="00000000" w14:paraId="00000053">
      <w:pPr>
        <w:spacing w:line="360" w:lineRule="auto"/>
        <w:rPr>
          <w:rFonts w:ascii="Times New Roman" w:cs="Times New Roman" w:eastAsia="Times New Roman" w:hAnsi="Times New Roman"/>
          <w:sz w:val="24"/>
          <w:szCs w:val="24"/>
          <w:u w:val="single"/>
        </w:rPr>
      </w:pPr>
      <w:r w:rsidDel="00000000" w:rsidR="00000000" w:rsidRPr="00000000">
        <w:rPr>
          <w:rtl w:val="0"/>
        </w:rPr>
      </w:r>
    </w:p>
    <w:p w:rsidR="00000000" w:rsidDel="00000000" w:rsidP="00000000" w:rsidRDefault="00000000" w:rsidRPr="00000000" w14:paraId="00000054">
      <w:pPr>
        <w:spacing w:line="360" w:lineRule="auto"/>
        <w:rPr>
          <w:rFonts w:ascii="Times New Roman" w:cs="Times New Roman" w:eastAsia="Times New Roman" w:hAnsi="Times New Roman"/>
          <w:sz w:val="24"/>
          <w:szCs w:val="24"/>
          <w:u w:val="single"/>
        </w:rPr>
      </w:pPr>
      <w:r w:rsidDel="00000000" w:rsidR="00000000" w:rsidRPr="00000000">
        <w:rPr>
          <w:rtl w:val="0"/>
        </w:rPr>
      </w:r>
    </w:p>
    <w:p w:rsidR="00000000" w:rsidDel="00000000" w:rsidP="00000000" w:rsidRDefault="00000000" w:rsidRPr="00000000" w14:paraId="00000055">
      <w:pPr>
        <w:spacing w:line="360" w:lineRule="auto"/>
        <w:rPr>
          <w:rFonts w:ascii="Times New Roman" w:cs="Times New Roman" w:eastAsia="Times New Roman" w:hAnsi="Times New Roman"/>
          <w:sz w:val="24"/>
          <w:szCs w:val="24"/>
          <w:u w:val="single"/>
        </w:rPr>
      </w:pPr>
      <w:r w:rsidDel="00000000" w:rsidR="00000000" w:rsidRPr="00000000">
        <w:rPr>
          <w:rtl w:val="0"/>
        </w:rPr>
      </w:r>
    </w:p>
    <w:p w:rsidR="00000000" w:rsidDel="00000000" w:rsidP="00000000" w:rsidRDefault="00000000" w:rsidRPr="00000000" w14:paraId="00000056">
      <w:pPr>
        <w:spacing w:line="360" w:lineRule="auto"/>
        <w:rPr>
          <w:rFonts w:ascii="Times New Roman" w:cs="Times New Roman" w:eastAsia="Times New Roman" w:hAnsi="Times New Roman"/>
          <w:sz w:val="24"/>
          <w:szCs w:val="24"/>
          <w:u w:val="single"/>
        </w:rPr>
      </w:pPr>
      <w:r w:rsidDel="00000000" w:rsidR="00000000" w:rsidRPr="00000000">
        <w:rPr>
          <w:rtl w:val="0"/>
        </w:rPr>
      </w:r>
    </w:p>
    <w:p w:rsidR="00000000" w:rsidDel="00000000" w:rsidP="00000000" w:rsidRDefault="00000000" w:rsidRPr="00000000" w14:paraId="00000057">
      <w:pPr>
        <w:spacing w:line="360" w:lineRule="auto"/>
        <w:ind w:left="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8">
      <w:pPr>
        <w:pBdr>
          <w:left w:color="auto" w:space="0" w:sz="0" w:val="none"/>
        </w:pBdr>
        <w:spacing w:line="480" w:lineRule="auto"/>
        <w:ind w:left="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9">
      <w:pPr>
        <w:pBdr>
          <w:left w:color="auto" w:space="0" w:sz="0" w:val="none"/>
        </w:pBdr>
        <w:spacing w:line="480" w:lineRule="auto"/>
        <w:ind w:left="0" w:firstLine="0"/>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5A">
      <w:pPr>
        <w:pBdr>
          <w:left w:color="auto" w:space="0" w:sz="0" w:val="none"/>
        </w:pBdr>
        <w:spacing w:line="480" w:lineRule="auto"/>
        <w:ind w:left="0" w:firstLine="0"/>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Reference list</w:t>
      </w:r>
    </w:p>
    <w:p w:rsidR="00000000" w:rsidDel="00000000" w:rsidP="00000000" w:rsidRDefault="00000000" w:rsidRPr="00000000" w14:paraId="0000005B">
      <w:pPr>
        <w:pBdr>
          <w:left w:color="auto" w:space="0" w:sz="0" w:val="none"/>
        </w:pBdr>
        <w:spacing w:line="480" w:lineRule="auto"/>
        <w:ind w:left="0" w:firstLine="0"/>
        <w:rPr>
          <w:rFonts w:ascii="Times New Roman" w:cs="Times New Roman" w:eastAsia="Times New Roman" w:hAnsi="Times New Roman"/>
          <w:sz w:val="24"/>
          <w:szCs w:val="24"/>
          <w:u w:val="single"/>
        </w:rPr>
      </w:pPr>
      <w:r w:rsidDel="00000000" w:rsidR="00000000" w:rsidRPr="00000000">
        <w:rPr>
          <w:rFonts w:ascii="Times New Roman" w:cs="Times New Roman" w:eastAsia="Times New Roman" w:hAnsi="Times New Roman"/>
          <w:sz w:val="24"/>
          <w:szCs w:val="24"/>
          <w:u w:val="single"/>
          <w:rtl w:val="0"/>
        </w:rPr>
        <w:t xml:space="preserve">Legislation</w:t>
      </w:r>
    </w:p>
    <w:p w:rsidR="00000000" w:rsidDel="00000000" w:rsidP="00000000" w:rsidRDefault="00000000" w:rsidRPr="00000000" w14:paraId="0000005C">
      <w:pPr>
        <w:pBdr>
          <w:left w:color="auto" w:space="0" w:sz="0" w:val="none"/>
        </w:pBdr>
        <w:spacing w:line="480" w:lineRule="auto"/>
        <w:ind w:left="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Trade Union and Labor Relations (Consolidation) Act 1992</w:t>
      </w:r>
      <w:r w:rsidDel="00000000" w:rsidR="00000000" w:rsidRPr="00000000">
        <w:rPr>
          <w:rtl w:val="0"/>
        </w:rPr>
      </w:r>
    </w:p>
    <w:p w:rsidR="00000000" w:rsidDel="00000000" w:rsidP="00000000" w:rsidRDefault="00000000" w:rsidRPr="00000000" w14:paraId="0000005D">
      <w:pPr>
        <w:pBdr>
          <w:left w:color="auto" w:space="0" w:sz="0" w:val="none"/>
        </w:pBdr>
        <w:spacing w:line="480" w:lineRule="auto"/>
        <w:ind w:left="0" w:firstLine="0"/>
        <w:rPr>
          <w:rFonts w:ascii="Times New Roman" w:cs="Times New Roman" w:eastAsia="Times New Roman" w:hAnsi="Times New Roman"/>
          <w:sz w:val="24"/>
          <w:szCs w:val="24"/>
          <w:u w:val="single"/>
        </w:rPr>
      </w:pPr>
      <w:r w:rsidDel="00000000" w:rsidR="00000000" w:rsidRPr="00000000">
        <w:rPr>
          <w:rFonts w:ascii="Times New Roman" w:cs="Times New Roman" w:eastAsia="Times New Roman" w:hAnsi="Times New Roman"/>
          <w:sz w:val="24"/>
          <w:szCs w:val="24"/>
          <w:u w:val="single"/>
          <w:rtl w:val="0"/>
        </w:rPr>
        <w:t xml:space="preserve">Case law</w:t>
      </w:r>
    </w:p>
    <w:p w:rsidR="00000000" w:rsidDel="00000000" w:rsidP="00000000" w:rsidRDefault="00000000" w:rsidRPr="00000000" w14:paraId="0000005E">
      <w:pPr>
        <w:numPr>
          <w:ilvl w:val="0"/>
          <w:numId w:val="3"/>
        </w:numPr>
        <w:pBdr>
          <w:left w:color="auto" w:space="0" w:sz="0" w:val="none"/>
        </w:pBdr>
        <w:spacing w:line="480" w:lineRule="auto"/>
        <w:ind w:left="720" w:hanging="360"/>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Balfour v Balfour (1919) 2 KB 571 </w:t>
      </w:r>
    </w:p>
    <w:p w:rsidR="00000000" w:rsidDel="00000000" w:rsidP="00000000" w:rsidRDefault="00000000" w:rsidRPr="00000000" w14:paraId="0000005F">
      <w:pPr>
        <w:numPr>
          <w:ilvl w:val="0"/>
          <w:numId w:val="3"/>
        </w:numPr>
        <w:pBdr>
          <w:left w:color="auto" w:space="0" w:sz="0" w:val="none"/>
        </w:pBdr>
        <w:spacing w:line="480" w:lineRule="auto"/>
        <w:ind w:left="720" w:hanging="360"/>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Jones v Padavatton (1969) 1 WLR 328</w:t>
      </w:r>
    </w:p>
    <w:p w:rsidR="00000000" w:rsidDel="00000000" w:rsidP="00000000" w:rsidRDefault="00000000" w:rsidRPr="00000000" w14:paraId="00000060">
      <w:pPr>
        <w:numPr>
          <w:ilvl w:val="0"/>
          <w:numId w:val="3"/>
        </w:numPr>
        <w:pBdr>
          <w:left w:color="auto" w:space="0" w:sz="0" w:val="none"/>
        </w:pBdr>
        <w:spacing w:line="480" w:lineRule="auto"/>
        <w:ind w:left="720" w:hanging="360"/>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Meritt v Meritt (1970) 1 WLR 1211</w:t>
      </w:r>
    </w:p>
    <w:p w:rsidR="00000000" w:rsidDel="00000000" w:rsidP="00000000" w:rsidRDefault="00000000" w:rsidRPr="00000000" w14:paraId="00000061">
      <w:pPr>
        <w:numPr>
          <w:ilvl w:val="0"/>
          <w:numId w:val="3"/>
        </w:numPr>
        <w:pBdr>
          <w:left w:color="auto" w:space="0" w:sz="0" w:val="none"/>
        </w:pBdr>
        <w:spacing w:line="480" w:lineRule="auto"/>
        <w:ind w:left="720" w:hanging="360"/>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Simpkins v Pays (1955) 1 WLR 975</w:t>
      </w:r>
    </w:p>
    <w:p w:rsidR="00000000" w:rsidDel="00000000" w:rsidP="00000000" w:rsidRDefault="00000000" w:rsidRPr="00000000" w14:paraId="00000062">
      <w:pPr>
        <w:numPr>
          <w:ilvl w:val="0"/>
          <w:numId w:val="3"/>
        </w:numPr>
        <w:pBdr>
          <w:left w:color="auto" w:space="0" w:sz="0" w:val="none"/>
        </w:pBdr>
        <w:spacing w:line="480" w:lineRule="auto"/>
        <w:ind w:left="720" w:hanging="360"/>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Esso Petroleum v Commissioners of Customs &amp; Excise (1976) 1 WLR</w:t>
      </w:r>
    </w:p>
    <w:p w:rsidR="00000000" w:rsidDel="00000000" w:rsidP="00000000" w:rsidRDefault="00000000" w:rsidRPr="00000000" w14:paraId="00000063">
      <w:pPr>
        <w:numPr>
          <w:ilvl w:val="0"/>
          <w:numId w:val="3"/>
        </w:numPr>
        <w:pBdr>
          <w:left w:color="auto" w:space="0" w:sz="0" w:val="none"/>
        </w:pBdr>
        <w:spacing w:line="480" w:lineRule="auto"/>
        <w:ind w:left="720" w:hanging="360"/>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Edwards v Skyways Ltd (1964) 1 WLR 349</w:t>
      </w:r>
    </w:p>
    <w:p w:rsidR="00000000" w:rsidDel="00000000" w:rsidP="00000000" w:rsidRDefault="00000000" w:rsidRPr="00000000" w14:paraId="00000064">
      <w:pPr>
        <w:numPr>
          <w:ilvl w:val="0"/>
          <w:numId w:val="3"/>
        </w:numPr>
        <w:pBdr>
          <w:left w:color="auto" w:space="0" w:sz="0" w:val="none"/>
        </w:pBdr>
        <w:spacing w:line="480" w:lineRule="auto"/>
        <w:ind w:left="720" w:hanging="360"/>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Rose &amp; Frank v Crompton Bros (1925) AC 445 </w:t>
      </w:r>
    </w:p>
    <w:p w:rsidR="00000000" w:rsidDel="00000000" w:rsidP="00000000" w:rsidRDefault="00000000" w:rsidRPr="00000000" w14:paraId="00000065">
      <w:pPr>
        <w:numPr>
          <w:ilvl w:val="0"/>
          <w:numId w:val="3"/>
        </w:numPr>
        <w:pBdr>
          <w:left w:color="auto" w:space="0" w:sz="0" w:val="none"/>
        </w:pBdr>
        <w:spacing w:line="480" w:lineRule="auto"/>
        <w:ind w:left="720" w:hanging="360"/>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Kleinwort Benson Ltd v Malaysia Mining Corporation Berhad (1989) 1 WLR 379</w:t>
      </w:r>
    </w:p>
    <w:p w:rsidR="00000000" w:rsidDel="00000000" w:rsidP="00000000" w:rsidRDefault="00000000" w:rsidRPr="00000000" w14:paraId="00000066">
      <w:pPr>
        <w:numPr>
          <w:ilvl w:val="0"/>
          <w:numId w:val="3"/>
        </w:numPr>
        <w:pBdr>
          <w:left w:color="auto" w:space="0" w:sz="0" w:val="none"/>
        </w:pBdr>
        <w:spacing w:line="480" w:lineRule="auto"/>
        <w:ind w:left="720" w:hanging="360"/>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ERDC Group Ltd v Brunei University (2006) EWHC 687</w:t>
      </w:r>
    </w:p>
    <w:p w:rsidR="00000000" w:rsidDel="00000000" w:rsidP="00000000" w:rsidRDefault="00000000" w:rsidRPr="00000000" w14:paraId="00000067">
      <w:pPr>
        <w:numPr>
          <w:ilvl w:val="0"/>
          <w:numId w:val="3"/>
        </w:numPr>
        <w:pBdr>
          <w:left w:color="auto" w:space="0" w:sz="0" w:val="none"/>
        </w:pBdr>
        <w:spacing w:line="480" w:lineRule="auto"/>
        <w:ind w:left="720" w:hanging="360"/>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Triefus &amp; Co Ltd v Post Office (1957) 2 QB 352</w:t>
      </w:r>
    </w:p>
    <w:p w:rsidR="00000000" w:rsidDel="00000000" w:rsidP="00000000" w:rsidRDefault="00000000" w:rsidRPr="00000000" w14:paraId="00000068">
      <w:pPr>
        <w:numPr>
          <w:ilvl w:val="0"/>
          <w:numId w:val="3"/>
        </w:numPr>
        <w:pBdr>
          <w:left w:color="auto" w:space="0" w:sz="0" w:val="none"/>
        </w:pBdr>
        <w:spacing w:line="480" w:lineRule="auto"/>
        <w:ind w:left="720" w:hanging="360"/>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Robinsons v Commissioners of Customs and Excise QBD (28 Apr 2000)  </w:t>
      </w:r>
      <w:r w:rsidDel="00000000" w:rsidR="00000000" w:rsidRPr="00000000">
        <w:rPr>
          <w:rtl w:val="0"/>
        </w:rPr>
      </w:r>
    </w:p>
    <w:p w:rsidR="00000000" w:rsidDel="00000000" w:rsidP="00000000" w:rsidRDefault="00000000" w:rsidRPr="00000000" w14:paraId="00000069">
      <w:pPr>
        <w:pBdr>
          <w:left w:color="auto" w:space="0" w:sz="0" w:val="none"/>
        </w:pBdr>
        <w:spacing w:line="480" w:lineRule="auto"/>
        <w:ind w:left="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A">
      <w:pPr>
        <w:pBdr>
          <w:left w:color="auto" w:space="0" w:sz="0" w:val="none"/>
        </w:pBdr>
        <w:spacing w:line="480" w:lineRule="auto"/>
        <w:ind w:left="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Academic literature</w:t>
      </w:r>
    </w:p>
    <w:p w:rsidR="00000000" w:rsidDel="00000000" w:rsidP="00000000" w:rsidRDefault="00000000" w:rsidRPr="00000000" w14:paraId="0000006B">
      <w:pPr>
        <w:numPr>
          <w:ilvl w:val="0"/>
          <w:numId w:val="1"/>
        </w:numPr>
        <w:spacing w:after="0" w:afterAutospacing="0" w:line="36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Khan, A. (2019). Intention to Create Legal Relationship. </w:t>
      </w:r>
      <w:r w:rsidDel="00000000" w:rsidR="00000000" w:rsidRPr="00000000">
        <w:rPr>
          <w:rFonts w:ascii="Times New Roman" w:cs="Times New Roman" w:eastAsia="Times New Roman" w:hAnsi="Times New Roman"/>
          <w:i w:val="1"/>
          <w:sz w:val="24"/>
          <w:szCs w:val="24"/>
          <w:rtl w:val="0"/>
        </w:rPr>
        <w:t xml:space="preserve">Supremo Amicus</w:t>
      </w:r>
      <w:r w:rsidDel="00000000" w:rsidR="00000000" w:rsidRPr="00000000">
        <w:rPr>
          <w:rFonts w:ascii="Times New Roman" w:cs="Times New Roman" w:eastAsia="Times New Roman" w:hAnsi="Times New Roman"/>
          <w:sz w:val="24"/>
          <w:szCs w:val="24"/>
          <w:rtl w:val="0"/>
        </w:rPr>
        <w:t xml:space="preserve">, [online] 11(2456-9704), p.30. Available at: https://heinonline.org/HOL/LandingPage?handle=hein.journals/supami11&amp;div=9&amp;id=&amp;page= [Accessed 10 Mar. 2023].</w:t>
      </w:r>
    </w:p>
    <w:p w:rsidR="00000000" w:rsidDel="00000000" w:rsidP="00000000" w:rsidRDefault="00000000" w:rsidRPr="00000000" w14:paraId="0000006C">
      <w:pPr>
        <w:numPr>
          <w:ilvl w:val="0"/>
          <w:numId w:val="1"/>
        </w:numPr>
        <w:spacing w:after="0" w:afterAutospacing="0" w:line="36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Richards, P. (2009). </w:t>
      </w:r>
      <w:r w:rsidDel="00000000" w:rsidR="00000000" w:rsidRPr="00000000">
        <w:rPr>
          <w:rFonts w:ascii="Times New Roman" w:cs="Times New Roman" w:eastAsia="Times New Roman" w:hAnsi="Times New Roman"/>
          <w:i w:val="1"/>
          <w:sz w:val="24"/>
          <w:szCs w:val="24"/>
          <w:rtl w:val="0"/>
        </w:rPr>
        <w:t xml:space="preserve">Law of contract</w:t>
      </w:r>
      <w:r w:rsidDel="00000000" w:rsidR="00000000" w:rsidRPr="00000000">
        <w:rPr>
          <w:rFonts w:ascii="Times New Roman" w:cs="Times New Roman" w:eastAsia="Times New Roman" w:hAnsi="Times New Roman"/>
          <w:sz w:val="24"/>
          <w:szCs w:val="24"/>
          <w:rtl w:val="0"/>
        </w:rPr>
        <w:t xml:space="preserve">. 9th ed. Harlow: Pearson Longman.</w:t>
      </w:r>
    </w:p>
    <w:p w:rsidR="00000000" w:rsidDel="00000000" w:rsidP="00000000" w:rsidRDefault="00000000" w:rsidRPr="00000000" w14:paraId="0000006D">
      <w:pPr>
        <w:numPr>
          <w:ilvl w:val="0"/>
          <w:numId w:val="1"/>
        </w:numPr>
        <w:spacing w:after="0" w:afterAutospacing="0" w:line="36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Poole, J. (2014). </w:t>
      </w:r>
      <w:r w:rsidDel="00000000" w:rsidR="00000000" w:rsidRPr="00000000">
        <w:rPr>
          <w:rFonts w:ascii="Times New Roman" w:cs="Times New Roman" w:eastAsia="Times New Roman" w:hAnsi="Times New Roman"/>
          <w:i w:val="1"/>
          <w:sz w:val="24"/>
          <w:szCs w:val="24"/>
          <w:rtl w:val="0"/>
        </w:rPr>
        <w:t xml:space="preserve">Textbook on contract law</w:t>
      </w:r>
      <w:r w:rsidDel="00000000" w:rsidR="00000000" w:rsidRPr="00000000">
        <w:rPr>
          <w:rFonts w:ascii="Times New Roman" w:cs="Times New Roman" w:eastAsia="Times New Roman" w:hAnsi="Times New Roman"/>
          <w:sz w:val="24"/>
          <w:szCs w:val="24"/>
          <w:rtl w:val="0"/>
        </w:rPr>
        <w:t xml:space="preserve">. 12th ed. Oxford: Oxford University Press.</w:t>
      </w:r>
    </w:p>
    <w:p w:rsidR="00000000" w:rsidDel="00000000" w:rsidP="00000000" w:rsidRDefault="00000000" w:rsidRPr="00000000" w14:paraId="0000006E">
      <w:pPr>
        <w:numPr>
          <w:ilvl w:val="0"/>
          <w:numId w:val="1"/>
        </w:numPr>
        <w:spacing w:after="0" w:afterAutospacing="0" w:line="36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Stone, R. (2013). </w:t>
      </w:r>
      <w:r w:rsidDel="00000000" w:rsidR="00000000" w:rsidRPr="00000000">
        <w:rPr>
          <w:rFonts w:ascii="Times New Roman" w:cs="Times New Roman" w:eastAsia="Times New Roman" w:hAnsi="Times New Roman"/>
          <w:i w:val="1"/>
          <w:sz w:val="24"/>
          <w:szCs w:val="24"/>
          <w:rtl w:val="0"/>
        </w:rPr>
        <w:t xml:space="preserve">The modern law of contract</w:t>
      </w:r>
      <w:r w:rsidDel="00000000" w:rsidR="00000000" w:rsidRPr="00000000">
        <w:rPr>
          <w:rFonts w:ascii="Times New Roman" w:cs="Times New Roman" w:eastAsia="Times New Roman" w:hAnsi="Times New Roman"/>
          <w:sz w:val="24"/>
          <w:szCs w:val="24"/>
          <w:rtl w:val="0"/>
        </w:rPr>
        <w:t xml:space="preserve">. 10th ed. Abingdon,: Routledge.</w:t>
      </w:r>
    </w:p>
    <w:p w:rsidR="00000000" w:rsidDel="00000000" w:rsidP="00000000" w:rsidRDefault="00000000" w:rsidRPr="00000000" w14:paraId="0000006F">
      <w:pPr>
        <w:numPr>
          <w:ilvl w:val="0"/>
          <w:numId w:val="1"/>
        </w:numPr>
        <w:spacing w:after="0" w:afterAutospacing="0" w:line="36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Elliott, C. and Quinn, F. (2011). </w:t>
      </w:r>
      <w:r w:rsidDel="00000000" w:rsidR="00000000" w:rsidRPr="00000000">
        <w:rPr>
          <w:rFonts w:ascii="Times New Roman" w:cs="Times New Roman" w:eastAsia="Times New Roman" w:hAnsi="Times New Roman"/>
          <w:i w:val="1"/>
          <w:sz w:val="24"/>
          <w:szCs w:val="24"/>
          <w:rtl w:val="0"/>
        </w:rPr>
        <w:t xml:space="preserve">Contract law</w:t>
      </w:r>
      <w:r w:rsidDel="00000000" w:rsidR="00000000" w:rsidRPr="00000000">
        <w:rPr>
          <w:rFonts w:ascii="Times New Roman" w:cs="Times New Roman" w:eastAsia="Times New Roman" w:hAnsi="Times New Roman"/>
          <w:sz w:val="24"/>
          <w:szCs w:val="24"/>
          <w:rtl w:val="0"/>
        </w:rPr>
        <w:t xml:space="preserve">. 8th ed. Harlow ; London ; Paris: Pearson Longman.</w:t>
      </w:r>
      <w:r w:rsidDel="00000000" w:rsidR="00000000" w:rsidRPr="00000000">
        <w:rPr>
          <w:rtl w:val="0"/>
        </w:rPr>
      </w:r>
    </w:p>
    <w:p w:rsidR="00000000" w:rsidDel="00000000" w:rsidP="00000000" w:rsidRDefault="00000000" w:rsidRPr="00000000" w14:paraId="00000070">
      <w:pPr>
        <w:numPr>
          <w:ilvl w:val="0"/>
          <w:numId w:val="1"/>
        </w:numPr>
        <w:spacing w:line="36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i w:val="1"/>
          <w:sz w:val="24"/>
          <w:szCs w:val="24"/>
          <w:rtl w:val="0"/>
        </w:rPr>
        <w:t xml:space="preserve">ERDC Group Ltd v Brunel University</w:t>
      </w:r>
      <w:r w:rsidDel="00000000" w:rsidR="00000000" w:rsidRPr="00000000">
        <w:rPr>
          <w:rFonts w:ascii="Times New Roman" w:cs="Times New Roman" w:eastAsia="Times New Roman" w:hAnsi="Times New Roman"/>
          <w:sz w:val="24"/>
          <w:szCs w:val="24"/>
          <w:rtl w:val="0"/>
        </w:rPr>
        <w:t xml:space="preserve"> [2006] EWHC 687 (TCC), 109 ConLR 114, [2006] All ER (D) 468 (Mar)</w:t>
      </w:r>
    </w:p>
    <w:p w:rsidR="00000000" w:rsidDel="00000000" w:rsidP="00000000" w:rsidRDefault="00000000" w:rsidRPr="00000000" w14:paraId="00000071">
      <w:pPr>
        <w:spacing w:line="360" w:lineRule="auto"/>
        <w:ind w:left="0" w:firstLine="0"/>
        <w:rPr>
          <w:rFonts w:ascii="Times New Roman" w:cs="Times New Roman" w:eastAsia="Times New Roman" w:hAnsi="Times New Roman"/>
          <w:sz w:val="24"/>
          <w:szCs w:val="24"/>
        </w:rPr>
      </w:pPr>
      <w:r w:rsidDel="00000000" w:rsidR="00000000" w:rsidRPr="00000000">
        <w:rPr>
          <w:rtl w:val="0"/>
        </w:rPr>
      </w:r>
    </w:p>
    <w:sectPr>
      <w:footerReference r:id="rId6" w:type="default"/>
      <w:footerReference r:id="rId7" w:type="first"/>
      <w:pgSz w:h="15840" w:w="12240" w:orient="portrait"/>
      <w:pgMar w:bottom="1440" w:top="1440" w:left="1440" w:right="1440" w:header="720" w:footer="720"/>
      <w:pgNumType w:start="0"/>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72">
    <w:pPr>
      <w:rPr/>
    </w:pP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73">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lowerLetter"/>
      <w:lvlText w:val="%1)"/>
      <w:lvlJc w:val="left"/>
      <w:pPr>
        <w:ind w:left="720" w:hanging="360"/>
      </w:pPr>
      <w:rPr>
        <w:u w:val="none"/>
      </w:rPr>
    </w:lvl>
    <w:lvl w:ilvl="1">
      <w:start w:val="1"/>
      <w:numFmt w:val="lowerRoman"/>
      <w:lvlText w:val="%2)"/>
      <w:lvlJc w:val="right"/>
      <w:pPr>
        <w:ind w:left="1440" w:hanging="360"/>
      </w:pPr>
      <w:rPr>
        <w:u w:val="none"/>
      </w:rPr>
    </w:lvl>
    <w:lvl w:ilvl="2">
      <w:start w:val="1"/>
      <w:numFmt w:val="decimal"/>
      <w:lvlText w:val="%3)"/>
      <w:lvlJc w:val="left"/>
      <w:pPr>
        <w:ind w:left="2160" w:hanging="360"/>
      </w:pPr>
      <w:rPr>
        <w:u w:val="none"/>
      </w:rPr>
    </w:lvl>
    <w:lvl w:ilvl="3">
      <w:start w:val="1"/>
      <w:numFmt w:val="lowerLetter"/>
      <w:lvlText w:val="(%4)"/>
      <w:lvlJc w:val="left"/>
      <w:pPr>
        <w:ind w:left="2880" w:hanging="360"/>
      </w:pPr>
      <w:rPr>
        <w:u w:val="none"/>
      </w:rPr>
    </w:lvl>
    <w:lvl w:ilvl="4">
      <w:start w:val="1"/>
      <w:numFmt w:val="lowerRoman"/>
      <w:lvlText w:val="(%5)"/>
      <w:lvlJc w:val="right"/>
      <w:pPr>
        <w:ind w:left="3600" w:hanging="360"/>
      </w:pPr>
      <w:rPr>
        <w:u w:val="none"/>
      </w:rPr>
    </w:lvl>
    <w:lvl w:ilvl="5">
      <w:start w:val="1"/>
      <w:numFmt w:val="decimal"/>
      <w:lvlText w:val="(%6)"/>
      <w:lvlJc w:val="left"/>
      <w:pPr>
        <w:ind w:left="4320" w:hanging="360"/>
      </w:pPr>
      <w:rPr>
        <w:u w:val="none"/>
      </w:rPr>
    </w:lvl>
    <w:lvl w:ilvl="6">
      <w:start w:val="1"/>
      <w:numFmt w:val="lowerLetter"/>
      <w:lvlText w:val="%7."/>
      <w:lvlJc w:val="left"/>
      <w:pPr>
        <w:ind w:left="5040" w:hanging="360"/>
      </w:pPr>
      <w:rPr>
        <w:u w:val="none"/>
      </w:rPr>
    </w:lvl>
    <w:lvl w:ilvl="7">
      <w:start w:val="1"/>
      <w:numFmt w:val="lowerRoman"/>
      <w:lvlText w:val="%8."/>
      <w:lvlJc w:val="right"/>
      <w:pPr>
        <w:ind w:left="5760" w:hanging="360"/>
      </w:pPr>
      <w:rPr>
        <w:u w:val="none"/>
      </w:rPr>
    </w:lvl>
    <w:lvl w:ilvl="8">
      <w:start w:val="1"/>
      <w:numFmt w:val="decimal"/>
      <w:lvlText w:val="%9."/>
      <w:lvlJc w:val="left"/>
      <w:pPr>
        <w:ind w:left="6480" w:hanging="360"/>
      </w:pPr>
      <w:rPr>
        <w:u w:val="none"/>
      </w:rPr>
    </w:lvl>
  </w:abstractNum>
  <w:abstractNum w:abstractNumId="3">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1"/>
  </w:num>
  <w:num w:numId="2">
    <w:abstractNumId w:val="2"/>
  </w:num>
  <w:num w:numId="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footer" Target="footer2.xml"/><Relationship Id="rId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