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8B9BC" w14:textId="77777777" w:rsidR="00CA4E79" w:rsidRPr="00813FD2" w:rsidRDefault="00CA4E79" w:rsidP="00CD04B8">
      <w:pPr>
        <w:spacing w:line="360" w:lineRule="auto"/>
        <w:jc w:val="center"/>
        <w:rPr>
          <w:rFonts w:ascii="Arial" w:hAnsi="Arial" w:cs="Arial"/>
          <w:b/>
          <w:bCs/>
          <w:sz w:val="28"/>
          <w:szCs w:val="28"/>
        </w:rPr>
      </w:pPr>
      <w:r w:rsidRPr="00813FD2">
        <w:rPr>
          <w:rFonts w:ascii="Arial" w:hAnsi="Arial" w:cs="Arial"/>
          <w:b/>
          <w:bCs/>
          <w:sz w:val="28"/>
          <w:szCs w:val="28"/>
        </w:rPr>
        <w:t>BMHP6026 – Digital Innovation in Health and Social Care</w:t>
      </w:r>
    </w:p>
    <w:p w14:paraId="45DA6386" w14:textId="77777777" w:rsidR="00CA4E79" w:rsidRPr="00813FD2" w:rsidRDefault="00CA4E79" w:rsidP="00CD04B8">
      <w:pPr>
        <w:spacing w:line="360" w:lineRule="auto"/>
        <w:jc w:val="center"/>
        <w:rPr>
          <w:rFonts w:ascii="Arial" w:hAnsi="Arial" w:cs="Arial"/>
          <w:b/>
          <w:bCs/>
          <w:sz w:val="28"/>
          <w:szCs w:val="28"/>
        </w:rPr>
      </w:pPr>
      <w:r w:rsidRPr="00813FD2">
        <w:rPr>
          <w:rFonts w:ascii="Arial" w:hAnsi="Arial" w:cs="Arial"/>
          <w:b/>
          <w:bCs/>
          <w:sz w:val="28"/>
          <w:szCs w:val="28"/>
        </w:rPr>
        <w:t>Component 1: Critical Evaluation Report</w:t>
      </w:r>
    </w:p>
    <w:p w14:paraId="6628D9D4" w14:textId="77777777" w:rsidR="00CA4E79" w:rsidRPr="00813FD2" w:rsidRDefault="00CA4E79" w:rsidP="00CD04B8">
      <w:pPr>
        <w:spacing w:line="360" w:lineRule="auto"/>
        <w:jc w:val="center"/>
        <w:rPr>
          <w:rFonts w:ascii="Arial" w:hAnsi="Arial" w:cs="Arial"/>
          <w:b/>
          <w:bCs/>
          <w:sz w:val="28"/>
          <w:szCs w:val="28"/>
        </w:rPr>
      </w:pPr>
      <w:r w:rsidRPr="00813FD2">
        <w:rPr>
          <w:rFonts w:ascii="Arial" w:hAnsi="Arial" w:cs="Arial"/>
          <w:b/>
          <w:bCs/>
          <w:sz w:val="28"/>
          <w:szCs w:val="28"/>
        </w:rPr>
        <w:t>Title:</w:t>
      </w:r>
    </w:p>
    <w:p w14:paraId="61B66C5B" w14:textId="182E221F" w:rsidR="00CA4E79" w:rsidRPr="00813FD2" w:rsidRDefault="00CA4E79" w:rsidP="00CD04B8">
      <w:pPr>
        <w:spacing w:line="360" w:lineRule="auto"/>
        <w:jc w:val="center"/>
        <w:rPr>
          <w:rFonts w:ascii="Arial" w:hAnsi="Arial" w:cs="Arial"/>
          <w:b/>
          <w:bCs/>
          <w:i/>
          <w:iCs/>
          <w:sz w:val="28"/>
          <w:szCs w:val="28"/>
          <w:u w:val="single"/>
        </w:rPr>
      </w:pPr>
      <w:r w:rsidRPr="00813FD2">
        <w:rPr>
          <w:rFonts w:ascii="Arial" w:hAnsi="Arial" w:cs="Arial"/>
          <w:b/>
          <w:bCs/>
          <w:i/>
          <w:iCs/>
          <w:sz w:val="28"/>
          <w:szCs w:val="28"/>
          <w:u w:val="single"/>
        </w:rPr>
        <w:t>A Critical Evaluation of the NHS App as a Digital Innovation in UK Health Care</w:t>
      </w:r>
    </w:p>
    <w:p w14:paraId="6FC710E9" w14:textId="77777777" w:rsidR="00CC5732" w:rsidRDefault="00CA4E79" w:rsidP="00CD04B8">
      <w:pPr>
        <w:spacing w:line="360" w:lineRule="auto"/>
        <w:jc w:val="center"/>
        <w:rPr>
          <w:rFonts w:ascii="Arial" w:hAnsi="Arial" w:cs="Arial"/>
          <w:b/>
          <w:bCs/>
          <w:sz w:val="28"/>
          <w:szCs w:val="28"/>
        </w:rPr>
      </w:pPr>
      <w:r w:rsidRPr="00813FD2">
        <w:rPr>
          <w:rFonts w:ascii="Arial" w:hAnsi="Arial" w:cs="Arial"/>
          <w:b/>
          <w:bCs/>
          <w:sz w:val="28"/>
          <w:szCs w:val="28"/>
        </w:rPr>
        <w:t xml:space="preserve">Student Name: </w:t>
      </w:r>
      <w:r w:rsidR="00004C33">
        <w:rPr>
          <w:rFonts w:ascii="Arial" w:hAnsi="Arial" w:cs="Arial"/>
          <w:b/>
          <w:bCs/>
          <w:sz w:val="28"/>
          <w:szCs w:val="28"/>
        </w:rPr>
        <w:t>Elisabeta</w:t>
      </w:r>
      <w:r w:rsidR="00CC5732">
        <w:rPr>
          <w:rFonts w:ascii="Arial" w:hAnsi="Arial" w:cs="Arial"/>
          <w:b/>
          <w:bCs/>
          <w:sz w:val="28"/>
          <w:szCs w:val="28"/>
        </w:rPr>
        <w:t>-Roxana Pasareanu</w:t>
      </w:r>
      <w:r w:rsidRPr="00813FD2">
        <w:rPr>
          <w:rFonts w:ascii="Arial" w:hAnsi="Arial" w:cs="Arial"/>
          <w:b/>
          <w:bCs/>
          <w:sz w:val="28"/>
          <w:szCs w:val="28"/>
        </w:rPr>
        <w:br/>
        <w:t xml:space="preserve">Student ID: </w:t>
      </w:r>
      <w:r w:rsidR="00CC5732">
        <w:rPr>
          <w:rFonts w:ascii="Arial" w:hAnsi="Arial" w:cs="Arial"/>
          <w:b/>
          <w:bCs/>
          <w:sz w:val="28"/>
          <w:szCs w:val="28"/>
        </w:rPr>
        <w:t>2319073</w:t>
      </w:r>
    </w:p>
    <w:p w14:paraId="2E67BF91" w14:textId="12F9BDB6" w:rsidR="00CA4E79" w:rsidRPr="00813FD2" w:rsidRDefault="00CC5732" w:rsidP="00CD04B8">
      <w:pPr>
        <w:spacing w:line="360" w:lineRule="auto"/>
        <w:jc w:val="center"/>
        <w:rPr>
          <w:rFonts w:ascii="Arial" w:hAnsi="Arial" w:cs="Arial"/>
          <w:b/>
          <w:bCs/>
          <w:sz w:val="28"/>
          <w:szCs w:val="28"/>
        </w:rPr>
      </w:pPr>
      <w:r>
        <w:rPr>
          <w:rFonts w:ascii="Arial" w:hAnsi="Arial" w:cs="Arial"/>
          <w:b/>
          <w:bCs/>
          <w:sz w:val="28"/>
          <w:szCs w:val="28"/>
        </w:rPr>
        <w:t>L</w:t>
      </w:r>
      <w:r w:rsidR="00C72BEA">
        <w:rPr>
          <w:rFonts w:ascii="Arial" w:hAnsi="Arial" w:cs="Arial"/>
          <w:b/>
          <w:bCs/>
          <w:sz w:val="28"/>
          <w:szCs w:val="28"/>
        </w:rPr>
        <w:t>ecture: Martin</w:t>
      </w:r>
      <w:r w:rsidR="00440930">
        <w:rPr>
          <w:rFonts w:ascii="Arial" w:hAnsi="Arial" w:cs="Arial"/>
          <w:b/>
          <w:bCs/>
          <w:sz w:val="28"/>
          <w:szCs w:val="28"/>
        </w:rPr>
        <w:t xml:space="preserve"> Svejda</w:t>
      </w:r>
      <w:r w:rsidR="00CA4E79" w:rsidRPr="00813FD2">
        <w:rPr>
          <w:rFonts w:ascii="Arial" w:hAnsi="Arial" w:cs="Arial"/>
          <w:b/>
          <w:bCs/>
          <w:sz w:val="28"/>
          <w:szCs w:val="28"/>
        </w:rPr>
        <w:br/>
        <w:t>Module Code: BMHP6026</w:t>
      </w:r>
      <w:r w:rsidR="00CA4E79" w:rsidRPr="00813FD2">
        <w:rPr>
          <w:rFonts w:ascii="Arial" w:hAnsi="Arial" w:cs="Arial"/>
          <w:b/>
          <w:bCs/>
          <w:sz w:val="28"/>
          <w:szCs w:val="28"/>
        </w:rPr>
        <w:br/>
        <w:t>Module Title: Digital Innovation in Health and Social Care</w:t>
      </w:r>
      <w:r w:rsidR="00CA4E79" w:rsidRPr="00813FD2">
        <w:rPr>
          <w:rFonts w:ascii="Arial" w:hAnsi="Arial" w:cs="Arial"/>
          <w:b/>
          <w:bCs/>
          <w:sz w:val="28"/>
          <w:szCs w:val="28"/>
        </w:rPr>
        <w:br/>
      </w:r>
    </w:p>
    <w:p w14:paraId="661F8080" w14:textId="77777777" w:rsidR="00305335" w:rsidRPr="008E09C9" w:rsidRDefault="00305335" w:rsidP="008E09C9">
      <w:pPr>
        <w:spacing w:line="360" w:lineRule="auto"/>
        <w:jc w:val="both"/>
        <w:rPr>
          <w:rFonts w:ascii="Arial" w:hAnsi="Arial" w:cs="Arial"/>
        </w:rPr>
      </w:pPr>
    </w:p>
    <w:p w14:paraId="274AC1BA" w14:textId="77777777" w:rsidR="00305335" w:rsidRPr="008E09C9" w:rsidRDefault="00305335" w:rsidP="008E09C9">
      <w:pPr>
        <w:spacing w:line="360" w:lineRule="auto"/>
        <w:jc w:val="both"/>
        <w:rPr>
          <w:rFonts w:ascii="Arial" w:hAnsi="Arial" w:cs="Arial"/>
        </w:rPr>
      </w:pPr>
    </w:p>
    <w:p w14:paraId="1EFD5CBC" w14:textId="77777777" w:rsidR="0034656B" w:rsidRPr="008E09C9" w:rsidRDefault="0034656B" w:rsidP="008E09C9">
      <w:pPr>
        <w:spacing w:line="360" w:lineRule="auto"/>
        <w:jc w:val="both"/>
        <w:rPr>
          <w:rFonts w:ascii="Arial" w:hAnsi="Arial" w:cs="Arial"/>
        </w:rPr>
      </w:pPr>
    </w:p>
    <w:p w14:paraId="1263AC2C" w14:textId="77777777" w:rsidR="0034656B" w:rsidRPr="008E09C9" w:rsidRDefault="0034656B" w:rsidP="008E09C9">
      <w:pPr>
        <w:spacing w:line="360" w:lineRule="auto"/>
        <w:jc w:val="both"/>
        <w:rPr>
          <w:rFonts w:ascii="Arial" w:hAnsi="Arial" w:cs="Arial"/>
        </w:rPr>
      </w:pPr>
    </w:p>
    <w:p w14:paraId="2978006B" w14:textId="77777777" w:rsidR="0034656B" w:rsidRPr="008E09C9" w:rsidRDefault="0034656B" w:rsidP="008E09C9">
      <w:pPr>
        <w:spacing w:line="360" w:lineRule="auto"/>
        <w:jc w:val="both"/>
        <w:rPr>
          <w:rFonts w:ascii="Arial" w:hAnsi="Arial" w:cs="Arial"/>
        </w:rPr>
      </w:pPr>
    </w:p>
    <w:p w14:paraId="63FA4257" w14:textId="77777777" w:rsidR="0034656B" w:rsidRPr="008E09C9" w:rsidRDefault="0034656B" w:rsidP="008E09C9">
      <w:pPr>
        <w:spacing w:line="360" w:lineRule="auto"/>
        <w:jc w:val="both"/>
        <w:rPr>
          <w:rFonts w:ascii="Arial" w:hAnsi="Arial" w:cs="Arial"/>
        </w:rPr>
      </w:pPr>
    </w:p>
    <w:p w14:paraId="4FB37EF1" w14:textId="77777777" w:rsidR="0034656B" w:rsidRPr="008E09C9" w:rsidRDefault="0034656B" w:rsidP="008E09C9">
      <w:pPr>
        <w:spacing w:line="360" w:lineRule="auto"/>
        <w:jc w:val="both"/>
        <w:rPr>
          <w:rFonts w:ascii="Arial" w:hAnsi="Arial" w:cs="Arial"/>
        </w:rPr>
      </w:pPr>
    </w:p>
    <w:p w14:paraId="5B7AABE0" w14:textId="77777777" w:rsidR="0034656B" w:rsidRPr="008E09C9" w:rsidRDefault="0034656B" w:rsidP="008E09C9">
      <w:pPr>
        <w:spacing w:line="360" w:lineRule="auto"/>
        <w:jc w:val="both"/>
        <w:rPr>
          <w:rFonts w:ascii="Arial" w:hAnsi="Arial" w:cs="Arial"/>
        </w:rPr>
      </w:pPr>
    </w:p>
    <w:p w14:paraId="5BB2FFFD" w14:textId="77777777" w:rsidR="0034656B" w:rsidRPr="008E09C9" w:rsidRDefault="0034656B" w:rsidP="008E09C9">
      <w:pPr>
        <w:spacing w:line="360" w:lineRule="auto"/>
        <w:jc w:val="both"/>
        <w:rPr>
          <w:rFonts w:ascii="Arial" w:hAnsi="Arial" w:cs="Arial"/>
        </w:rPr>
      </w:pPr>
    </w:p>
    <w:p w14:paraId="70983489" w14:textId="77777777" w:rsidR="0034656B" w:rsidRPr="008E09C9" w:rsidRDefault="0034656B" w:rsidP="008E09C9">
      <w:pPr>
        <w:spacing w:line="360" w:lineRule="auto"/>
        <w:jc w:val="both"/>
        <w:rPr>
          <w:rFonts w:ascii="Arial" w:hAnsi="Arial" w:cs="Arial"/>
        </w:rPr>
      </w:pPr>
    </w:p>
    <w:p w14:paraId="7EC2AA11" w14:textId="77777777" w:rsidR="0034656B" w:rsidRPr="008E09C9" w:rsidRDefault="0034656B" w:rsidP="008E09C9">
      <w:pPr>
        <w:spacing w:line="360" w:lineRule="auto"/>
        <w:jc w:val="both"/>
        <w:rPr>
          <w:rFonts w:ascii="Arial" w:hAnsi="Arial" w:cs="Arial"/>
        </w:rPr>
      </w:pPr>
    </w:p>
    <w:p w14:paraId="538C496E" w14:textId="77777777" w:rsidR="0034656B" w:rsidRPr="008E09C9" w:rsidRDefault="0034656B" w:rsidP="008E09C9">
      <w:pPr>
        <w:spacing w:line="360" w:lineRule="auto"/>
        <w:jc w:val="both"/>
        <w:rPr>
          <w:rFonts w:ascii="Arial" w:hAnsi="Arial" w:cs="Arial"/>
        </w:rPr>
      </w:pPr>
    </w:p>
    <w:p w14:paraId="718FDB3D" w14:textId="77777777" w:rsidR="0034656B" w:rsidRDefault="0034656B" w:rsidP="008E09C9">
      <w:pPr>
        <w:spacing w:line="360" w:lineRule="auto"/>
        <w:jc w:val="both"/>
        <w:rPr>
          <w:rFonts w:ascii="Arial" w:hAnsi="Arial" w:cs="Arial"/>
        </w:rPr>
      </w:pPr>
    </w:p>
    <w:p w14:paraId="193D2470" w14:textId="77777777" w:rsidR="00E12811" w:rsidRDefault="00E12811" w:rsidP="008E09C9">
      <w:pPr>
        <w:spacing w:line="360" w:lineRule="auto"/>
        <w:jc w:val="both"/>
        <w:rPr>
          <w:rFonts w:ascii="Arial" w:hAnsi="Arial" w:cs="Arial"/>
        </w:rPr>
      </w:pPr>
    </w:p>
    <w:sdt>
      <w:sdtPr>
        <w:rPr>
          <w:rFonts w:asciiTheme="minorHAnsi" w:eastAsiaTheme="minorHAnsi" w:hAnsiTheme="minorHAnsi" w:cstheme="minorBidi"/>
          <w:color w:val="auto"/>
          <w:kern w:val="2"/>
          <w:sz w:val="24"/>
          <w:szCs w:val="24"/>
          <w14:ligatures w14:val="standardContextual"/>
        </w:rPr>
        <w:id w:val="-1582443942"/>
        <w:docPartObj>
          <w:docPartGallery w:val="Table of Contents"/>
          <w:docPartUnique/>
        </w:docPartObj>
      </w:sdtPr>
      <w:sdtEndPr>
        <w:rPr>
          <w:b/>
          <w:bCs/>
          <w:noProof/>
        </w:rPr>
      </w:sdtEndPr>
      <w:sdtContent>
        <w:p w14:paraId="066B3385" w14:textId="5AC64D32" w:rsidR="00E12811" w:rsidRDefault="00E12811" w:rsidP="00E12811">
          <w:pPr>
            <w:pStyle w:val="TOCHeading"/>
            <w:jc w:val="center"/>
          </w:pPr>
          <w:r>
            <w:t>Table of Contents</w:t>
          </w:r>
        </w:p>
        <w:p w14:paraId="5D7560DF" w14:textId="1272A5FC" w:rsidR="00E12811" w:rsidRDefault="00E12811">
          <w:pPr>
            <w:pStyle w:val="TOC1"/>
            <w:tabs>
              <w:tab w:val="right" w:leader="dot" w:pos="9350"/>
            </w:tabs>
            <w:rPr>
              <w:noProof/>
            </w:rPr>
          </w:pPr>
          <w:r>
            <w:fldChar w:fldCharType="begin"/>
          </w:r>
          <w:r>
            <w:instrText xml:space="preserve"> TOC \o "1-3" \h \z \u </w:instrText>
          </w:r>
          <w:r>
            <w:fldChar w:fldCharType="separate"/>
          </w:r>
          <w:hyperlink w:anchor="_Toc222333454" w:history="1">
            <w:r w:rsidRPr="000710DE">
              <w:rPr>
                <w:rStyle w:val="Hyperlink"/>
                <w:noProof/>
              </w:rPr>
              <w:t>Introduction</w:t>
            </w:r>
            <w:r>
              <w:rPr>
                <w:noProof/>
                <w:webHidden/>
              </w:rPr>
              <w:tab/>
            </w:r>
            <w:r>
              <w:rPr>
                <w:noProof/>
                <w:webHidden/>
              </w:rPr>
              <w:fldChar w:fldCharType="begin"/>
            </w:r>
            <w:r>
              <w:rPr>
                <w:noProof/>
                <w:webHidden/>
              </w:rPr>
              <w:instrText xml:space="preserve"> PAGEREF _Toc222333454 \h </w:instrText>
            </w:r>
            <w:r>
              <w:rPr>
                <w:noProof/>
                <w:webHidden/>
              </w:rPr>
            </w:r>
            <w:r>
              <w:rPr>
                <w:noProof/>
                <w:webHidden/>
              </w:rPr>
              <w:fldChar w:fldCharType="separate"/>
            </w:r>
            <w:r>
              <w:rPr>
                <w:noProof/>
                <w:webHidden/>
              </w:rPr>
              <w:t>2</w:t>
            </w:r>
            <w:r>
              <w:rPr>
                <w:noProof/>
                <w:webHidden/>
              </w:rPr>
              <w:fldChar w:fldCharType="end"/>
            </w:r>
          </w:hyperlink>
        </w:p>
        <w:p w14:paraId="7B1225BF" w14:textId="387C3657" w:rsidR="00E12811" w:rsidRDefault="00E12811">
          <w:pPr>
            <w:pStyle w:val="TOC1"/>
            <w:tabs>
              <w:tab w:val="right" w:leader="dot" w:pos="9350"/>
            </w:tabs>
            <w:rPr>
              <w:noProof/>
            </w:rPr>
          </w:pPr>
          <w:hyperlink w:anchor="_Toc222333455" w:history="1">
            <w:r w:rsidRPr="000710DE">
              <w:rPr>
                <w:rStyle w:val="Hyperlink"/>
                <w:noProof/>
              </w:rPr>
              <w:t>Impact on Workforce</w:t>
            </w:r>
            <w:r>
              <w:rPr>
                <w:noProof/>
                <w:webHidden/>
              </w:rPr>
              <w:tab/>
            </w:r>
            <w:r>
              <w:rPr>
                <w:noProof/>
                <w:webHidden/>
              </w:rPr>
              <w:fldChar w:fldCharType="begin"/>
            </w:r>
            <w:r>
              <w:rPr>
                <w:noProof/>
                <w:webHidden/>
              </w:rPr>
              <w:instrText xml:space="preserve"> PAGEREF _Toc222333455 \h </w:instrText>
            </w:r>
            <w:r>
              <w:rPr>
                <w:noProof/>
                <w:webHidden/>
              </w:rPr>
            </w:r>
            <w:r>
              <w:rPr>
                <w:noProof/>
                <w:webHidden/>
              </w:rPr>
              <w:fldChar w:fldCharType="separate"/>
            </w:r>
            <w:r>
              <w:rPr>
                <w:noProof/>
                <w:webHidden/>
              </w:rPr>
              <w:t>2</w:t>
            </w:r>
            <w:r>
              <w:rPr>
                <w:noProof/>
                <w:webHidden/>
              </w:rPr>
              <w:fldChar w:fldCharType="end"/>
            </w:r>
          </w:hyperlink>
        </w:p>
        <w:p w14:paraId="023F0F52" w14:textId="1FC484CF" w:rsidR="00E12811" w:rsidRDefault="00E12811">
          <w:pPr>
            <w:pStyle w:val="TOC1"/>
            <w:tabs>
              <w:tab w:val="right" w:leader="dot" w:pos="9350"/>
            </w:tabs>
            <w:rPr>
              <w:noProof/>
            </w:rPr>
          </w:pPr>
          <w:hyperlink w:anchor="_Toc222333456" w:history="1">
            <w:r w:rsidRPr="000710DE">
              <w:rPr>
                <w:rStyle w:val="Hyperlink"/>
                <w:noProof/>
              </w:rPr>
              <w:t>Benefits for Workforce</w:t>
            </w:r>
            <w:r>
              <w:rPr>
                <w:noProof/>
                <w:webHidden/>
              </w:rPr>
              <w:tab/>
            </w:r>
            <w:r>
              <w:rPr>
                <w:noProof/>
                <w:webHidden/>
              </w:rPr>
              <w:fldChar w:fldCharType="begin"/>
            </w:r>
            <w:r>
              <w:rPr>
                <w:noProof/>
                <w:webHidden/>
              </w:rPr>
              <w:instrText xml:space="preserve"> PAGEREF _Toc222333456 \h </w:instrText>
            </w:r>
            <w:r>
              <w:rPr>
                <w:noProof/>
                <w:webHidden/>
              </w:rPr>
            </w:r>
            <w:r>
              <w:rPr>
                <w:noProof/>
                <w:webHidden/>
              </w:rPr>
              <w:fldChar w:fldCharType="separate"/>
            </w:r>
            <w:r>
              <w:rPr>
                <w:noProof/>
                <w:webHidden/>
              </w:rPr>
              <w:t>4</w:t>
            </w:r>
            <w:r>
              <w:rPr>
                <w:noProof/>
                <w:webHidden/>
              </w:rPr>
              <w:fldChar w:fldCharType="end"/>
            </w:r>
          </w:hyperlink>
        </w:p>
        <w:p w14:paraId="483B64E0" w14:textId="7B0C8F86" w:rsidR="00E12811" w:rsidRDefault="00E12811">
          <w:pPr>
            <w:pStyle w:val="TOC1"/>
            <w:tabs>
              <w:tab w:val="right" w:leader="dot" w:pos="9350"/>
            </w:tabs>
            <w:rPr>
              <w:noProof/>
            </w:rPr>
          </w:pPr>
          <w:hyperlink w:anchor="_Toc222333457" w:history="1">
            <w:r w:rsidRPr="000710DE">
              <w:rPr>
                <w:rStyle w:val="Hyperlink"/>
                <w:noProof/>
              </w:rPr>
              <w:t>Challenges and Limitations</w:t>
            </w:r>
            <w:r>
              <w:rPr>
                <w:noProof/>
                <w:webHidden/>
              </w:rPr>
              <w:tab/>
            </w:r>
            <w:r>
              <w:rPr>
                <w:noProof/>
                <w:webHidden/>
              </w:rPr>
              <w:fldChar w:fldCharType="begin"/>
            </w:r>
            <w:r>
              <w:rPr>
                <w:noProof/>
                <w:webHidden/>
              </w:rPr>
              <w:instrText xml:space="preserve"> PAGEREF _Toc222333457 \h </w:instrText>
            </w:r>
            <w:r>
              <w:rPr>
                <w:noProof/>
                <w:webHidden/>
              </w:rPr>
            </w:r>
            <w:r>
              <w:rPr>
                <w:noProof/>
                <w:webHidden/>
              </w:rPr>
              <w:fldChar w:fldCharType="separate"/>
            </w:r>
            <w:r>
              <w:rPr>
                <w:noProof/>
                <w:webHidden/>
              </w:rPr>
              <w:t>5</w:t>
            </w:r>
            <w:r>
              <w:rPr>
                <w:noProof/>
                <w:webHidden/>
              </w:rPr>
              <w:fldChar w:fldCharType="end"/>
            </w:r>
          </w:hyperlink>
        </w:p>
        <w:p w14:paraId="2999C609" w14:textId="71C8645D" w:rsidR="00E12811" w:rsidRDefault="00E12811">
          <w:pPr>
            <w:pStyle w:val="TOC1"/>
            <w:tabs>
              <w:tab w:val="right" w:leader="dot" w:pos="9350"/>
            </w:tabs>
            <w:rPr>
              <w:noProof/>
            </w:rPr>
          </w:pPr>
          <w:hyperlink w:anchor="_Toc222333458" w:history="1">
            <w:r w:rsidRPr="000710DE">
              <w:rPr>
                <w:rStyle w:val="Hyperlink"/>
                <w:noProof/>
              </w:rPr>
              <w:t>Impact on Service Delivery</w:t>
            </w:r>
            <w:r>
              <w:rPr>
                <w:noProof/>
                <w:webHidden/>
              </w:rPr>
              <w:tab/>
            </w:r>
            <w:r>
              <w:rPr>
                <w:noProof/>
                <w:webHidden/>
              </w:rPr>
              <w:fldChar w:fldCharType="begin"/>
            </w:r>
            <w:r>
              <w:rPr>
                <w:noProof/>
                <w:webHidden/>
              </w:rPr>
              <w:instrText xml:space="preserve"> PAGEREF _Toc222333458 \h </w:instrText>
            </w:r>
            <w:r>
              <w:rPr>
                <w:noProof/>
                <w:webHidden/>
              </w:rPr>
            </w:r>
            <w:r>
              <w:rPr>
                <w:noProof/>
                <w:webHidden/>
              </w:rPr>
              <w:fldChar w:fldCharType="separate"/>
            </w:r>
            <w:r>
              <w:rPr>
                <w:noProof/>
                <w:webHidden/>
              </w:rPr>
              <w:t>6</w:t>
            </w:r>
            <w:r>
              <w:rPr>
                <w:noProof/>
                <w:webHidden/>
              </w:rPr>
              <w:fldChar w:fldCharType="end"/>
            </w:r>
          </w:hyperlink>
        </w:p>
        <w:p w14:paraId="0B4F1DE4" w14:textId="52FCE825" w:rsidR="00E12811" w:rsidRDefault="00E12811">
          <w:pPr>
            <w:pStyle w:val="TOC1"/>
            <w:tabs>
              <w:tab w:val="right" w:leader="dot" w:pos="9350"/>
            </w:tabs>
            <w:rPr>
              <w:noProof/>
            </w:rPr>
          </w:pPr>
          <w:hyperlink w:anchor="_Toc222333459" w:history="1">
            <w:r w:rsidRPr="000710DE">
              <w:rPr>
                <w:rStyle w:val="Hyperlink"/>
                <w:noProof/>
              </w:rPr>
              <w:t>Integration and Financial Costs</w:t>
            </w:r>
            <w:r>
              <w:rPr>
                <w:noProof/>
                <w:webHidden/>
              </w:rPr>
              <w:tab/>
            </w:r>
            <w:r>
              <w:rPr>
                <w:noProof/>
                <w:webHidden/>
              </w:rPr>
              <w:fldChar w:fldCharType="begin"/>
            </w:r>
            <w:r>
              <w:rPr>
                <w:noProof/>
                <w:webHidden/>
              </w:rPr>
              <w:instrText xml:space="preserve"> PAGEREF _Toc222333459 \h </w:instrText>
            </w:r>
            <w:r>
              <w:rPr>
                <w:noProof/>
                <w:webHidden/>
              </w:rPr>
            </w:r>
            <w:r>
              <w:rPr>
                <w:noProof/>
                <w:webHidden/>
              </w:rPr>
              <w:fldChar w:fldCharType="separate"/>
            </w:r>
            <w:r>
              <w:rPr>
                <w:noProof/>
                <w:webHidden/>
              </w:rPr>
              <w:t>7</w:t>
            </w:r>
            <w:r>
              <w:rPr>
                <w:noProof/>
                <w:webHidden/>
              </w:rPr>
              <w:fldChar w:fldCharType="end"/>
            </w:r>
          </w:hyperlink>
        </w:p>
        <w:p w14:paraId="753A6667" w14:textId="21FDA795" w:rsidR="00E12811" w:rsidRDefault="00E12811">
          <w:pPr>
            <w:pStyle w:val="TOC1"/>
            <w:tabs>
              <w:tab w:val="right" w:leader="dot" w:pos="9350"/>
            </w:tabs>
            <w:rPr>
              <w:noProof/>
            </w:rPr>
          </w:pPr>
          <w:hyperlink w:anchor="_Toc222333460" w:history="1">
            <w:r w:rsidRPr="000710DE">
              <w:rPr>
                <w:rStyle w:val="Hyperlink"/>
                <w:noProof/>
              </w:rPr>
              <w:t>Risk of Over-Reliance in Digital Systems</w:t>
            </w:r>
            <w:r>
              <w:rPr>
                <w:noProof/>
                <w:webHidden/>
              </w:rPr>
              <w:tab/>
            </w:r>
            <w:r>
              <w:rPr>
                <w:noProof/>
                <w:webHidden/>
              </w:rPr>
              <w:fldChar w:fldCharType="begin"/>
            </w:r>
            <w:r>
              <w:rPr>
                <w:noProof/>
                <w:webHidden/>
              </w:rPr>
              <w:instrText xml:space="preserve"> PAGEREF _Toc222333460 \h </w:instrText>
            </w:r>
            <w:r>
              <w:rPr>
                <w:noProof/>
                <w:webHidden/>
              </w:rPr>
            </w:r>
            <w:r>
              <w:rPr>
                <w:noProof/>
                <w:webHidden/>
              </w:rPr>
              <w:fldChar w:fldCharType="separate"/>
            </w:r>
            <w:r>
              <w:rPr>
                <w:noProof/>
                <w:webHidden/>
              </w:rPr>
              <w:t>7</w:t>
            </w:r>
            <w:r>
              <w:rPr>
                <w:noProof/>
                <w:webHidden/>
              </w:rPr>
              <w:fldChar w:fldCharType="end"/>
            </w:r>
          </w:hyperlink>
        </w:p>
        <w:p w14:paraId="5C776E8F" w14:textId="3A99709B" w:rsidR="00E12811" w:rsidRDefault="00E12811">
          <w:pPr>
            <w:pStyle w:val="TOC1"/>
            <w:tabs>
              <w:tab w:val="right" w:leader="dot" w:pos="9350"/>
            </w:tabs>
            <w:rPr>
              <w:noProof/>
            </w:rPr>
          </w:pPr>
          <w:hyperlink w:anchor="_Toc222333461" w:history="1">
            <w:r w:rsidRPr="000710DE">
              <w:rPr>
                <w:rStyle w:val="Hyperlink"/>
                <w:noProof/>
              </w:rPr>
              <w:t>Impact on Patient/Service User</w:t>
            </w:r>
            <w:r>
              <w:rPr>
                <w:noProof/>
                <w:webHidden/>
              </w:rPr>
              <w:tab/>
            </w:r>
            <w:r>
              <w:rPr>
                <w:noProof/>
                <w:webHidden/>
              </w:rPr>
              <w:fldChar w:fldCharType="begin"/>
            </w:r>
            <w:r>
              <w:rPr>
                <w:noProof/>
                <w:webHidden/>
              </w:rPr>
              <w:instrText xml:space="preserve"> PAGEREF _Toc222333461 \h </w:instrText>
            </w:r>
            <w:r>
              <w:rPr>
                <w:noProof/>
                <w:webHidden/>
              </w:rPr>
            </w:r>
            <w:r>
              <w:rPr>
                <w:noProof/>
                <w:webHidden/>
              </w:rPr>
              <w:fldChar w:fldCharType="separate"/>
            </w:r>
            <w:r>
              <w:rPr>
                <w:noProof/>
                <w:webHidden/>
              </w:rPr>
              <w:t>8</w:t>
            </w:r>
            <w:r>
              <w:rPr>
                <w:noProof/>
                <w:webHidden/>
              </w:rPr>
              <w:fldChar w:fldCharType="end"/>
            </w:r>
          </w:hyperlink>
        </w:p>
        <w:p w14:paraId="6CD94893" w14:textId="2BFB5B3B" w:rsidR="00E12811" w:rsidRDefault="00E12811">
          <w:pPr>
            <w:pStyle w:val="TOC1"/>
            <w:tabs>
              <w:tab w:val="right" w:leader="dot" w:pos="9350"/>
            </w:tabs>
            <w:rPr>
              <w:noProof/>
            </w:rPr>
          </w:pPr>
          <w:hyperlink w:anchor="_Toc222333462" w:history="1">
            <w:r w:rsidRPr="000710DE">
              <w:rPr>
                <w:rStyle w:val="Hyperlink"/>
                <w:noProof/>
              </w:rPr>
              <w:t>Conclusion and Recommendations</w:t>
            </w:r>
            <w:r>
              <w:rPr>
                <w:noProof/>
                <w:webHidden/>
              </w:rPr>
              <w:tab/>
            </w:r>
            <w:r>
              <w:rPr>
                <w:noProof/>
                <w:webHidden/>
              </w:rPr>
              <w:fldChar w:fldCharType="begin"/>
            </w:r>
            <w:r>
              <w:rPr>
                <w:noProof/>
                <w:webHidden/>
              </w:rPr>
              <w:instrText xml:space="preserve"> PAGEREF _Toc222333462 \h </w:instrText>
            </w:r>
            <w:r>
              <w:rPr>
                <w:noProof/>
                <w:webHidden/>
              </w:rPr>
            </w:r>
            <w:r>
              <w:rPr>
                <w:noProof/>
                <w:webHidden/>
              </w:rPr>
              <w:fldChar w:fldCharType="separate"/>
            </w:r>
            <w:r>
              <w:rPr>
                <w:noProof/>
                <w:webHidden/>
              </w:rPr>
              <w:t>9</w:t>
            </w:r>
            <w:r>
              <w:rPr>
                <w:noProof/>
                <w:webHidden/>
              </w:rPr>
              <w:fldChar w:fldCharType="end"/>
            </w:r>
          </w:hyperlink>
        </w:p>
        <w:p w14:paraId="66C22D6E" w14:textId="24A0AA77" w:rsidR="00E12811" w:rsidRDefault="00E12811">
          <w:pPr>
            <w:pStyle w:val="TOC1"/>
            <w:tabs>
              <w:tab w:val="right" w:leader="dot" w:pos="9350"/>
            </w:tabs>
            <w:rPr>
              <w:noProof/>
            </w:rPr>
          </w:pPr>
          <w:hyperlink w:anchor="_Toc222333463" w:history="1">
            <w:r w:rsidRPr="000710DE">
              <w:rPr>
                <w:rStyle w:val="Hyperlink"/>
                <w:noProof/>
              </w:rPr>
              <w:t>Recommendations</w:t>
            </w:r>
            <w:r>
              <w:rPr>
                <w:noProof/>
                <w:webHidden/>
              </w:rPr>
              <w:tab/>
            </w:r>
            <w:r>
              <w:rPr>
                <w:noProof/>
                <w:webHidden/>
              </w:rPr>
              <w:fldChar w:fldCharType="begin"/>
            </w:r>
            <w:r>
              <w:rPr>
                <w:noProof/>
                <w:webHidden/>
              </w:rPr>
              <w:instrText xml:space="preserve"> PAGEREF _Toc222333463 \h </w:instrText>
            </w:r>
            <w:r>
              <w:rPr>
                <w:noProof/>
                <w:webHidden/>
              </w:rPr>
            </w:r>
            <w:r>
              <w:rPr>
                <w:noProof/>
                <w:webHidden/>
              </w:rPr>
              <w:fldChar w:fldCharType="separate"/>
            </w:r>
            <w:r>
              <w:rPr>
                <w:noProof/>
                <w:webHidden/>
              </w:rPr>
              <w:t>10</w:t>
            </w:r>
            <w:r>
              <w:rPr>
                <w:noProof/>
                <w:webHidden/>
              </w:rPr>
              <w:fldChar w:fldCharType="end"/>
            </w:r>
          </w:hyperlink>
        </w:p>
        <w:p w14:paraId="4255C2E2" w14:textId="34C8DFE6" w:rsidR="00E12811" w:rsidRDefault="00E12811">
          <w:pPr>
            <w:pStyle w:val="TOC1"/>
            <w:tabs>
              <w:tab w:val="right" w:leader="dot" w:pos="9350"/>
            </w:tabs>
            <w:rPr>
              <w:noProof/>
            </w:rPr>
          </w:pPr>
          <w:hyperlink w:anchor="_Toc222333464" w:history="1">
            <w:r w:rsidRPr="000710DE">
              <w:rPr>
                <w:rStyle w:val="Hyperlink"/>
                <w:noProof/>
              </w:rPr>
              <w:t>Reference</w:t>
            </w:r>
            <w:r>
              <w:rPr>
                <w:noProof/>
                <w:webHidden/>
              </w:rPr>
              <w:tab/>
            </w:r>
            <w:r>
              <w:rPr>
                <w:noProof/>
                <w:webHidden/>
              </w:rPr>
              <w:fldChar w:fldCharType="begin"/>
            </w:r>
            <w:r>
              <w:rPr>
                <w:noProof/>
                <w:webHidden/>
              </w:rPr>
              <w:instrText xml:space="preserve"> PAGEREF _Toc222333464 \h </w:instrText>
            </w:r>
            <w:r>
              <w:rPr>
                <w:noProof/>
                <w:webHidden/>
              </w:rPr>
            </w:r>
            <w:r>
              <w:rPr>
                <w:noProof/>
                <w:webHidden/>
              </w:rPr>
              <w:fldChar w:fldCharType="separate"/>
            </w:r>
            <w:r>
              <w:rPr>
                <w:noProof/>
                <w:webHidden/>
              </w:rPr>
              <w:t>11</w:t>
            </w:r>
            <w:r>
              <w:rPr>
                <w:noProof/>
                <w:webHidden/>
              </w:rPr>
              <w:fldChar w:fldCharType="end"/>
            </w:r>
          </w:hyperlink>
        </w:p>
        <w:p w14:paraId="59A42D23" w14:textId="19424B7B" w:rsidR="00E12811" w:rsidRDefault="00E12811">
          <w:r>
            <w:rPr>
              <w:b/>
              <w:bCs/>
              <w:noProof/>
            </w:rPr>
            <w:fldChar w:fldCharType="end"/>
          </w:r>
        </w:p>
      </w:sdtContent>
    </w:sdt>
    <w:p w14:paraId="2783F8E3" w14:textId="77777777" w:rsidR="00E12811" w:rsidRPr="008E09C9" w:rsidRDefault="00E12811" w:rsidP="008E09C9">
      <w:pPr>
        <w:spacing w:line="360" w:lineRule="auto"/>
        <w:jc w:val="both"/>
        <w:rPr>
          <w:rFonts w:ascii="Arial" w:hAnsi="Arial" w:cs="Arial"/>
        </w:rPr>
      </w:pPr>
    </w:p>
    <w:p w14:paraId="7ABBDB05" w14:textId="77777777" w:rsidR="0034656B" w:rsidRPr="008E09C9" w:rsidRDefault="0034656B" w:rsidP="008E09C9">
      <w:pPr>
        <w:spacing w:line="360" w:lineRule="auto"/>
        <w:jc w:val="both"/>
        <w:rPr>
          <w:rFonts w:ascii="Arial" w:hAnsi="Arial" w:cs="Arial"/>
        </w:rPr>
      </w:pPr>
    </w:p>
    <w:p w14:paraId="6384C5EF" w14:textId="77777777" w:rsidR="0034656B" w:rsidRDefault="0034656B" w:rsidP="008E09C9">
      <w:pPr>
        <w:spacing w:line="360" w:lineRule="auto"/>
        <w:jc w:val="both"/>
        <w:rPr>
          <w:rFonts w:ascii="Arial" w:hAnsi="Arial" w:cs="Arial"/>
        </w:rPr>
      </w:pPr>
    </w:p>
    <w:p w14:paraId="71AB617F" w14:textId="77777777" w:rsidR="00461923" w:rsidRDefault="00461923" w:rsidP="008E09C9">
      <w:pPr>
        <w:spacing w:line="360" w:lineRule="auto"/>
        <w:jc w:val="both"/>
        <w:rPr>
          <w:rFonts w:ascii="Arial" w:hAnsi="Arial" w:cs="Arial"/>
        </w:rPr>
      </w:pPr>
    </w:p>
    <w:p w14:paraId="586736F9" w14:textId="77777777" w:rsidR="00461923" w:rsidRDefault="00461923" w:rsidP="008E09C9">
      <w:pPr>
        <w:spacing w:line="360" w:lineRule="auto"/>
        <w:jc w:val="both"/>
        <w:rPr>
          <w:rFonts w:ascii="Arial" w:hAnsi="Arial" w:cs="Arial"/>
        </w:rPr>
      </w:pPr>
    </w:p>
    <w:p w14:paraId="6F0A1773" w14:textId="77777777" w:rsidR="00461923" w:rsidRDefault="00461923" w:rsidP="008E09C9">
      <w:pPr>
        <w:spacing w:line="360" w:lineRule="auto"/>
        <w:jc w:val="both"/>
        <w:rPr>
          <w:rFonts w:ascii="Arial" w:hAnsi="Arial" w:cs="Arial"/>
        </w:rPr>
      </w:pPr>
    </w:p>
    <w:p w14:paraId="67D8841A" w14:textId="77777777" w:rsidR="00461923" w:rsidRDefault="00461923" w:rsidP="008E09C9">
      <w:pPr>
        <w:spacing w:line="360" w:lineRule="auto"/>
        <w:jc w:val="both"/>
        <w:rPr>
          <w:rFonts w:ascii="Arial" w:hAnsi="Arial" w:cs="Arial"/>
        </w:rPr>
      </w:pPr>
    </w:p>
    <w:p w14:paraId="5D782AA2" w14:textId="77777777" w:rsidR="00461923" w:rsidRDefault="00461923" w:rsidP="008E09C9">
      <w:pPr>
        <w:spacing w:line="360" w:lineRule="auto"/>
        <w:jc w:val="both"/>
        <w:rPr>
          <w:rFonts w:ascii="Arial" w:hAnsi="Arial" w:cs="Arial"/>
        </w:rPr>
      </w:pPr>
    </w:p>
    <w:p w14:paraId="47C8E4EC" w14:textId="77777777" w:rsidR="00461923" w:rsidRDefault="00461923" w:rsidP="008E09C9">
      <w:pPr>
        <w:spacing w:line="360" w:lineRule="auto"/>
        <w:jc w:val="both"/>
        <w:rPr>
          <w:rFonts w:ascii="Arial" w:hAnsi="Arial" w:cs="Arial"/>
        </w:rPr>
      </w:pPr>
    </w:p>
    <w:p w14:paraId="6D93825E" w14:textId="77777777" w:rsidR="00461923" w:rsidRDefault="00461923" w:rsidP="008E09C9">
      <w:pPr>
        <w:spacing w:line="360" w:lineRule="auto"/>
        <w:jc w:val="both"/>
        <w:rPr>
          <w:rFonts w:ascii="Arial" w:hAnsi="Arial" w:cs="Arial"/>
        </w:rPr>
      </w:pPr>
    </w:p>
    <w:p w14:paraId="0C59F369" w14:textId="77777777" w:rsidR="00461923" w:rsidRPr="008E09C9" w:rsidRDefault="00461923" w:rsidP="008E09C9">
      <w:pPr>
        <w:spacing w:line="360" w:lineRule="auto"/>
        <w:jc w:val="both"/>
        <w:rPr>
          <w:rFonts w:ascii="Arial" w:hAnsi="Arial" w:cs="Arial"/>
        </w:rPr>
      </w:pPr>
    </w:p>
    <w:p w14:paraId="6147D5CA" w14:textId="77777777" w:rsidR="0034656B" w:rsidRPr="00D90343" w:rsidRDefault="0034656B" w:rsidP="00D90343">
      <w:pPr>
        <w:pStyle w:val="Heading1"/>
        <w:rPr>
          <w:sz w:val="32"/>
          <w:szCs w:val="32"/>
        </w:rPr>
      </w:pPr>
      <w:bookmarkStart w:id="0" w:name="_Toc222333454"/>
      <w:r w:rsidRPr="00D90343">
        <w:rPr>
          <w:sz w:val="32"/>
          <w:szCs w:val="32"/>
        </w:rPr>
        <w:t>Introduction</w:t>
      </w:r>
      <w:bookmarkEnd w:id="0"/>
    </w:p>
    <w:p w14:paraId="6DCC1E12" w14:textId="77777777" w:rsidR="00517AE1" w:rsidRPr="00517AE1" w:rsidRDefault="00517AE1" w:rsidP="00517AE1">
      <w:pPr>
        <w:spacing w:line="360" w:lineRule="auto"/>
        <w:jc w:val="both"/>
        <w:rPr>
          <w:rFonts w:ascii="Arial" w:hAnsi="Arial" w:cs="Arial"/>
        </w:rPr>
      </w:pPr>
      <w:r w:rsidRPr="00517AE1">
        <w:rPr>
          <w:rFonts w:ascii="Arial" w:hAnsi="Arial" w:cs="Arial"/>
        </w:rPr>
        <w:t xml:space="preserve">The modernization of health and social care services in the UK needs digital transformation. The NHS App was nationally launched by NHS England in 2019. This is one of the significant digital innovations in the last 10 years. The program enables patients in England to book GP appointments, order repeat prescriptions, view medical records and use NHS 111 online. This is designed for the digital age – which is the NHS App. The app became crucial during the pandemic for certification of vaccination status and messaging during COVID-19, helping to significantly increase the uptake of the app across the UK (NHS England, 2021). The NHS App is significant because it aims to shift care delivery to a more digitally enabled and patient centric model in line with the NHS Long Term Plan (NHS England, 2019). </w:t>
      </w:r>
    </w:p>
    <w:p w14:paraId="33008DB9" w14:textId="77777777" w:rsidR="00E73CF2" w:rsidRDefault="00517AE1" w:rsidP="00517AE1">
      <w:pPr>
        <w:spacing w:line="360" w:lineRule="auto"/>
        <w:jc w:val="both"/>
        <w:rPr>
          <w:rFonts w:ascii="Arial" w:hAnsi="Arial" w:cs="Arial"/>
        </w:rPr>
      </w:pPr>
      <w:r w:rsidRPr="00517AE1">
        <w:rPr>
          <w:rFonts w:ascii="Arial" w:hAnsi="Arial" w:cs="Arial"/>
        </w:rPr>
        <w:t>Although digital tools offer the potential for efficiency and better accessibility, they can also result in issues around workforce adaptation, digital exclusion, data security, and service equality.</w:t>
      </w:r>
    </w:p>
    <w:p w14:paraId="0C0C34EE" w14:textId="53EFD664" w:rsidR="0034656B" w:rsidRPr="0034656B" w:rsidRDefault="0034656B" w:rsidP="00517AE1">
      <w:pPr>
        <w:spacing w:line="360" w:lineRule="auto"/>
        <w:jc w:val="both"/>
        <w:rPr>
          <w:rFonts w:ascii="Arial" w:hAnsi="Arial" w:cs="Arial"/>
        </w:rPr>
      </w:pPr>
      <w:r w:rsidRPr="0034656B">
        <w:rPr>
          <w:rFonts w:ascii="Arial" w:hAnsi="Arial" w:cs="Arial"/>
        </w:rPr>
        <w:t>This report critically evaluates the NHS App and its impact on:</w:t>
      </w:r>
    </w:p>
    <w:p w14:paraId="4B573978" w14:textId="77777777" w:rsidR="0034656B" w:rsidRPr="0034656B" w:rsidRDefault="0034656B" w:rsidP="008E09C9">
      <w:pPr>
        <w:numPr>
          <w:ilvl w:val="0"/>
          <w:numId w:val="1"/>
        </w:numPr>
        <w:spacing w:line="360" w:lineRule="auto"/>
        <w:jc w:val="both"/>
        <w:rPr>
          <w:rFonts w:ascii="Arial" w:hAnsi="Arial" w:cs="Arial"/>
        </w:rPr>
      </w:pPr>
      <w:r w:rsidRPr="0034656B">
        <w:rPr>
          <w:rFonts w:ascii="Arial" w:hAnsi="Arial" w:cs="Arial"/>
        </w:rPr>
        <w:t>Workforce</w:t>
      </w:r>
    </w:p>
    <w:p w14:paraId="6C449479" w14:textId="77777777" w:rsidR="0034656B" w:rsidRPr="0034656B" w:rsidRDefault="0034656B" w:rsidP="008E09C9">
      <w:pPr>
        <w:numPr>
          <w:ilvl w:val="0"/>
          <w:numId w:val="1"/>
        </w:numPr>
        <w:spacing w:line="360" w:lineRule="auto"/>
        <w:jc w:val="both"/>
        <w:rPr>
          <w:rFonts w:ascii="Arial" w:hAnsi="Arial" w:cs="Arial"/>
        </w:rPr>
      </w:pPr>
      <w:r w:rsidRPr="0034656B">
        <w:rPr>
          <w:rFonts w:ascii="Arial" w:hAnsi="Arial" w:cs="Arial"/>
        </w:rPr>
        <w:t>Service Delivery</w:t>
      </w:r>
    </w:p>
    <w:p w14:paraId="1E00C4AB" w14:textId="77777777" w:rsidR="0034656B" w:rsidRPr="0034656B" w:rsidRDefault="0034656B" w:rsidP="008E09C9">
      <w:pPr>
        <w:numPr>
          <w:ilvl w:val="0"/>
          <w:numId w:val="1"/>
        </w:numPr>
        <w:spacing w:line="360" w:lineRule="auto"/>
        <w:jc w:val="both"/>
        <w:rPr>
          <w:rFonts w:ascii="Arial" w:hAnsi="Arial" w:cs="Arial"/>
        </w:rPr>
      </w:pPr>
      <w:r w:rsidRPr="0034656B">
        <w:rPr>
          <w:rFonts w:ascii="Arial" w:hAnsi="Arial" w:cs="Arial"/>
        </w:rPr>
        <w:t>Patient/Service User</w:t>
      </w:r>
    </w:p>
    <w:p w14:paraId="1E859E61" w14:textId="77777777" w:rsidR="0034656B" w:rsidRPr="0034656B" w:rsidRDefault="0034656B" w:rsidP="008E09C9">
      <w:pPr>
        <w:spacing w:line="360" w:lineRule="auto"/>
        <w:jc w:val="both"/>
        <w:rPr>
          <w:rFonts w:ascii="Arial" w:hAnsi="Arial" w:cs="Arial"/>
        </w:rPr>
      </w:pPr>
      <w:r w:rsidRPr="0034656B">
        <w:rPr>
          <w:rFonts w:ascii="Arial" w:hAnsi="Arial" w:cs="Arial"/>
        </w:rPr>
        <w:t>Both positive and negative outcomes are examined using contemporary UK-based evidence.</w:t>
      </w:r>
    </w:p>
    <w:p w14:paraId="505309F6" w14:textId="77777777" w:rsidR="004F2631" w:rsidRPr="00D90343" w:rsidRDefault="004F2631" w:rsidP="00D90343">
      <w:pPr>
        <w:pStyle w:val="Heading1"/>
        <w:rPr>
          <w:sz w:val="28"/>
          <w:szCs w:val="28"/>
        </w:rPr>
      </w:pPr>
      <w:bookmarkStart w:id="1" w:name="_Toc222333455"/>
      <w:r w:rsidRPr="00D90343">
        <w:rPr>
          <w:sz w:val="28"/>
          <w:szCs w:val="28"/>
        </w:rPr>
        <w:t>Impact on Workforce</w:t>
      </w:r>
      <w:bookmarkEnd w:id="1"/>
    </w:p>
    <w:p w14:paraId="1CB2080C" w14:textId="77777777" w:rsidR="004F2631" w:rsidRPr="004F2631" w:rsidRDefault="004F2631" w:rsidP="008E09C9">
      <w:pPr>
        <w:spacing w:line="360" w:lineRule="auto"/>
        <w:jc w:val="both"/>
        <w:rPr>
          <w:rFonts w:ascii="Arial" w:hAnsi="Arial" w:cs="Arial"/>
          <w:b/>
          <w:bCs/>
        </w:rPr>
      </w:pPr>
      <w:r w:rsidRPr="004F2631">
        <w:rPr>
          <w:rFonts w:ascii="Arial" w:hAnsi="Arial" w:cs="Arial"/>
          <w:b/>
          <w:bCs/>
        </w:rPr>
        <w:t>Changing Roles and Digital Competencies</w:t>
      </w:r>
    </w:p>
    <w:p w14:paraId="608048B6" w14:textId="77777777" w:rsidR="00E73CF2" w:rsidRPr="00E73CF2" w:rsidRDefault="00E73CF2" w:rsidP="00E73CF2">
      <w:pPr>
        <w:spacing w:line="360" w:lineRule="auto"/>
        <w:jc w:val="both"/>
        <w:rPr>
          <w:rFonts w:ascii="Arial" w:hAnsi="Arial" w:cs="Arial"/>
        </w:rPr>
      </w:pPr>
      <w:r w:rsidRPr="00E73CF2">
        <w:rPr>
          <w:rFonts w:ascii="Arial" w:hAnsi="Arial" w:cs="Arial"/>
        </w:rPr>
        <w:t xml:space="preserve">The introduction of the NHS App has led to changes to roles in primary care and back-office functions. </w:t>
      </w:r>
    </w:p>
    <w:p w14:paraId="5320A960" w14:textId="77777777" w:rsidR="00E73CF2" w:rsidRPr="00E73CF2" w:rsidRDefault="00E73CF2" w:rsidP="00E73CF2">
      <w:pPr>
        <w:spacing w:line="360" w:lineRule="auto"/>
        <w:jc w:val="both"/>
        <w:rPr>
          <w:rFonts w:ascii="Arial" w:hAnsi="Arial" w:cs="Arial"/>
        </w:rPr>
      </w:pPr>
      <w:r w:rsidRPr="00E73CF2">
        <w:rPr>
          <w:rFonts w:ascii="Arial" w:hAnsi="Arial" w:cs="Arial"/>
        </w:rPr>
        <w:lastRenderedPageBreak/>
        <w:t xml:space="preserve">Professional staff are increasingly managing digital appointment systems, electronic patient queries, online prescription processes, and the capturing of digital patient records (Health Education England, 2020; NHS England, 2021). </w:t>
      </w:r>
    </w:p>
    <w:p w14:paraId="784E0C68" w14:textId="3B999980" w:rsidR="002B1F2C" w:rsidRDefault="00E73CF2" w:rsidP="00E73CF2">
      <w:pPr>
        <w:spacing w:line="360" w:lineRule="auto"/>
        <w:jc w:val="both"/>
        <w:rPr>
          <w:rFonts w:ascii="Arial" w:hAnsi="Arial" w:cs="Arial"/>
        </w:rPr>
      </w:pPr>
      <w:r w:rsidRPr="00E73CF2">
        <w:rPr>
          <w:rFonts w:ascii="Arial" w:hAnsi="Arial" w:cs="Arial"/>
        </w:rPr>
        <w:t xml:space="preserve">The initiative reflects a broader structural shift from paper-based and telephone-led service delivery to digitally mediated modes of delivery. Staff need to improve their digital literacy and ability to </w:t>
      </w:r>
      <w:r w:rsidR="002B1F2C" w:rsidRPr="00E73CF2">
        <w:rPr>
          <w:rFonts w:ascii="Arial" w:hAnsi="Arial" w:cs="Arial"/>
        </w:rPr>
        <w:t>maneuver</w:t>
      </w:r>
      <w:r w:rsidRPr="00E73CF2">
        <w:rPr>
          <w:rFonts w:ascii="Arial" w:hAnsi="Arial" w:cs="Arial"/>
        </w:rPr>
        <w:t xml:space="preserve"> through EHR system as well as their awareness of cybersecurity and data governance (Wachter, 2016; Topol, 2019).</w:t>
      </w:r>
    </w:p>
    <w:p w14:paraId="681BC6F8" w14:textId="513B5ED1" w:rsidR="00675389" w:rsidRDefault="002B1F2C" w:rsidP="008E09C9">
      <w:pPr>
        <w:spacing w:line="360" w:lineRule="auto"/>
        <w:jc w:val="both"/>
        <w:rPr>
          <w:rFonts w:ascii="Arial" w:hAnsi="Arial" w:cs="Arial"/>
        </w:rPr>
      </w:pPr>
      <w:r w:rsidRPr="002B1F2C">
        <w:rPr>
          <w:rFonts w:ascii="Arial" w:hAnsi="Arial" w:cs="Arial"/>
        </w:rPr>
        <w:t xml:space="preserve">The appointment of digital consults and app activity by some clinicians particularly general practitioners (GPs) has changed patient access dynamics. According to Topol (2019) and NHS England (2021), GPs are expected to manage asynchronous online consultations, electronic triage systems and remote follow-ups which are all incorporated into NHS App. This is consistent with the NHS Long Term Plan to offer digital-first primary care (NHS England, 2019). Nonetheless, it demanded new abilities in digital communication, remote clinical assessment, medico-legal awareness, and safe decision-making without the physical examination (Greenhalgh et al., 2020). Modifications are made to professional boundaries and distribution of work due to a shift. Activities that were traditionally handled by the receptionist may now be clinical led if the risk triage algorithms flag them (Buchan et al., 2022). In addition, the digital channel's immediacy can create an “always on” culture thereby blurring the lines between scheduled consultations and administrative follow up. Digital systems are assumed to restrict demand and create easier delivery of </w:t>
      </w:r>
      <w:r w:rsidR="00461923" w:rsidRPr="002B1F2C">
        <w:rPr>
          <w:rFonts w:ascii="Arial" w:hAnsi="Arial" w:cs="Arial"/>
        </w:rPr>
        <w:t>services but</w:t>
      </w:r>
      <w:r w:rsidRPr="002B1F2C">
        <w:rPr>
          <w:rFonts w:ascii="Arial" w:hAnsi="Arial" w:cs="Arial"/>
        </w:rPr>
        <w:t xml:space="preserve"> may </w:t>
      </w:r>
      <w:r w:rsidR="00D90343" w:rsidRPr="002B1F2C">
        <w:rPr>
          <w:rFonts w:ascii="Arial" w:hAnsi="Arial" w:cs="Arial"/>
        </w:rPr>
        <w:t>add</w:t>
      </w:r>
      <w:r w:rsidRPr="002B1F2C">
        <w:rPr>
          <w:rFonts w:ascii="Arial" w:hAnsi="Arial" w:cs="Arial"/>
        </w:rPr>
        <w:t xml:space="preserve"> workload by increasing patient demand. This phenomenon is known as ‘supply-induced demand’ in digital health literature (Wachter, 2016).</w:t>
      </w:r>
    </w:p>
    <w:p w14:paraId="53C3A207" w14:textId="2106F9AB" w:rsidR="004F2631" w:rsidRPr="004F2631" w:rsidRDefault="00675389" w:rsidP="008E09C9">
      <w:pPr>
        <w:spacing w:line="360" w:lineRule="auto"/>
        <w:jc w:val="both"/>
        <w:rPr>
          <w:rFonts w:ascii="Arial" w:hAnsi="Arial" w:cs="Arial"/>
        </w:rPr>
      </w:pPr>
      <w:r w:rsidRPr="00675389">
        <w:rPr>
          <w:rFonts w:ascii="Arial" w:hAnsi="Arial" w:cs="Arial"/>
        </w:rPr>
        <w:t>The change of technology can strain work. The concept called “technostress” refers to the psychological stress of adapting to new technologies, system updates and disrupted workflow (Buchan et al., 2022). Research shows that across the duration of the COVID-19 pandemic and soon after, the pressure on primary care teams from ramping up digital adoption increased, in some cases without adequate training. The literature shows that workers’ resistance to change is a critical barrier (Greenhalgh et al., 2020); this is particularly the case for non-digitally confident professionals or those worried about patient safety, data security, and relationship-</w:t>
      </w:r>
      <w:r w:rsidR="00461923" w:rsidRPr="00675389">
        <w:rPr>
          <w:rFonts w:ascii="Arial" w:hAnsi="Arial" w:cs="Arial"/>
        </w:rPr>
        <w:t>centered</w:t>
      </w:r>
      <w:r w:rsidRPr="00675389">
        <w:rPr>
          <w:rFonts w:ascii="Arial" w:hAnsi="Arial" w:cs="Arial"/>
        </w:rPr>
        <w:t xml:space="preserve"> care. Digital transformation can </w:t>
      </w:r>
      <w:r w:rsidRPr="00675389">
        <w:rPr>
          <w:rFonts w:ascii="Arial" w:hAnsi="Arial" w:cs="Arial"/>
        </w:rPr>
        <w:lastRenderedPageBreak/>
        <w:t>create generational divides, which can create barriers. Less experienced staff may engage with app-based systems more easily, while more experienced practitioners may need additional structured training (Health Education England, 2020) The significance of continuous professional development and digital competency frameworks that are integrated into workforce planning strategies is underscored (Topol, 2019).</w:t>
      </w:r>
    </w:p>
    <w:p w14:paraId="132BC9FA" w14:textId="77777777" w:rsidR="004F2631" w:rsidRPr="00D90343" w:rsidRDefault="004F2631" w:rsidP="00D90343">
      <w:pPr>
        <w:pStyle w:val="Heading1"/>
        <w:rPr>
          <w:sz w:val="32"/>
          <w:szCs w:val="32"/>
        </w:rPr>
      </w:pPr>
      <w:bookmarkStart w:id="2" w:name="_Toc222333456"/>
      <w:r w:rsidRPr="00D90343">
        <w:rPr>
          <w:sz w:val="32"/>
          <w:szCs w:val="32"/>
        </w:rPr>
        <w:t>Benefits for Workforce</w:t>
      </w:r>
      <w:bookmarkEnd w:id="2"/>
    </w:p>
    <w:p w14:paraId="604EA95F" w14:textId="6D52B020" w:rsidR="00E3796F" w:rsidRDefault="004F331D" w:rsidP="008E09C9">
      <w:pPr>
        <w:spacing w:line="360" w:lineRule="auto"/>
        <w:jc w:val="both"/>
        <w:rPr>
          <w:rFonts w:ascii="Arial" w:hAnsi="Arial" w:cs="Arial"/>
        </w:rPr>
      </w:pPr>
      <w:r w:rsidRPr="004F331D">
        <w:rPr>
          <w:rFonts w:ascii="Arial" w:hAnsi="Arial" w:cs="Arial"/>
        </w:rPr>
        <w:t xml:space="preserve">Even if not all challenges are resolved, evidence indicates digital systems can reduce some functions. The NHS App allows patients to order repeat prescriptions, view test results, change personal details and access parts of their record, all independently and with little intervention. This may reduce routine phone calls and footfall at the front desk (NHS England, 2021; Wachter, 2016). Such a change might facilitate administrative and clinical staff to focus on the complex/urgent nature of patients. The streamlining of regular operations can enhance efficiency and quality </w:t>
      </w:r>
      <w:r w:rsidR="00404D9B" w:rsidRPr="004F331D">
        <w:rPr>
          <w:rFonts w:ascii="Arial" w:hAnsi="Arial" w:cs="Arial"/>
        </w:rPr>
        <w:t>standardization</w:t>
      </w:r>
      <w:r w:rsidRPr="004F331D">
        <w:rPr>
          <w:rFonts w:ascii="Arial" w:hAnsi="Arial" w:cs="Arial"/>
        </w:rPr>
        <w:t>. Digital booking systems minimize the potential for double-entry errors and improve auditability (Wachter, 2016). Moreover, using electronic prescriptions and apps linked to the pharmacy could improve medicine management and speed up dispenses (NHS England, 2021). Digital systems improve data accuracy and accessibility from a clinical governance perspective. Accessing patient records in real time leads to safer clinical decisions, with fewer errors than typing everything out manually (Wachter, 2016). The potential for enhanced objectives of interoperability and connectivity between systems may further strengthen the continuity of care (The King’s Fund, 2022).</w:t>
      </w:r>
    </w:p>
    <w:p w14:paraId="3848F366" w14:textId="77777777" w:rsidR="00404D9B" w:rsidRPr="00404D9B" w:rsidRDefault="00404D9B" w:rsidP="00404D9B">
      <w:pPr>
        <w:spacing w:line="360" w:lineRule="auto"/>
        <w:jc w:val="both"/>
        <w:rPr>
          <w:rFonts w:ascii="Arial" w:hAnsi="Arial" w:cs="Arial"/>
        </w:rPr>
      </w:pPr>
      <w:r w:rsidRPr="00404D9B">
        <w:rPr>
          <w:rFonts w:ascii="Arial" w:hAnsi="Arial" w:cs="Arial"/>
        </w:rPr>
        <w:t xml:space="preserve">Digital innovation is often pegged as a solution to the ‘staffing crisis’ affecting workforce in primary care UK. </w:t>
      </w:r>
    </w:p>
    <w:p w14:paraId="224907BB" w14:textId="77777777" w:rsidR="00404D9B" w:rsidRPr="00404D9B" w:rsidRDefault="00404D9B" w:rsidP="00404D9B">
      <w:pPr>
        <w:spacing w:line="360" w:lineRule="auto"/>
        <w:jc w:val="both"/>
        <w:rPr>
          <w:rFonts w:ascii="Arial" w:hAnsi="Arial" w:cs="Arial"/>
        </w:rPr>
      </w:pPr>
      <w:r w:rsidRPr="00404D9B">
        <w:rPr>
          <w:rFonts w:ascii="Arial" w:hAnsi="Arial" w:cs="Arial"/>
        </w:rPr>
        <w:t xml:space="preserve">The King’s Fund (2022) highlights ongoing shortages in GP numbers and rising service demand. Digital tools such as NHS App can help redistribute workload, enable remote consultation, and support multidisciplinary team models. Although not intended to replace a larger workforce, digital transformation can improve the resilience of the system when used effectively (Topol, 2019). The benefits can be maintained only if infrastructure, training and change management are adequate. </w:t>
      </w:r>
    </w:p>
    <w:p w14:paraId="15E27BC2" w14:textId="285610C9" w:rsidR="004F2631" w:rsidRPr="004F2631" w:rsidRDefault="00404D9B" w:rsidP="00404D9B">
      <w:pPr>
        <w:spacing w:line="360" w:lineRule="auto"/>
        <w:jc w:val="both"/>
        <w:rPr>
          <w:rFonts w:ascii="Arial" w:hAnsi="Arial" w:cs="Arial"/>
        </w:rPr>
      </w:pPr>
      <w:r w:rsidRPr="00404D9B">
        <w:rPr>
          <w:rFonts w:ascii="Arial" w:hAnsi="Arial" w:cs="Arial"/>
        </w:rPr>
        <w:lastRenderedPageBreak/>
        <w:t>The digital transformation will add on the bottle neck of the workers rather than resolving it if no investment is provided in the workers (Greenhalgh et al., 2020; Buchan et al., 2022).</w:t>
      </w:r>
    </w:p>
    <w:p w14:paraId="2AFC833D" w14:textId="77777777" w:rsidR="005E4E11" w:rsidRPr="00D90343" w:rsidRDefault="005E4E11" w:rsidP="00D90343">
      <w:pPr>
        <w:pStyle w:val="Heading1"/>
        <w:rPr>
          <w:sz w:val="32"/>
          <w:szCs w:val="32"/>
        </w:rPr>
      </w:pPr>
      <w:bookmarkStart w:id="3" w:name="_Toc222333457"/>
      <w:r w:rsidRPr="00D90343">
        <w:rPr>
          <w:sz w:val="32"/>
          <w:szCs w:val="32"/>
        </w:rPr>
        <w:t>Challenges and Limitations</w:t>
      </w:r>
      <w:bookmarkEnd w:id="3"/>
    </w:p>
    <w:p w14:paraId="430FE6F6" w14:textId="1119963D" w:rsidR="00AF2A73" w:rsidRPr="00AF2A73" w:rsidRDefault="00AF2A73" w:rsidP="00AF2A73">
      <w:pPr>
        <w:spacing w:line="360" w:lineRule="auto"/>
        <w:jc w:val="both"/>
        <w:rPr>
          <w:rFonts w:ascii="Arial" w:hAnsi="Arial" w:cs="Arial"/>
        </w:rPr>
      </w:pPr>
      <w:r w:rsidRPr="00AF2A73">
        <w:rPr>
          <w:rFonts w:ascii="Arial" w:hAnsi="Arial" w:cs="Arial"/>
        </w:rPr>
        <w:t xml:space="preserve">Though, benefits of digital transformation are not equally felt across the workforce. According to research, there is often a short-to-medium term increase in workload due to the need for implementation, compulsory training, disruption of existing workflows, and ongoing troubleshooting of the system (Greenhalgh et al. 2020; Wachter, 2016). In the early stages of transitioning to digital platforms, productivity often suffers as employees adjust to new system tools and altered clinical pathways. The uncritical belief that technology can enhance efficiency may overlook the transitional burden experienced by frontline teams (The King’s Fund, 2022). In addition, the belief that digital tools automatically “save time” can mask hidden work. It may be the case that replying to online consultation requests, reviewing electronic messages and answering queries from app users go beyond your clinic hours (BMA, 2021). The ongoing demand for low-level administrative and clinical tasks, created by asynchronous communication systems, puts cumulative pressure on workloads over time (Greenhalgh et al., 2020). Some clinicians report blurred boundaries between personal and professional time because they are digitally accessible all the time leading to burnout and workforce retention issues (Buchan et al., 2022). The workforce also suffers from digital inequalities. Less resourced GP practices, and those working in deprived areas </w:t>
      </w:r>
      <w:r w:rsidR="003136DF" w:rsidRPr="00AF2A73">
        <w:rPr>
          <w:rFonts w:ascii="Arial" w:hAnsi="Arial" w:cs="Arial"/>
        </w:rPr>
        <w:t>emphasizing</w:t>
      </w:r>
      <w:r w:rsidRPr="00AF2A73">
        <w:rPr>
          <w:rFonts w:ascii="Arial" w:hAnsi="Arial" w:cs="Arial"/>
        </w:rPr>
        <w:t xml:space="preserve"> socioeconomic status, may lack access to dedicated IT support, a robust infrastructure, and funding to </w:t>
      </w:r>
      <w:r w:rsidR="003136DF" w:rsidRPr="00AF2A73">
        <w:rPr>
          <w:rFonts w:ascii="Arial" w:hAnsi="Arial" w:cs="Arial"/>
        </w:rPr>
        <w:t>optimize</w:t>
      </w:r>
      <w:r w:rsidRPr="00AF2A73">
        <w:rPr>
          <w:rFonts w:ascii="Arial" w:hAnsi="Arial" w:cs="Arial"/>
        </w:rPr>
        <w:t xml:space="preserve"> systems (2022; NAO, 2020). In this case, the existing administrative or clinical staff may be expected to troubleshoot, which adds to their stress and distracts them from patients. </w:t>
      </w:r>
    </w:p>
    <w:p w14:paraId="4ED5EA3D" w14:textId="5D52CF83" w:rsidR="005E4E11" w:rsidRPr="005E4E11" w:rsidRDefault="008A422A" w:rsidP="008E09C9">
      <w:pPr>
        <w:spacing w:line="360" w:lineRule="auto"/>
        <w:jc w:val="both"/>
        <w:rPr>
          <w:rFonts w:ascii="Arial" w:hAnsi="Arial" w:cs="Arial"/>
        </w:rPr>
      </w:pPr>
      <w:r w:rsidRPr="008A422A">
        <w:rPr>
          <w:rFonts w:ascii="Arial" w:hAnsi="Arial" w:cs="Arial"/>
        </w:rPr>
        <w:t xml:space="preserve">Differences in digital skill sets among employees may lead to variation in </w:t>
      </w:r>
      <w:r w:rsidR="003136DF" w:rsidRPr="008A422A">
        <w:rPr>
          <w:rFonts w:ascii="Arial" w:hAnsi="Arial" w:cs="Arial"/>
        </w:rPr>
        <w:t>organization</w:t>
      </w:r>
      <w:r w:rsidRPr="008A422A">
        <w:rPr>
          <w:rFonts w:ascii="Arial" w:hAnsi="Arial" w:cs="Arial"/>
        </w:rPr>
        <w:t xml:space="preserve">-wide adjustments, as well as unequal enhancements. To successfully achieve a digital </w:t>
      </w:r>
      <w:r w:rsidR="005B405A" w:rsidRPr="008A422A">
        <w:rPr>
          <w:rFonts w:ascii="Arial" w:hAnsi="Arial" w:cs="Arial"/>
        </w:rPr>
        <w:t>transformation,</w:t>
      </w:r>
      <w:r w:rsidRPr="008A422A">
        <w:rPr>
          <w:rFonts w:ascii="Arial" w:hAnsi="Arial" w:cs="Arial"/>
        </w:rPr>
        <w:t xml:space="preserve"> you need more than just a functioning technology system. Also critical is an </w:t>
      </w:r>
      <w:r w:rsidR="003136DF" w:rsidRPr="008A422A">
        <w:rPr>
          <w:rFonts w:ascii="Arial" w:hAnsi="Arial" w:cs="Arial"/>
        </w:rPr>
        <w:t>organizational</w:t>
      </w:r>
      <w:r w:rsidRPr="008A422A">
        <w:rPr>
          <w:rFonts w:ascii="Arial" w:hAnsi="Arial" w:cs="Arial"/>
        </w:rPr>
        <w:t xml:space="preserve"> culture that enables the change, engaged and empowered leadership and ongoing professional development (Topol, 2019). Evidence from major health IT </w:t>
      </w:r>
      <w:r w:rsidR="003136DF" w:rsidRPr="008A422A">
        <w:rPr>
          <w:rFonts w:ascii="Arial" w:hAnsi="Arial" w:cs="Arial"/>
        </w:rPr>
        <w:t>programmed</w:t>
      </w:r>
      <w:r w:rsidRPr="008A422A">
        <w:rPr>
          <w:rFonts w:ascii="Arial" w:hAnsi="Arial" w:cs="Arial"/>
        </w:rPr>
        <w:t xml:space="preserve"> shows low engagement of stakeholders and poor change management </w:t>
      </w:r>
      <w:r w:rsidRPr="008A422A">
        <w:rPr>
          <w:rFonts w:ascii="Arial" w:hAnsi="Arial" w:cs="Arial"/>
        </w:rPr>
        <w:lastRenderedPageBreak/>
        <w:t>result in derailment of digital initiatives (Wachter,2016; Greenhalgh et al., 2020). If training pathways are not established and workforce investment does not continue, digital tools may become a burden in care delivery.</w:t>
      </w:r>
    </w:p>
    <w:p w14:paraId="7F8809D0" w14:textId="77777777" w:rsidR="005E4E11" w:rsidRPr="00A62B28" w:rsidRDefault="005E4E11" w:rsidP="00A62B28">
      <w:pPr>
        <w:pStyle w:val="Heading1"/>
        <w:rPr>
          <w:sz w:val="32"/>
          <w:szCs w:val="32"/>
        </w:rPr>
      </w:pPr>
      <w:bookmarkStart w:id="4" w:name="_Toc222333458"/>
      <w:r w:rsidRPr="00A62B28">
        <w:rPr>
          <w:sz w:val="32"/>
          <w:szCs w:val="32"/>
        </w:rPr>
        <w:t>Impact on Service Delivery</w:t>
      </w:r>
      <w:bookmarkEnd w:id="4"/>
    </w:p>
    <w:p w14:paraId="20ED60BB" w14:textId="77777777" w:rsidR="005E4E11" w:rsidRPr="005E4E11" w:rsidRDefault="005E4E11" w:rsidP="008E09C9">
      <w:pPr>
        <w:spacing w:line="360" w:lineRule="auto"/>
        <w:jc w:val="both"/>
        <w:rPr>
          <w:rFonts w:ascii="Arial" w:hAnsi="Arial" w:cs="Arial"/>
          <w:b/>
          <w:bCs/>
        </w:rPr>
      </w:pPr>
      <w:r w:rsidRPr="005E4E11">
        <w:rPr>
          <w:rFonts w:ascii="Arial" w:hAnsi="Arial" w:cs="Arial"/>
          <w:b/>
          <w:bCs/>
        </w:rPr>
        <w:t>Efficiency and Workflow Transformation</w:t>
      </w:r>
    </w:p>
    <w:p w14:paraId="0DAB0352" w14:textId="25B818F5" w:rsidR="005B405A" w:rsidRPr="005B405A" w:rsidRDefault="005B405A" w:rsidP="005B405A">
      <w:pPr>
        <w:spacing w:line="360" w:lineRule="auto"/>
        <w:jc w:val="both"/>
        <w:rPr>
          <w:rFonts w:ascii="Arial" w:hAnsi="Arial" w:cs="Arial"/>
        </w:rPr>
      </w:pPr>
      <w:r w:rsidRPr="005B405A">
        <w:rPr>
          <w:rFonts w:ascii="Arial" w:hAnsi="Arial" w:cs="Arial"/>
        </w:rPr>
        <w:t xml:space="preserve">The NHS App is now changing how services are delivered. Users can access the services without attending a face-to-face contact, or via telephone. Through the booking of appointments, requesting repeat prescriptions, accessing summary medical records, and viewing test results, these services that can all be done electronically in line with NHS strategy to reduce non-essential physical appointments and </w:t>
      </w:r>
      <w:r w:rsidR="003136DF" w:rsidRPr="005B405A">
        <w:rPr>
          <w:rFonts w:ascii="Arial" w:hAnsi="Arial" w:cs="Arial"/>
        </w:rPr>
        <w:t>modernization</w:t>
      </w:r>
      <w:r w:rsidRPr="005B405A">
        <w:rPr>
          <w:rFonts w:ascii="Arial" w:hAnsi="Arial" w:cs="Arial"/>
        </w:rPr>
        <w:t xml:space="preserve"> of patient pathways (NHS England, 2019; Department of Health and Social Care, 2021). The emphasis on a digital-first strategy promotes self-management and patient autonomy. The app served as a national digital gateway for vaccination certification, COVID-19 status checking and public health messaging during the COVID-19 (Department of Health and Social Care, 2021) pandemic. During that period, the rapid scaling of the system demonstrated its flexible system structure, its potential for interoperability and its capacity for national deployment under crisis conditions. The pandemic sped up digital adoption across primary care, as remote consultation models became embedded more permanently in routine practice (The Health Foundation, 2021). The implementation of digital triage and online consultation functions has coordinated patient flow by pre-qualifying demand before clinical review. </w:t>
      </w:r>
    </w:p>
    <w:p w14:paraId="2427D233" w14:textId="442AF6A9" w:rsidR="00D52207" w:rsidRDefault="005B405A" w:rsidP="005B405A">
      <w:pPr>
        <w:spacing w:line="360" w:lineRule="auto"/>
        <w:jc w:val="both"/>
        <w:rPr>
          <w:rFonts w:ascii="Arial" w:hAnsi="Arial" w:cs="Arial"/>
        </w:rPr>
      </w:pPr>
      <w:r w:rsidRPr="005B405A">
        <w:rPr>
          <w:rFonts w:ascii="Arial" w:hAnsi="Arial" w:cs="Arial"/>
        </w:rPr>
        <w:t xml:space="preserve">In principle, this aids in more efficient distribution of clinical resources, decreasing inappropriate appointments whilst enabling </w:t>
      </w:r>
      <w:r w:rsidR="003136DF" w:rsidRPr="005B405A">
        <w:rPr>
          <w:rFonts w:ascii="Arial" w:hAnsi="Arial" w:cs="Arial"/>
        </w:rPr>
        <w:t>prioritization</w:t>
      </w:r>
      <w:r w:rsidRPr="005B405A">
        <w:rPr>
          <w:rFonts w:ascii="Arial" w:hAnsi="Arial" w:cs="Arial"/>
        </w:rPr>
        <w:t xml:space="preserve"> of urgent cases (Greenhalgh et al., 2020). Automated reminders and easier cancelation have been reported to improve appointment use and reduce “did not attend” (DNA) rates (The Health Foundation 2021; NHS England, 2021). Improved data capture may also help enhance analytics for population health management and service planning (Wachter, 2016).</w:t>
      </w:r>
    </w:p>
    <w:p w14:paraId="225A33DA" w14:textId="5CDA23F5" w:rsidR="005E4E11" w:rsidRPr="005E4E11" w:rsidRDefault="00D52207" w:rsidP="008E09C9">
      <w:pPr>
        <w:spacing w:line="360" w:lineRule="auto"/>
        <w:jc w:val="both"/>
        <w:rPr>
          <w:rFonts w:ascii="Arial" w:hAnsi="Arial" w:cs="Arial"/>
        </w:rPr>
      </w:pPr>
      <w:r w:rsidRPr="00D52207">
        <w:rPr>
          <w:rFonts w:ascii="Arial" w:hAnsi="Arial" w:cs="Arial"/>
        </w:rPr>
        <w:t xml:space="preserve">However, evidence </w:t>
      </w:r>
      <w:r w:rsidR="003136DF" w:rsidRPr="00D52207">
        <w:rPr>
          <w:rFonts w:ascii="Arial" w:hAnsi="Arial" w:cs="Arial"/>
        </w:rPr>
        <w:t>shows</w:t>
      </w:r>
      <w:r w:rsidRPr="00D52207">
        <w:rPr>
          <w:rFonts w:ascii="Arial" w:hAnsi="Arial" w:cs="Arial"/>
        </w:rPr>
        <w:t xml:space="preserve"> that digital access may in some cases increase demand rather than lessen it. By lowering the barriers to contact, it can increase the number of </w:t>
      </w:r>
      <w:r w:rsidRPr="00D52207">
        <w:rPr>
          <w:rFonts w:ascii="Arial" w:hAnsi="Arial" w:cs="Arial"/>
        </w:rPr>
        <w:lastRenderedPageBreak/>
        <w:t>consultation requests for smaller or administrative issues (Greenhalgh et al., 2020). This makes it harder to assume that digital transformation alleviates service pressures.</w:t>
      </w:r>
    </w:p>
    <w:p w14:paraId="7983ED3C" w14:textId="77777777" w:rsidR="005E4E11" w:rsidRPr="00286D3E" w:rsidRDefault="005E4E11" w:rsidP="00286D3E">
      <w:pPr>
        <w:pStyle w:val="Heading1"/>
        <w:rPr>
          <w:sz w:val="32"/>
          <w:szCs w:val="32"/>
        </w:rPr>
      </w:pPr>
      <w:bookmarkStart w:id="5" w:name="_Toc222333459"/>
      <w:r w:rsidRPr="00286D3E">
        <w:rPr>
          <w:sz w:val="32"/>
          <w:szCs w:val="32"/>
        </w:rPr>
        <w:t>Integration and Financial Costs</w:t>
      </w:r>
      <w:bookmarkEnd w:id="5"/>
    </w:p>
    <w:p w14:paraId="40E5750B" w14:textId="2C514C2F" w:rsidR="00622BF5" w:rsidRPr="00622BF5" w:rsidRDefault="00622BF5" w:rsidP="00622BF5">
      <w:pPr>
        <w:spacing w:line="360" w:lineRule="auto"/>
        <w:jc w:val="both"/>
        <w:rPr>
          <w:rFonts w:ascii="Arial" w:hAnsi="Arial" w:cs="Arial"/>
        </w:rPr>
      </w:pPr>
      <w:r w:rsidRPr="00622BF5">
        <w:rPr>
          <w:rFonts w:ascii="Arial" w:hAnsi="Arial" w:cs="Arial"/>
        </w:rPr>
        <w:t xml:space="preserve">Although these advantages point towards implementation, it requires a significant financial outlay on IT infrastructure, cybersecurity enhancement, staff training and system upkeep (NAO, 2020). The National Audit Office points out that extensive digital </w:t>
      </w:r>
      <w:r w:rsidR="003136DF" w:rsidRPr="00622BF5">
        <w:rPr>
          <w:rFonts w:ascii="Arial" w:hAnsi="Arial" w:cs="Arial"/>
        </w:rPr>
        <w:t>programs</w:t>
      </w:r>
      <w:r w:rsidRPr="00622BF5">
        <w:rPr>
          <w:rFonts w:ascii="Arial" w:hAnsi="Arial" w:cs="Arial"/>
        </w:rPr>
        <w:t xml:space="preserve"> often surpass their original costs because of integration complexities surrounding them and a change in technical requirements (NAO, 2020). Collaboration with GP systems has not always been seamless. Variations in electronic health record systems across practices constraints interoperability, limiting </w:t>
      </w:r>
      <w:r w:rsidR="003136DF" w:rsidRPr="00622BF5">
        <w:rPr>
          <w:rFonts w:ascii="Arial" w:hAnsi="Arial" w:cs="Arial"/>
        </w:rPr>
        <w:t>standardization</w:t>
      </w:r>
      <w:r w:rsidRPr="00622BF5">
        <w:rPr>
          <w:rFonts w:ascii="Arial" w:hAnsi="Arial" w:cs="Arial"/>
        </w:rPr>
        <w:t xml:space="preserve"> and data transfer (Wachter, 2016; The King’s Fund, 2022). Addition of middleware may increase complexity and cost of technology in a disintegrated ecosystem. Workflow disruption in the early implementation phase may disrupt continuity and affect patient experience (Greenhalgh et al., 2020). In addition, long-term sustainability relies on ongoing funding for software updates, cyber security upgrades and digital infrastructure renewal. </w:t>
      </w:r>
    </w:p>
    <w:p w14:paraId="1DA66648" w14:textId="4226BD51" w:rsidR="005E4E11" w:rsidRPr="005E4E11" w:rsidRDefault="00622BF5" w:rsidP="00622BF5">
      <w:pPr>
        <w:spacing w:line="360" w:lineRule="auto"/>
        <w:jc w:val="both"/>
        <w:rPr>
          <w:rFonts w:ascii="Arial" w:hAnsi="Arial" w:cs="Arial"/>
        </w:rPr>
      </w:pPr>
      <w:r w:rsidRPr="00622BF5">
        <w:rPr>
          <w:rFonts w:ascii="Arial" w:hAnsi="Arial" w:cs="Arial"/>
        </w:rPr>
        <w:t>Not investing enough in maintenance will possibly create more weaknesses and less reliable services.</w:t>
      </w:r>
    </w:p>
    <w:p w14:paraId="13AE9B12" w14:textId="455A1260" w:rsidR="005E4E11" w:rsidRPr="00286D3E" w:rsidRDefault="005E4E11" w:rsidP="00286D3E">
      <w:pPr>
        <w:pStyle w:val="Heading1"/>
        <w:rPr>
          <w:sz w:val="32"/>
          <w:szCs w:val="32"/>
        </w:rPr>
      </w:pPr>
      <w:bookmarkStart w:id="6" w:name="_Toc222333460"/>
      <w:r w:rsidRPr="00286D3E">
        <w:rPr>
          <w:sz w:val="32"/>
          <w:szCs w:val="32"/>
        </w:rPr>
        <w:t xml:space="preserve">Risk of Over-Reliance </w:t>
      </w:r>
      <w:r w:rsidR="00121A11" w:rsidRPr="00286D3E">
        <w:rPr>
          <w:sz w:val="32"/>
          <w:szCs w:val="32"/>
        </w:rPr>
        <w:t>in</w:t>
      </w:r>
      <w:r w:rsidRPr="00286D3E">
        <w:rPr>
          <w:sz w:val="32"/>
          <w:szCs w:val="32"/>
        </w:rPr>
        <w:t xml:space="preserve"> Digital Systems</w:t>
      </w:r>
      <w:bookmarkEnd w:id="6"/>
    </w:p>
    <w:p w14:paraId="36AFC9F8" w14:textId="058FB7B0" w:rsidR="005E4E11" w:rsidRPr="005E4E11" w:rsidRDefault="00121A11" w:rsidP="008E09C9">
      <w:pPr>
        <w:spacing w:line="360" w:lineRule="auto"/>
        <w:jc w:val="both"/>
        <w:rPr>
          <w:rFonts w:ascii="Arial" w:hAnsi="Arial" w:cs="Arial"/>
        </w:rPr>
      </w:pPr>
      <w:r w:rsidRPr="00121A11">
        <w:rPr>
          <w:rFonts w:ascii="Arial" w:hAnsi="Arial" w:cs="Arial"/>
        </w:rPr>
        <w:t xml:space="preserve">Digital infrastructure resilience increasingly governs service delivery. Failures in system outages, connectivity, or cybersecurity can disrupt operations. The 2017 WannaCry </w:t>
      </w:r>
      <w:r w:rsidR="003136DF" w:rsidRPr="00121A11">
        <w:rPr>
          <w:rFonts w:ascii="Arial" w:hAnsi="Arial" w:cs="Arial"/>
        </w:rPr>
        <w:t>cyber-attack</w:t>
      </w:r>
      <w:r w:rsidRPr="00121A11">
        <w:rPr>
          <w:rFonts w:ascii="Arial" w:hAnsi="Arial" w:cs="Arial"/>
        </w:rPr>
        <w:t xml:space="preserve"> exposed serious vulnerabilities within NHS digital systems, with appointments disrupted and services down across several trusts (NAO, 2018). Since cybersecurity measures have firmed up since, increasing digital growth further intensifies potential attack surfaces and systemic exposure (NAO,2020). Counting on digital paths could cancel in-person care. Although gaining efficiency through digital access can be beneficial, critics of efficiency-driven reforms point to the risk of care interactions becoming commodified and relational continuity being lost. The latter is a key element of general </w:t>
      </w:r>
      <w:r w:rsidR="003136DF" w:rsidRPr="00121A11">
        <w:rPr>
          <w:rFonts w:ascii="Arial" w:hAnsi="Arial" w:cs="Arial"/>
        </w:rPr>
        <w:t>practice</w:t>
      </w:r>
      <w:r w:rsidRPr="00121A11">
        <w:rPr>
          <w:rFonts w:ascii="Arial" w:hAnsi="Arial" w:cs="Arial"/>
        </w:rPr>
        <w:t xml:space="preserve">. When the in-person therapeutic relationship is replaced by digital </w:t>
      </w:r>
      <w:r w:rsidRPr="00121A11">
        <w:rPr>
          <w:rFonts w:ascii="Arial" w:hAnsi="Arial" w:cs="Arial"/>
        </w:rPr>
        <w:lastRenderedPageBreak/>
        <w:t>interactions when managing chronic or complex conditions, this may cause attenuation. Moreover, some patients (like older people, people with limited English, and people without reliable internet access) can’t use digital services, leading to unintentional inequalities in services (The Health Foundation, 2021). Should digital channels become the go-to access point for care, it could limit accessibility for vulnerable populations.</w:t>
      </w:r>
    </w:p>
    <w:p w14:paraId="5B719B64" w14:textId="4574314B" w:rsidR="0034656B" w:rsidRPr="008E09C9" w:rsidRDefault="006B05CB" w:rsidP="008E09C9">
      <w:pPr>
        <w:spacing w:line="360" w:lineRule="auto"/>
        <w:jc w:val="both"/>
        <w:rPr>
          <w:rFonts w:ascii="Arial" w:hAnsi="Arial" w:cs="Arial"/>
        </w:rPr>
      </w:pPr>
      <w:r w:rsidRPr="006B05CB">
        <w:rPr>
          <w:rFonts w:ascii="Arial" w:hAnsi="Arial" w:cs="Arial"/>
        </w:rPr>
        <w:t xml:space="preserve">The NHS App is designed to improve service efficiency, scalability and responsiveness of the NHS systems. Overall, the effects of the NHS App are complex and multi-faceted. Management of integration complexity, financial sustainability, workforce adaptation, cybersecurity risks, and equity considerations must be done carefully. According to Wachter and Topol, a socio-technical change process that embeds technology within an </w:t>
      </w:r>
      <w:r w:rsidR="003136DF" w:rsidRPr="006B05CB">
        <w:rPr>
          <w:rFonts w:ascii="Arial" w:hAnsi="Arial" w:cs="Arial"/>
        </w:rPr>
        <w:t>organization</w:t>
      </w:r>
      <w:r w:rsidRPr="006B05CB">
        <w:rPr>
          <w:rFonts w:ascii="Arial" w:hAnsi="Arial" w:cs="Arial"/>
        </w:rPr>
        <w:t xml:space="preserve"> requires sustained strategic direction for digital transformation within primary care (Wachter, 2016; Topol, 2019).</w:t>
      </w:r>
    </w:p>
    <w:p w14:paraId="75BC9855" w14:textId="77777777" w:rsidR="00536959" w:rsidRPr="00286D3E" w:rsidRDefault="00536959" w:rsidP="00286D3E">
      <w:pPr>
        <w:pStyle w:val="Heading1"/>
        <w:rPr>
          <w:sz w:val="32"/>
          <w:szCs w:val="32"/>
        </w:rPr>
      </w:pPr>
      <w:bookmarkStart w:id="7" w:name="_Toc222333461"/>
      <w:r w:rsidRPr="00286D3E">
        <w:rPr>
          <w:sz w:val="32"/>
          <w:szCs w:val="32"/>
        </w:rPr>
        <w:t>Impact on Patient/Service User</w:t>
      </w:r>
      <w:bookmarkEnd w:id="7"/>
    </w:p>
    <w:p w14:paraId="5F2CEB0A" w14:textId="77777777" w:rsidR="00536959" w:rsidRPr="00536959" w:rsidRDefault="00536959" w:rsidP="008E09C9">
      <w:pPr>
        <w:spacing w:line="360" w:lineRule="auto"/>
        <w:jc w:val="both"/>
        <w:rPr>
          <w:rFonts w:ascii="Arial" w:hAnsi="Arial" w:cs="Arial"/>
          <w:b/>
          <w:bCs/>
        </w:rPr>
      </w:pPr>
      <w:r w:rsidRPr="00536959">
        <w:rPr>
          <w:rFonts w:ascii="Arial" w:hAnsi="Arial" w:cs="Arial"/>
          <w:b/>
          <w:bCs/>
        </w:rPr>
        <w:t>Improved Access and Empowerment</w:t>
      </w:r>
    </w:p>
    <w:p w14:paraId="2A20D82E" w14:textId="2A735DD6" w:rsidR="00711383" w:rsidRDefault="00A066F4" w:rsidP="008E09C9">
      <w:pPr>
        <w:spacing w:line="360" w:lineRule="auto"/>
        <w:jc w:val="both"/>
        <w:rPr>
          <w:rFonts w:ascii="Arial" w:hAnsi="Arial" w:cs="Arial"/>
        </w:rPr>
      </w:pPr>
      <w:r w:rsidRPr="00A066F4">
        <w:rPr>
          <w:rFonts w:ascii="Arial" w:hAnsi="Arial" w:cs="Arial"/>
        </w:rPr>
        <w:t xml:space="preserve">The NHS Application is aimed at empowering </w:t>
      </w:r>
      <w:r w:rsidR="003136DF" w:rsidRPr="00A066F4">
        <w:rPr>
          <w:rFonts w:ascii="Arial" w:hAnsi="Arial" w:cs="Arial"/>
        </w:rPr>
        <w:t>patients</w:t>
      </w:r>
      <w:r w:rsidRPr="00A066F4">
        <w:rPr>
          <w:rFonts w:ascii="Arial" w:hAnsi="Arial" w:cs="Arial"/>
        </w:rPr>
        <w:t xml:space="preserve"> to access their health records and other services. More transparency may lead to improved patient engagement and shared decision-making (Topol, 2019). Ordering prescriptions online takes the inconvenience out of the process, particularly for adults of working-age and long-term condition sufferers. According to usage data, millions have registered since the pandemic (NHS England, 2022). The app’s role is to empower those digitally confident people and reduce reliance on phone calls.</w:t>
      </w:r>
    </w:p>
    <w:p w14:paraId="0229DBBC" w14:textId="4D17EE61" w:rsidR="00536959" w:rsidRPr="00536959" w:rsidRDefault="00536959" w:rsidP="008E09C9">
      <w:pPr>
        <w:spacing w:line="360" w:lineRule="auto"/>
        <w:jc w:val="both"/>
        <w:rPr>
          <w:rFonts w:ascii="Arial" w:hAnsi="Arial" w:cs="Arial"/>
          <w:b/>
          <w:bCs/>
        </w:rPr>
      </w:pPr>
      <w:r w:rsidRPr="00536959">
        <w:rPr>
          <w:rFonts w:ascii="Arial" w:hAnsi="Arial" w:cs="Arial"/>
          <w:b/>
          <w:bCs/>
        </w:rPr>
        <w:t>Digital Exclusion and Inequality</w:t>
      </w:r>
    </w:p>
    <w:p w14:paraId="070EB907" w14:textId="3E460260" w:rsidR="00AE5FC5" w:rsidRDefault="00020B51" w:rsidP="008E09C9">
      <w:pPr>
        <w:spacing w:line="360" w:lineRule="auto"/>
        <w:jc w:val="both"/>
        <w:rPr>
          <w:rFonts w:ascii="Arial" w:hAnsi="Arial" w:cs="Arial"/>
        </w:rPr>
      </w:pPr>
      <w:r w:rsidRPr="00020B51">
        <w:rPr>
          <w:rFonts w:ascii="Arial" w:hAnsi="Arial" w:cs="Arial"/>
        </w:rPr>
        <w:t xml:space="preserve">Nonetheless, digital inclusion is still a big problem. Many older adults, disabled </w:t>
      </w:r>
      <w:proofErr w:type="spellStart"/>
      <w:r w:rsidRPr="00020B51">
        <w:rPr>
          <w:rFonts w:ascii="Arial" w:hAnsi="Arial" w:cs="Arial"/>
        </w:rPr>
        <w:t>disabled</w:t>
      </w:r>
      <w:proofErr w:type="spellEnd"/>
      <w:r w:rsidRPr="00020B51">
        <w:rPr>
          <w:rFonts w:ascii="Arial" w:hAnsi="Arial" w:cs="Arial"/>
        </w:rPr>
        <w:t xml:space="preserve"> people, people from lower socio-economic groups, and people with limited English skills can face barriers to digital access (The King’s Fund, 2021). Falling back on the traditional face-to-face access may create digital exclusion. Ofcom (2022) reported that 6% of households in the UK do not have any internet access. This leads to a paradox: Even </w:t>
      </w:r>
      <w:r w:rsidRPr="00020B51">
        <w:rPr>
          <w:rFonts w:ascii="Arial" w:hAnsi="Arial" w:cs="Arial"/>
        </w:rPr>
        <w:lastRenderedPageBreak/>
        <w:t xml:space="preserve">though digital is designed to enhance accessibility, it may </w:t>
      </w:r>
      <w:r w:rsidR="00AE5FC5" w:rsidRPr="00020B51">
        <w:rPr>
          <w:rFonts w:ascii="Arial" w:hAnsi="Arial" w:cs="Arial"/>
        </w:rPr>
        <w:t>marginalize</w:t>
      </w:r>
      <w:r w:rsidRPr="00020B51">
        <w:rPr>
          <w:rFonts w:ascii="Arial" w:hAnsi="Arial" w:cs="Arial"/>
        </w:rPr>
        <w:t xml:space="preserve"> some. Equity must be at the heart of digital health strategies.</w:t>
      </w:r>
    </w:p>
    <w:p w14:paraId="03EA9F7A" w14:textId="77777777" w:rsidR="003136DF" w:rsidRDefault="003136DF" w:rsidP="008E09C9">
      <w:pPr>
        <w:spacing w:line="360" w:lineRule="auto"/>
        <w:jc w:val="both"/>
        <w:rPr>
          <w:rFonts w:ascii="Arial" w:hAnsi="Arial" w:cs="Arial"/>
        </w:rPr>
      </w:pPr>
    </w:p>
    <w:p w14:paraId="77CD265C" w14:textId="77777777" w:rsidR="003136DF" w:rsidRDefault="003136DF" w:rsidP="008E09C9">
      <w:pPr>
        <w:spacing w:line="360" w:lineRule="auto"/>
        <w:jc w:val="both"/>
        <w:rPr>
          <w:rFonts w:ascii="Arial" w:hAnsi="Arial" w:cs="Arial"/>
        </w:rPr>
      </w:pPr>
    </w:p>
    <w:p w14:paraId="241477E3" w14:textId="5B131B64" w:rsidR="00536959" w:rsidRPr="00536959" w:rsidRDefault="00536959" w:rsidP="008E09C9">
      <w:pPr>
        <w:spacing w:line="360" w:lineRule="auto"/>
        <w:jc w:val="both"/>
        <w:rPr>
          <w:rFonts w:ascii="Arial" w:hAnsi="Arial" w:cs="Arial"/>
          <w:b/>
          <w:bCs/>
        </w:rPr>
      </w:pPr>
      <w:r w:rsidRPr="00536959">
        <w:rPr>
          <w:rFonts w:ascii="Arial" w:hAnsi="Arial" w:cs="Arial"/>
          <w:b/>
          <w:bCs/>
        </w:rPr>
        <w:t>Privacy and Data Security</w:t>
      </w:r>
    </w:p>
    <w:p w14:paraId="0D54A260" w14:textId="77777777" w:rsidR="00E0685C" w:rsidRDefault="00AE5FC5" w:rsidP="008E09C9">
      <w:pPr>
        <w:spacing w:line="360" w:lineRule="auto"/>
        <w:jc w:val="both"/>
        <w:rPr>
          <w:rFonts w:ascii="Arial" w:hAnsi="Arial" w:cs="Arial"/>
        </w:rPr>
      </w:pPr>
      <w:r w:rsidRPr="00AE5FC5">
        <w:rPr>
          <w:rFonts w:ascii="Arial" w:hAnsi="Arial" w:cs="Arial"/>
        </w:rPr>
        <w:t>Digital systems must be trusted by patients with their sensitive medical data. Public worries about their data privacy, particularly the sharing of NHS data, affect their willingness (NAO, 2020). The existence of a robust data protection regulation such as the GDPR still leads to perceived risk, which inhibits adopting a technology. It is crucial to maintain public confidence through transparency and clear communication concerning data use.</w:t>
      </w:r>
    </w:p>
    <w:p w14:paraId="2C0C3B63" w14:textId="6804704A" w:rsidR="00536959" w:rsidRPr="00536959" w:rsidRDefault="00536959" w:rsidP="008E09C9">
      <w:pPr>
        <w:spacing w:line="360" w:lineRule="auto"/>
        <w:jc w:val="both"/>
        <w:rPr>
          <w:rFonts w:ascii="Arial" w:hAnsi="Arial" w:cs="Arial"/>
          <w:b/>
          <w:bCs/>
        </w:rPr>
      </w:pPr>
      <w:r w:rsidRPr="00536959">
        <w:rPr>
          <w:rFonts w:ascii="Arial" w:hAnsi="Arial" w:cs="Arial"/>
          <w:b/>
          <w:bCs/>
        </w:rPr>
        <w:t>Patient Experience</w:t>
      </w:r>
    </w:p>
    <w:p w14:paraId="260C2599" w14:textId="4CD06D7F" w:rsidR="0034656B" w:rsidRPr="008E09C9" w:rsidRDefault="002612B8" w:rsidP="008E09C9">
      <w:pPr>
        <w:spacing w:line="360" w:lineRule="auto"/>
        <w:jc w:val="both"/>
        <w:rPr>
          <w:rFonts w:ascii="Arial" w:hAnsi="Arial" w:cs="Arial"/>
        </w:rPr>
      </w:pPr>
      <w:r w:rsidRPr="002612B8">
        <w:rPr>
          <w:rFonts w:ascii="Arial" w:hAnsi="Arial" w:cs="Arial"/>
        </w:rPr>
        <w:t>The evidence of patient satisfaction is mixed. Numerous users claim convenience and better communication (The Health Foundation, 2021). Others, however, report difficulties navigating digital systems or frustration with app usability. Digital access may change expectations of immediacy. This may increase pressure on services to respond quickly to online requests. Failure to meet response expectations may unintentionally breed dissatisfaction in the digital age. As such, while the NHS App enables many to become more empowered and increases access to the NHS, it also raises concerns. These concerns are about equity, privacy, and managing expectations.</w:t>
      </w:r>
    </w:p>
    <w:p w14:paraId="68CFA811" w14:textId="77777777" w:rsidR="00E00AEA" w:rsidRPr="00F05A4B" w:rsidRDefault="00E00AEA" w:rsidP="00F05A4B">
      <w:pPr>
        <w:pStyle w:val="Heading1"/>
        <w:rPr>
          <w:sz w:val="32"/>
          <w:szCs w:val="32"/>
        </w:rPr>
      </w:pPr>
      <w:bookmarkStart w:id="8" w:name="_Toc222333462"/>
      <w:r w:rsidRPr="00F05A4B">
        <w:rPr>
          <w:sz w:val="32"/>
          <w:szCs w:val="32"/>
        </w:rPr>
        <w:t>Conclusion and Recommendations</w:t>
      </w:r>
      <w:bookmarkEnd w:id="8"/>
    </w:p>
    <w:p w14:paraId="037EC84F" w14:textId="018E3AB3" w:rsidR="00383D22" w:rsidRDefault="007426C2" w:rsidP="008E09C9">
      <w:pPr>
        <w:spacing w:line="360" w:lineRule="auto"/>
        <w:jc w:val="both"/>
        <w:rPr>
          <w:rFonts w:ascii="Arial" w:hAnsi="Arial" w:cs="Arial"/>
        </w:rPr>
      </w:pPr>
      <w:r w:rsidRPr="007426C2">
        <w:rPr>
          <w:rFonts w:ascii="Arial" w:hAnsi="Arial" w:cs="Arial"/>
        </w:rPr>
        <w:t xml:space="preserve">The NHS App </w:t>
      </w:r>
      <w:r w:rsidR="00D276D8" w:rsidRPr="007426C2">
        <w:rPr>
          <w:rFonts w:ascii="Arial" w:hAnsi="Arial" w:cs="Arial"/>
        </w:rPr>
        <w:t>has been</w:t>
      </w:r>
      <w:r w:rsidRPr="007426C2">
        <w:rPr>
          <w:rFonts w:ascii="Arial" w:hAnsi="Arial" w:cs="Arial"/>
        </w:rPr>
        <w:t xml:space="preserve"> one of the most important developments in digital health care in the UK over the past ten years. It has changed the roles of the workforce, the pathways of service delivery, and access to health information by patients. Its quick expansion during COVID-19 showed it can be adapted and scaled quickly. However, on closer evaluation, it </w:t>
      </w:r>
      <w:r w:rsidR="003136DF" w:rsidRPr="007426C2">
        <w:rPr>
          <w:rFonts w:ascii="Arial" w:hAnsi="Arial" w:cs="Arial"/>
        </w:rPr>
        <w:t>finds</w:t>
      </w:r>
      <w:r w:rsidRPr="007426C2">
        <w:rPr>
          <w:rFonts w:ascii="Arial" w:hAnsi="Arial" w:cs="Arial"/>
        </w:rPr>
        <w:t xml:space="preserve"> they are not equally so. Integration costs, digital exclusion, workforce pressures, and cyber threats are persistent challenges. Digital transformation will not </w:t>
      </w:r>
      <w:r w:rsidRPr="007426C2">
        <w:rPr>
          <w:rFonts w:ascii="Arial" w:hAnsi="Arial" w:cs="Arial"/>
        </w:rPr>
        <w:lastRenderedPageBreak/>
        <w:t>always be good. Its success is contingent upon proper implementation, employee readiness, and equitable policy.</w:t>
      </w:r>
    </w:p>
    <w:p w14:paraId="4DC14990" w14:textId="0C06FF5A" w:rsidR="00E00AEA" w:rsidRPr="00F05A4B" w:rsidRDefault="00E00AEA" w:rsidP="00F05A4B">
      <w:pPr>
        <w:pStyle w:val="Heading1"/>
        <w:rPr>
          <w:sz w:val="32"/>
          <w:szCs w:val="32"/>
        </w:rPr>
      </w:pPr>
      <w:bookmarkStart w:id="9" w:name="_Toc222333463"/>
      <w:r w:rsidRPr="00F05A4B">
        <w:rPr>
          <w:sz w:val="32"/>
          <w:szCs w:val="32"/>
        </w:rPr>
        <w:t>Recommendations</w:t>
      </w:r>
      <w:bookmarkEnd w:id="9"/>
    </w:p>
    <w:p w14:paraId="2DE485FB" w14:textId="2641D40E" w:rsidR="007054BB" w:rsidRPr="00F05A4B" w:rsidRDefault="00EE3449" w:rsidP="008E09C9">
      <w:pPr>
        <w:spacing w:line="360" w:lineRule="auto"/>
        <w:jc w:val="both"/>
        <w:rPr>
          <w:rFonts w:ascii="Arial" w:hAnsi="Arial" w:cs="Arial"/>
        </w:rPr>
      </w:pPr>
      <w:r w:rsidRPr="00F05A4B">
        <w:rPr>
          <w:rFonts w:ascii="Arial" w:hAnsi="Arial" w:cs="Arial"/>
        </w:rPr>
        <w:t xml:space="preserve">1. Investment in with the Workforce and Training: Continuous training in digital skills and protected time for adaptation should be </w:t>
      </w:r>
      <w:r w:rsidR="007054BB" w:rsidRPr="00F05A4B">
        <w:rPr>
          <w:rFonts w:ascii="Arial" w:hAnsi="Arial" w:cs="Arial"/>
        </w:rPr>
        <w:t>prioritized</w:t>
      </w:r>
      <w:r w:rsidRPr="00F05A4B">
        <w:rPr>
          <w:rFonts w:ascii="Arial" w:hAnsi="Arial" w:cs="Arial"/>
        </w:rPr>
        <w:t xml:space="preserve"> to reduce technostress and resistance. </w:t>
      </w:r>
    </w:p>
    <w:p w14:paraId="6EC2385D" w14:textId="77777777" w:rsidR="007054BB" w:rsidRPr="00F05A4B" w:rsidRDefault="00EE3449" w:rsidP="008E09C9">
      <w:pPr>
        <w:spacing w:line="360" w:lineRule="auto"/>
        <w:jc w:val="both"/>
        <w:rPr>
          <w:rFonts w:ascii="Arial" w:hAnsi="Arial" w:cs="Arial"/>
        </w:rPr>
      </w:pPr>
      <w:r w:rsidRPr="00F05A4B">
        <w:rPr>
          <w:rFonts w:ascii="Arial" w:hAnsi="Arial" w:cs="Arial"/>
        </w:rPr>
        <w:t xml:space="preserve">2. Ensure non-digital access channels to prevent widening inequalities. </w:t>
      </w:r>
    </w:p>
    <w:p w14:paraId="14E6EB1D" w14:textId="758D017A" w:rsidR="007054BB" w:rsidRPr="00F05A4B" w:rsidRDefault="00EE3449" w:rsidP="008E09C9">
      <w:pPr>
        <w:spacing w:line="360" w:lineRule="auto"/>
        <w:jc w:val="both"/>
        <w:rPr>
          <w:rFonts w:ascii="Arial" w:hAnsi="Arial" w:cs="Arial"/>
        </w:rPr>
      </w:pPr>
      <w:r w:rsidRPr="00F05A4B">
        <w:rPr>
          <w:rFonts w:ascii="Arial" w:hAnsi="Arial" w:cs="Arial"/>
        </w:rPr>
        <w:t xml:space="preserve">3. Enhanced Interoperability Standards: National investment in </w:t>
      </w:r>
      <w:r w:rsidR="007054BB" w:rsidRPr="00F05A4B">
        <w:rPr>
          <w:rFonts w:ascii="Arial" w:hAnsi="Arial" w:cs="Arial"/>
        </w:rPr>
        <w:t>standardized</w:t>
      </w:r>
      <w:r w:rsidRPr="00F05A4B">
        <w:rPr>
          <w:rFonts w:ascii="Arial" w:hAnsi="Arial" w:cs="Arial"/>
        </w:rPr>
        <w:t xml:space="preserve"> digital infrastructure to diminish fragmentation. </w:t>
      </w:r>
    </w:p>
    <w:p w14:paraId="30615472" w14:textId="3B0900D0" w:rsidR="007054BB" w:rsidRPr="00F05A4B" w:rsidRDefault="00EE3449" w:rsidP="008E09C9">
      <w:pPr>
        <w:spacing w:line="360" w:lineRule="auto"/>
        <w:jc w:val="both"/>
        <w:rPr>
          <w:rFonts w:ascii="Arial" w:hAnsi="Arial" w:cs="Arial"/>
        </w:rPr>
      </w:pPr>
      <w:r w:rsidRPr="00F05A4B">
        <w:rPr>
          <w:rFonts w:ascii="Arial" w:hAnsi="Arial" w:cs="Arial"/>
        </w:rPr>
        <w:t xml:space="preserve">4. Join forces with community </w:t>
      </w:r>
      <w:r w:rsidR="007054BB" w:rsidRPr="00F05A4B">
        <w:rPr>
          <w:rFonts w:ascii="Arial" w:hAnsi="Arial" w:cs="Arial"/>
        </w:rPr>
        <w:t>organizations</w:t>
      </w:r>
      <w:r w:rsidRPr="00F05A4B">
        <w:rPr>
          <w:rFonts w:ascii="Arial" w:hAnsi="Arial" w:cs="Arial"/>
        </w:rPr>
        <w:t xml:space="preserve"> to enhance users’ digital literacy and access to devices. </w:t>
      </w:r>
    </w:p>
    <w:p w14:paraId="68FF205F" w14:textId="77777777" w:rsidR="007054BB" w:rsidRPr="00F05A4B" w:rsidRDefault="00EE3449" w:rsidP="008E09C9">
      <w:pPr>
        <w:spacing w:line="360" w:lineRule="auto"/>
        <w:jc w:val="both"/>
        <w:rPr>
          <w:rFonts w:ascii="Arial" w:hAnsi="Arial" w:cs="Arial"/>
        </w:rPr>
      </w:pPr>
      <w:r w:rsidRPr="00F05A4B">
        <w:rPr>
          <w:rFonts w:ascii="Arial" w:hAnsi="Arial" w:cs="Arial"/>
        </w:rPr>
        <w:t>5. Ongoing monitoring and communication made it possible to further bolster the nation’s cybersecurity governing framework.</w:t>
      </w:r>
    </w:p>
    <w:p w14:paraId="6DE45DE1" w14:textId="78D3F44C" w:rsidR="00E00AEA" w:rsidRPr="008E09C9" w:rsidRDefault="007054BB" w:rsidP="008E09C9">
      <w:pPr>
        <w:spacing w:line="360" w:lineRule="auto"/>
        <w:jc w:val="both"/>
        <w:rPr>
          <w:rFonts w:ascii="Arial" w:hAnsi="Arial" w:cs="Arial"/>
        </w:rPr>
      </w:pPr>
      <w:r w:rsidRPr="007054BB">
        <w:rPr>
          <w:rFonts w:ascii="Arial" w:hAnsi="Arial" w:cs="Arial"/>
        </w:rPr>
        <w:t>In the end, the NHS App and other digital advancements over the last 10 years are crucial to meeting health care needs. To achieve sustained success, the policies and solutions need to be inclusive in implementation.</w:t>
      </w:r>
    </w:p>
    <w:p w14:paraId="6571DB8E" w14:textId="77777777" w:rsidR="00AA3CE1" w:rsidRPr="008E09C9" w:rsidRDefault="00AA3CE1" w:rsidP="008E09C9">
      <w:pPr>
        <w:spacing w:line="360" w:lineRule="auto"/>
        <w:jc w:val="both"/>
        <w:rPr>
          <w:rFonts w:ascii="Arial" w:hAnsi="Arial" w:cs="Arial"/>
        </w:rPr>
      </w:pPr>
    </w:p>
    <w:p w14:paraId="26E3B911" w14:textId="77777777" w:rsidR="00AA3CE1" w:rsidRPr="008E09C9" w:rsidRDefault="00AA3CE1" w:rsidP="008E09C9">
      <w:pPr>
        <w:spacing w:line="360" w:lineRule="auto"/>
        <w:jc w:val="both"/>
        <w:rPr>
          <w:rFonts w:ascii="Arial" w:hAnsi="Arial" w:cs="Arial"/>
        </w:rPr>
      </w:pPr>
    </w:p>
    <w:p w14:paraId="643F8742" w14:textId="77777777" w:rsidR="00AA3CE1" w:rsidRPr="008E09C9" w:rsidRDefault="00AA3CE1" w:rsidP="008E09C9">
      <w:pPr>
        <w:spacing w:line="360" w:lineRule="auto"/>
        <w:jc w:val="both"/>
        <w:rPr>
          <w:rFonts w:ascii="Arial" w:hAnsi="Arial" w:cs="Arial"/>
        </w:rPr>
      </w:pPr>
    </w:p>
    <w:p w14:paraId="2AC90BEA" w14:textId="77777777" w:rsidR="00AA3CE1" w:rsidRPr="008E09C9" w:rsidRDefault="00AA3CE1" w:rsidP="008E09C9">
      <w:pPr>
        <w:spacing w:line="360" w:lineRule="auto"/>
        <w:jc w:val="both"/>
        <w:rPr>
          <w:rFonts w:ascii="Arial" w:hAnsi="Arial" w:cs="Arial"/>
        </w:rPr>
      </w:pPr>
    </w:p>
    <w:p w14:paraId="5067113B" w14:textId="77777777" w:rsidR="00AA3CE1" w:rsidRPr="008E09C9" w:rsidRDefault="00AA3CE1" w:rsidP="008E09C9">
      <w:pPr>
        <w:spacing w:line="360" w:lineRule="auto"/>
        <w:jc w:val="both"/>
        <w:rPr>
          <w:rFonts w:ascii="Arial" w:hAnsi="Arial" w:cs="Arial"/>
        </w:rPr>
      </w:pPr>
    </w:p>
    <w:p w14:paraId="11F17285" w14:textId="77777777" w:rsidR="00AA3CE1" w:rsidRDefault="00AA3CE1" w:rsidP="008E09C9">
      <w:pPr>
        <w:spacing w:line="360" w:lineRule="auto"/>
        <w:jc w:val="both"/>
        <w:rPr>
          <w:rFonts w:ascii="Arial" w:hAnsi="Arial" w:cs="Arial"/>
        </w:rPr>
      </w:pPr>
    </w:p>
    <w:p w14:paraId="052895A0" w14:textId="77777777" w:rsidR="00643F74" w:rsidRDefault="00643F74" w:rsidP="008E09C9">
      <w:pPr>
        <w:spacing w:line="360" w:lineRule="auto"/>
        <w:jc w:val="both"/>
        <w:rPr>
          <w:rFonts w:ascii="Arial" w:hAnsi="Arial" w:cs="Arial"/>
        </w:rPr>
      </w:pPr>
    </w:p>
    <w:p w14:paraId="1564CE3E" w14:textId="77777777" w:rsidR="00643F74" w:rsidRDefault="00643F74" w:rsidP="008E09C9">
      <w:pPr>
        <w:spacing w:line="360" w:lineRule="auto"/>
        <w:jc w:val="both"/>
        <w:rPr>
          <w:rFonts w:ascii="Arial" w:hAnsi="Arial" w:cs="Arial"/>
        </w:rPr>
      </w:pPr>
    </w:p>
    <w:p w14:paraId="229A82EA" w14:textId="77777777" w:rsidR="00643F74" w:rsidRDefault="00643F74" w:rsidP="008E09C9">
      <w:pPr>
        <w:spacing w:line="360" w:lineRule="auto"/>
        <w:jc w:val="both"/>
        <w:rPr>
          <w:rFonts w:ascii="Arial" w:hAnsi="Arial" w:cs="Arial"/>
        </w:rPr>
      </w:pPr>
    </w:p>
    <w:p w14:paraId="4F31BD54" w14:textId="77777777" w:rsidR="00643F74" w:rsidRDefault="00643F74" w:rsidP="008E09C9">
      <w:pPr>
        <w:spacing w:line="360" w:lineRule="auto"/>
        <w:jc w:val="both"/>
        <w:rPr>
          <w:rFonts w:ascii="Arial" w:hAnsi="Arial" w:cs="Arial"/>
        </w:rPr>
      </w:pPr>
    </w:p>
    <w:p w14:paraId="24BC5C27" w14:textId="77777777" w:rsidR="00643F74" w:rsidRPr="008E09C9" w:rsidRDefault="00643F74" w:rsidP="008E09C9">
      <w:pPr>
        <w:spacing w:line="360" w:lineRule="auto"/>
        <w:jc w:val="both"/>
        <w:rPr>
          <w:rFonts w:ascii="Arial" w:hAnsi="Arial" w:cs="Arial"/>
        </w:rPr>
      </w:pPr>
    </w:p>
    <w:p w14:paraId="32BC8706" w14:textId="77777777" w:rsidR="00AA3CE1" w:rsidRDefault="00AA3CE1" w:rsidP="008E09C9">
      <w:pPr>
        <w:spacing w:line="360" w:lineRule="auto"/>
        <w:jc w:val="both"/>
        <w:rPr>
          <w:rFonts w:ascii="Arial" w:hAnsi="Arial" w:cs="Arial"/>
        </w:rPr>
      </w:pPr>
    </w:p>
    <w:p w14:paraId="714DC283" w14:textId="77777777" w:rsidR="00477127" w:rsidRPr="008E09C9" w:rsidRDefault="00477127" w:rsidP="008E09C9">
      <w:pPr>
        <w:spacing w:line="360" w:lineRule="auto"/>
        <w:jc w:val="both"/>
        <w:rPr>
          <w:rFonts w:ascii="Arial" w:hAnsi="Arial" w:cs="Arial"/>
        </w:rPr>
      </w:pPr>
    </w:p>
    <w:p w14:paraId="5F828B71" w14:textId="692812D7" w:rsidR="00AA3CE1" w:rsidRPr="00477127" w:rsidRDefault="00AA3CE1" w:rsidP="00477127">
      <w:pPr>
        <w:pStyle w:val="Heading1"/>
        <w:jc w:val="center"/>
        <w:rPr>
          <w:sz w:val="32"/>
          <w:szCs w:val="32"/>
        </w:rPr>
      </w:pPr>
      <w:bookmarkStart w:id="10" w:name="_Toc222333464"/>
      <w:r w:rsidRPr="00477127">
        <w:rPr>
          <w:sz w:val="32"/>
          <w:szCs w:val="32"/>
        </w:rPr>
        <w:t>Reference</w:t>
      </w:r>
      <w:bookmarkEnd w:id="10"/>
    </w:p>
    <w:p w14:paraId="79017578"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BMA (2021) </w:t>
      </w:r>
      <w:r w:rsidRPr="00AF315B">
        <w:rPr>
          <w:rFonts w:ascii="Arial" w:hAnsi="Arial" w:cs="Arial"/>
          <w:i/>
          <w:iCs/>
        </w:rPr>
        <w:t>The impact of COVID-19 on the medical workforce</w:t>
      </w:r>
      <w:r w:rsidRPr="00AF315B">
        <w:rPr>
          <w:rFonts w:ascii="Arial" w:hAnsi="Arial" w:cs="Arial"/>
        </w:rPr>
        <w:t>. London: British Medical Association.</w:t>
      </w:r>
    </w:p>
    <w:p w14:paraId="4804657E"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BMA (2021) </w:t>
      </w:r>
      <w:r w:rsidRPr="00AF315B">
        <w:rPr>
          <w:rFonts w:ascii="Arial" w:hAnsi="Arial" w:cs="Arial"/>
          <w:i/>
          <w:iCs/>
        </w:rPr>
        <w:t>The impact of digital technology on the GP workforce</w:t>
      </w:r>
      <w:r w:rsidRPr="00AF315B">
        <w:rPr>
          <w:rFonts w:ascii="Arial" w:hAnsi="Arial" w:cs="Arial"/>
        </w:rPr>
        <w:t>. London: British Medical Association.</w:t>
      </w:r>
    </w:p>
    <w:p w14:paraId="6BB67800"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Buchan, J., </w:t>
      </w:r>
      <w:proofErr w:type="spellStart"/>
      <w:r w:rsidRPr="00AF315B">
        <w:rPr>
          <w:rFonts w:ascii="Arial" w:hAnsi="Arial" w:cs="Arial"/>
        </w:rPr>
        <w:t>Gershlick</w:t>
      </w:r>
      <w:proofErr w:type="spellEnd"/>
      <w:r w:rsidRPr="00AF315B">
        <w:rPr>
          <w:rFonts w:ascii="Arial" w:hAnsi="Arial" w:cs="Arial"/>
        </w:rPr>
        <w:t xml:space="preserve">, B., Charlesworth, A. and Seccombe, I. (2022) </w:t>
      </w:r>
      <w:r w:rsidRPr="00AF315B">
        <w:rPr>
          <w:rFonts w:ascii="Arial" w:hAnsi="Arial" w:cs="Arial"/>
          <w:i/>
          <w:iCs/>
        </w:rPr>
        <w:t>Falling short: The NHS workforce challenge</w:t>
      </w:r>
      <w:r w:rsidRPr="00AF315B">
        <w:rPr>
          <w:rFonts w:ascii="Arial" w:hAnsi="Arial" w:cs="Arial"/>
        </w:rPr>
        <w:t>. London: The Health Foundation.</w:t>
      </w:r>
    </w:p>
    <w:p w14:paraId="5226810C"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Department of Health and Social Care (2021) </w:t>
      </w:r>
      <w:r w:rsidRPr="00AF315B">
        <w:rPr>
          <w:rFonts w:ascii="Arial" w:hAnsi="Arial" w:cs="Arial"/>
          <w:i/>
          <w:iCs/>
        </w:rPr>
        <w:t>NHS COVID Pass and digital transformation</w:t>
      </w:r>
      <w:r w:rsidRPr="00AF315B">
        <w:rPr>
          <w:rFonts w:ascii="Arial" w:hAnsi="Arial" w:cs="Arial"/>
        </w:rPr>
        <w:t>. London: DHSC.</w:t>
      </w:r>
    </w:p>
    <w:p w14:paraId="2A319CAD"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Department of Health and Social Care (2021) </w:t>
      </w:r>
      <w:r w:rsidRPr="00AF315B">
        <w:rPr>
          <w:rFonts w:ascii="Arial" w:hAnsi="Arial" w:cs="Arial"/>
          <w:i/>
          <w:iCs/>
        </w:rPr>
        <w:t>NHS COVID Pass and the NHS App: guidance and implementation update</w:t>
      </w:r>
      <w:r w:rsidRPr="00AF315B">
        <w:rPr>
          <w:rFonts w:ascii="Arial" w:hAnsi="Arial" w:cs="Arial"/>
        </w:rPr>
        <w:t>. London: DHSC.</w:t>
      </w:r>
    </w:p>
    <w:p w14:paraId="4C54613A"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Greenhalgh, T., </w:t>
      </w:r>
      <w:proofErr w:type="spellStart"/>
      <w:r w:rsidRPr="00AF315B">
        <w:rPr>
          <w:rFonts w:ascii="Arial" w:hAnsi="Arial" w:cs="Arial"/>
        </w:rPr>
        <w:t>Wherton</w:t>
      </w:r>
      <w:proofErr w:type="spellEnd"/>
      <w:r w:rsidRPr="00AF315B">
        <w:rPr>
          <w:rFonts w:ascii="Arial" w:hAnsi="Arial" w:cs="Arial"/>
        </w:rPr>
        <w:t>, J., Shaw, S. and Morrison, C. (</w:t>
      </w:r>
      <w:proofErr w:type="gramStart"/>
      <w:r w:rsidRPr="00AF315B">
        <w:rPr>
          <w:rFonts w:ascii="Arial" w:hAnsi="Arial" w:cs="Arial"/>
        </w:rPr>
        <w:t>2020) ‘</w:t>
      </w:r>
      <w:proofErr w:type="gramEnd"/>
      <w:r w:rsidRPr="00AF315B">
        <w:rPr>
          <w:rFonts w:ascii="Arial" w:hAnsi="Arial" w:cs="Arial"/>
        </w:rPr>
        <w:t xml:space="preserve">Video </w:t>
      </w:r>
      <w:proofErr w:type="gramStart"/>
      <w:r w:rsidRPr="00AF315B">
        <w:rPr>
          <w:rFonts w:ascii="Arial" w:hAnsi="Arial" w:cs="Arial"/>
        </w:rPr>
        <w:t>consultations</w:t>
      </w:r>
      <w:proofErr w:type="gramEnd"/>
      <w:r w:rsidRPr="00AF315B">
        <w:rPr>
          <w:rFonts w:ascii="Arial" w:hAnsi="Arial" w:cs="Arial"/>
        </w:rPr>
        <w:t xml:space="preserve"> for COVID-19’, </w:t>
      </w:r>
      <w:r w:rsidRPr="00AF315B">
        <w:rPr>
          <w:rFonts w:ascii="Arial" w:hAnsi="Arial" w:cs="Arial"/>
          <w:i/>
          <w:iCs/>
        </w:rPr>
        <w:t>BMJ</w:t>
      </w:r>
      <w:r w:rsidRPr="00AF315B">
        <w:rPr>
          <w:rFonts w:ascii="Arial" w:hAnsi="Arial" w:cs="Arial"/>
        </w:rPr>
        <w:t>, 368, m998.</w:t>
      </w:r>
    </w:p>
    <w:p w14:paraId="5C22D9BE"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Health Education England (2020) </w:t>
      </w:r>
      <w:r w:rsidRPr="00AF315B">
        <w:rPr>
          <w:rFonts w:ascii="Arial" w:hAnsi="Arial" w:cs="Arial"/>
          <w:i/>
          <w:iCs/>
        </w:rPr>
        <w:t>Digital readiness in the NHS workforce</w:t>
      </w:r>
      <w:r w:rsidRPr="00AF315B">
        <w:rPr>
          <w:rFonts w:ascii="Arial" w:hAnsi="Arial" w:cs="Arial"/>
        </w:rPr>
        <w:t>. London: HEE.</w:t>
      </w:r>
    </w:p>
    <w:p w14:paraId="4008288A"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Health Education England (2020) </w:t>
      </w:r>
      <w:r w:rsidRPr="00AF315B">
        <w:rPr>
          <w:rFonts w:ascii="Arial" w:hAnsi="Arial" w:cs="Arial"/>
          <w:i/>
          <w:iCs/>
        </w:rPr>
        <w:t>The Topol Review: Preparing the healthcare workforce to deliver the digital future</w:t>
      </w:r>
      <w:r w:rsidRPr="00AF315B">
        <w:rPr>
          <w:rFonts w:ascii="Arial" w:hAnsi="Arial" w:cs="Arial"/>
        </w:rPr>
        <w:t>. London: HEE.</w:t>
      </w:r>
    </w:p>
    <w:p w14:paraId="1407F9CC"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NAO (2018) </w:t>
      </w:r>
      <w:r w:rsidRPr="00AF315B">
        <w:rPr>
          <w:rFonts w:ascii="Arial" w:hAnsi="Arial" w:cs="Arial"/>
          <w:i/>
          <w:iCs/>
        </w:rPr>
        <w:t xml:space="preserve">Investigation: WannaCry </w:t>
      </w:r>
      <w:proofErr w:type="spellStart"/>
      <w:r w:rsidRPr="00AF315B">
        <w:rPr>
          <w:rFonts w:ascii="Arial" w:hAnsi="Arial" w:cs="Arial"/>
          <w:i/>
          <w:iCs/>
        </w:rPr>
        <w:t>cyber attack</w:t>
      </w:r>
      <w:proofErr w:type="spellEnd"/>
      <w:r w:rsidRPr="00AF315B">
        <w:rPr>
          <w:rFonts w:ascii="Arial" w:hAnsi="Arial" w:cs="Arial"/>
          <w:i/>
          <w:iCs/>
        </w:rPr>
        <w:t xml:space="preserve"> and the NHS</w:t>
      </w:r>
      <w:r w:rsidRPr="00AF315B">
        <w:rPr>
          <w:rFonts w:ascii="Arial" w:hAnsi="Arial" w:cs="Arial"/>
        </w:rPr>
        <w:t>. London: National Audit Office.</w:t>
      </w:r>
    </w:p>
    <w:p w14:paraId="1106BB6A"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NAO (2020) </w:t>
      </w:r>
      <w:r w:rsidRPr="00AF315B">
        <w:rPr>
          <w:rFonts w:ascii="Arial" w:hAnsi="Arial" w:cs="Arial"/>
          <w:i/>
          <w:iCs/>
        </w:rPr>
        <w:t>Digital transformation in the NHS</w:t>
      </w:r>
      <w:r w:rsidRPr="00AF315B">
        <w:rPr>
          <w:rFonts w:ascii="Arial" w:hAnsi="Arial" w:cs="Arial"/>
        </w:rPr>
        <w:t>. London: National Audit Office.</w:t>
      </w:r>
    </w:p>
    <w:p w14:paraId="4A507CBE"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NHS England (2019) </w:t>
      </w:r>
      <w:r w:rsidRPr="00AF315B">
        <w:rPr>
          <w:rFonts w:ascii="Arial" w:hAnsi="Arial" w:cs="Arial"/>
          <w:i/>
          <w:iCs/>
        </w:rPr>
        <w:t>The NHS Long Term Plan</w:t>
      </w:r>
      <w:r w:rsidRPr="00AF315B">
        <w:rPr>
          <w:rFonts w:ascii="Arial" w:hAnsi="Arial" w:cs="Arial"/>
        </w:rPr>
        <w:t>. London: NHS England.</w:t>
      </w:r>
    </w:p>
    <w:p w14:paraId="0CCE5773" w14:textId="77777777" w:rsidR="00AF315B" w:rsidRPr="00AF315B" w:rsidRDefault="00AF315B" w:rsidP="008E09C9">
      <w:pPr>
        <w:spacing w:line="360" w:lineRule="auto"/>
        <w:jc w:val="both"/>
        <w:rPr>
          <w:rFonts w:ascii="Arial" w:hAnsi="Arial" w:cs="Arial"/>
        </w:rPr>
      </w:pPr>
      <w:r w:rsidRPr="00AF315B">
        <w:rPr>
          <w:rFonts w:ascii="Arial" w:hAnsi="Arial" w:cs="Arial"/>
        </w:rPr>
        <w:lastRenderedPageBreak/>
        <w:t xml:space="preserve">NHS England (2021) </w:t>
      </w:r>
      <w:r w:rsidRPr="00AF315B">
        <w:rPr>
          <w:rFonts w:ascii="Arial" w:hAnsi="Arial" w:cs="Arial"/>
          <w:i/>
          <w:iCs/>
        </w:rPr>
        <w:t xml:space="preserve">NHS App </w:t>
      </w:r>
      <w:proofErr w:type="spellStart"/>
      <w:r w:rsidRPr="00AF315B">
        <w:rPr>
          <w:rFonts w:ascii="Arial" w:hAnsi="Arial" w:cs="Arial"/>
          <w:i/>
          <w:iCs/>
        </w:rPr>
        <w:t>programme</w:t>
      </w:r>
      <w:proofErr w:type="spellEnd"/>
      <w:r w:rsidRPr="00AF315B">
        <w:rPr>
          <w:rFonts w:ascii="Arial" w:hAnsi="Arial" w:cs="Arial"/>
          <w:i/>
          <w:iCs/>
        </w:rPr>
        <w:t xml:space="preserve"> update and evaluation report</w:t>
      </w:r>
      <w:r w:rsidRPr="00AF315B">
        <w:rPr>
          <w:rFonts w:ascii="Arial" w:hAnsi="Arial" w:cs="Arial"/>
        </w:rPr>
        <w:t>. London: NHS England.</w:t>
      </w:r>
    </w:p>
    <w:p w14:paraId="62FD82C2"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NHS England (2022) </w:t>
      </w:r>
      <w:r w:rsidRPr="00AF315B">
        <w:rPr>
          <w:rFonts w:ascii="Arial" w:hAnsi="Arial" w:cs="Arial"/>
          <w:i/>
          <w:iCs/>
        </w:rPr>
        <w:t>NHS App usage statistics</w:t>
      </w:r>
      <w:r w:rsidRPr="00AF315B">
        <w:rPr>
          <w:rFonts w:ascii="Arial" w:hAnsi="Arial" w:cs="Arial"/>
        </w:rPr>
        <w:t>. London: NHS England.</w:t>
      </w:r>
    </w:p>
    <w:p w14:paraId="328E3E38"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Ofcom (2022) </w:t>
      </w:r>
      <w:r w:rsidRPr="00AF315B">
        <w:rPr>
          <w:rFonts w:ascii="Arial" w:hAnsi="Arial" w:cs="Arial"/>
          <w:i/>
          <w:iCs/>
        </w:rPr>
        <w:t>Adults’ media use and attitudes report</w:t>
      </w:r>
      <w:r w:rsidRPr="00AF315B">
        <w:rPr>
          <w:rFonts w:ascii="Arial" w:hAnsi="Arial" w:cs="Arial"/>
        </w:rPr>
        <w:t>. London: Ofcom.</w:t>
      </w:r>
    </w:p>
    <w:p w14:paraId="15F5B9D8"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The Health Foundation (2021) </w:t>
      </w:r>
      <w:r w:rsidRPr="00AF315B">
        <w:rPr>
          <w:rFonts w:ascii="Arial" w:hAnsi="Arial" w:cs="Arial"/>
          <w:i/>
          <w:iCs/>
        </w:rPr>
        <w:t>Digital technology and health inequalities</w:t>
      </w:r>
      <w:r w:rsidRPr="00AF315B">
        <w:rPr>
          <w:rFonts w:ascii="Arial" w:hAnsi="Arial" w:cs="Arial"/>
        </w:rPr>
        <w:t>. London: The Health Foundation.</w:t>
      </w:r>
    </w:p>
    <w:p w14:paraId="0EE76299"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The Health Foundation (2021) </w:t>
      </w:r>
      <w:r w:rsidRPr="00AF315B">
        <w:rPr>
          <w:rFonts w:ascii="Arial" w:hAnsi="Arial" w:cs="Arial"/>
          <w:i/>
          <w:iCs/>
        </w:rPr>
        <w:t>How has the COVID-19 pandemic impacted primary care?</w:t>
      </w:r>
      <w:r w:rsidRPr="00AF315B">
        <w:rPr>
          <w:rFonts w:ascii="Arial" w:hAnsi="Arial" w:cs="Arial"/>
        </w:rPr>
        <w:t xml:space="preserve"> London: The Health Foundation.</w:t>
      </w:r>
    </w:p>
    <w:p w14:paraId="5DBE33DD"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The King’s Fund (2021) </w:t>
      </w:r>
      <w:r w:rsidRPr="00AF315B">
        <w:rPr>
          <w:rFonts w:ascii="Arial" w:hAnsi="Arial" w:cs="Arial"/>
          <w:i/>
          <w:iCs/>
        </w:rPr>
        <w:t>Digital exclusion and health inequalities</w:t>
      </w:r>
      <w:r w:rsidRPr="00AF315B">
        <w:rPr>
          <w:rFonts w:ascii="Arial" w:hAnsi="Arial" w:cs="Arial"/>
        </w:rPr>
        <w:t>. London: The King’s Fund.</w:t>
      </w:r>
    </w:p>
    <w:p w14:paraId="64D88C89"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The King’s Fund (2022) </w:t>
      </w:r>
      <w:r w:rsidRPr="00AF315B">
        <w:rPr>
          <w:rFonts w:ascii="Arial" w:hAnsi="Arial" w:cs="Arial"/>
          <w:i/>
          <w:iCs/>
        </w:rPr>
        <w:t>NHS workforce pressures</w:t>
      </w:r>
      <w:r w:rsidRPr="00AF315B">
        <w:rPr>
          <w:rFonts w:ascii="Arial" w:hAnsi="Arial" w:cs="Arial"/>
        </w:rPr>
        <w:t>. London: The King’s Fund.</w:t>
      </w:r>
    </w:p>
    <w:p w14:paraId="62944925"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The King’s Fund (2022) </w:t>
      </w:r>
      <w:r w:rsidRPr="00AF315B">
        <w:rPr>
          <w:rFonts w:ascii="Arial" w:hAnsi="Arial" w:cs="Arial"/>
          <w:i/>
          <w:iCs/>
        </w:rPr>
        <w:t>NHS workforce pressures in primary care</w:t>
      </w:r>
      <w:r w:rsidRPr="00AF315B">
        <w:rPr>
          <w:rFonts w:ascii="Arial" w:hAnsi="Arial" w:cs="Arial"/>
        </w:rPr>
        <w:t>. London: The King’s Fund.</w:t>
      </w:r>
    </w:p>
    <w:p w14:paraId="6DC7076D"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Topol, E. (2019) </w:t>
      </w:r>
      <w:r w:rsidRPr="00AF315B">
        <w:rPr>
          <w:rFonts w:ascii="Arial" w:hAnsi="Arial" w:cs="Arial"/>
          <w:i/>
          <w:iCs/>
        </w:rPr>
        <w:t>The Topol Review: Preparing the healthcare workforce to deliver the digital future</w:t>
      </w:r>
      <w:r w:rsidRPr="00AF315B">
        <w:rPr>
          <w:rFonts w:ascii="Arial" w:hAnsi="Arial" w:cs="Arial"/>
        </w:rPr>
        <w:t>. London: Health Education England.</w:t>
      </w:r>
    </w:p>
    <w:p w14:paraId="0774CB86" w14:textId="77777777" w:rsidR="00AF315B" w:rsidRPr="00AF315B" w:rsidRDefault="00AF315B" w:rsidP="008E09C9">
      <w:pPr>
        <w:spacing w:line="360" w:lineRule="auto"/>
        <w:jc w:val="both"/>
        <w:rPr>
          <w:rFonts w:ascii="Arial" w:hAnsi="Arial" w:cs="Arial"/>
        </w:rPr>
      </w:pPr>
      <w:r w:rsidRPr="00AF315B">
        <w:rPr>
          <w:rFonts w:ascii="Arial" w:hAnsi="Arial" w:cs="Arial"/>
        </w:rPr>
        <w:t xml:space="preserve">Wachter, R.M. (2016) </w:t>
      </w:r>
      <w:r w:rsidRPr="00AF315B">
        <w:rPr>
          <w:rFonts w:ascii="Arial" w:hAnsi="Arial" w:cs="Arial"/>
          <w:i/>
          <w:iCs/>
        </w:rPr>
        <w:t>Making IT work: Harnessing the power of health information technology to improve care in England</w:t>
      </w:r>
      <w:r w:rsidRPr="00AF315B">
        <w:rPr>
          <w:rFonts w:ascii="Arial" w:hAnsi="Arial" w:cs="Arial"/>
        </w:rPr>
        <w:t>. London: Department of Health.</w:t>
      </w:r>
    </w:p>
    <w:p w14:paraId="6ACF859C" w14:textId="77777777" w:rsidR="00AA3CE1" w:rsidRPr="008E09C9" w:rsidRDefault="00AA3CE1" w:rsidP="008E09C9">
      <w:pPr>
        <w:spacing w:line="360" w:lineRule="auto"/>
        <w:jc w:val="both"/>
        <w:rPr>
          <w:rFonts w:ascii="Arial" w:hAnsi="Arial" w:cs="Arial"/>
        </w:rPr>
      </w:pPr>
    </w:p>
    <w:p w14:paraId="36C5ACD3" w14:textId="77777777" w:rsidR="0034656B" w:rsidRPr="008E09C9" w:rsidRDefault="0034656B" w:rsidP="008E09C9">
      <w:pPr>
        <w:spacing w:line="360" w:lineRule="auto"/>
        <w:jc w:val="both"/>
        <w:rPr>
          <w:rFonts w:ascii="Arial" w:hAnsi="Arial" w:cs="Arial"/>
        </w:rPr>
      </w:pPr>
    </w:p>
    <w:p w14:paraId="5695767C" w14:textId="77777777" w:rsidR="0034656B" w:rsidRPr="008E09C9" w:rsidRDefault="0034656B" w:rsidP="008E09C9">
      <w:pPr>
        <w:spacing w:line="360" w:lineRule="auto"/>
        <w:jc w:val="both"/>
        <w:rPr>
          <w:rFonts w:ascii="Arial" w:hAnsi="Arial" w:cs="Arial"/>
        </w:rPr>
      </w:pPr>
    </w:p>
    <w:sectPr w:rsidR="0034656B" w:rsidRPr="008E09C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3B2F4" w14:textId="77777777" w:rsidR="004E05A8" w:rsidRDefault="004E05A8" w:rsidP="0034656B">
      <w:pPr>
        <w:spacing w:after="0" w:line="240" w:lineRule="auto"/>
      </w:pPr>
      <w:r>
        <w:separator/>
      </w:r>
    </w:p>
  </w:endnote>
  <w:endnote w:type="continuationSeparator" w:id="0">
    <w:p w14:paraId="3E3105CB" w14:textId="77777777" w:rsidR="004E05A8" w:rsidRDefault="004E05A8" w:rsidP="00346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333032"/>
      <w:docPartObj>
        <w:docPartGallery w:val="Page Numbers (Bottom of Page)"/>
        <w:docPartUnique/>
      </w:docPartObj>
    </w:sdtPr>
    <w:sdtEndPr>
      <w:rPr>
        <w:noProof/>
      </w:rPr>
    </w:sdtEndPr>
    <w:sdtContent>
      <w:p w14:paraId="5080A61C" w14:textId="01913706" w:rsidR="0034656B" w:rsidRDefault="003465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CEA279" w14:textId="77777777" w:rsidR="0034656B" w:rsidRDefault="00346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B2D0A" w14:textId="77777777" w:rsidR="004E05A8" w:rsidRDefault="004E05A8" w:rsidP="0034656B">
      <w:pPr>
        <w:spacing w:after="0" w:line="240" w:lineRule="auto"/>
      </w:pPr>
      <w:r>
        <w:separator/>
      </w:r>
    </w:p>
  </w:footnote>
  <w:footnote w:type="continuationSeparator" w:id="0">
    <w:p w14:paraId="4BAC7A57" w14:textId="77777777" w:rsidR="004E05A8" w:rsidRDefault="004E05A8" w:rsidP="00346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F32C6"/>
    <w:multiLevelType w:val="multilevel"/>
    <w:tmpl w:val="3810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5133B4"/>
    <w:multiLevelType w:val="multilevel"/>
    <w:tmpl w:val="72941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199334">
    <w:abstractNumId w:val="0"/>
  </w:num>
  <w:num w:numId="2" w16cid:durableId="642081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D6"/>
    <w:rsid w:val="00004C33"/>
    <w:rsid w:val="00020B51"/>
    <w:rsid w:val="000C70D6"/>
    <w:rsid w:val="000F2134"/>
    <w:rsid w:val="00121239"/>
    <w:rsid w:val="00121A11"/>
    <w:rsid w:val="001B11B6"/>
    <w:rsid w:val="002612B8"/>
    <w:rsid w:val="00272BED"/>
    <w:rsid w:val="00286D3E"/>
    <w:rsid w:val="002B1F2C"/>
    <w:rsid w:val="002E0100"/>
    <w:rsid w:val="00305335"/>
    <w:rsid w:val="003136DF"/>
    <w:rsid w:val="003464DC"/>
    <w:rsid w:val="0034656B"/>
    <w:rsid w:val="0037289B"/>
    <w:rsid w:val="00383D22"/>
    <w:rsid w:val="00404D9B"/>
    <w:rsid w:val="0043497D"/>
    <w:rsid w:val="00440930"/>
    <w:rsid w:val="00461923"/>
    <w:rsid w:val="00477127"/>
    <w:rsid w:val="004E05A8"/>
    <w:rsid w:val="004F2631"/>
    <w:rsid w:val="004F331D"/>
    <w:rsid w:val="00507BD2"/>
    <w:rsid w:val="00517AE1"/>
    <w:rsid w:val="00533028"/>
    <w:rsid w:val="00536959"/>
    <w:rsid w:val="005A586C"/>
    <w:rsid w:val="005B405A"/>
    <w:rsid w:val="005E4E11"/>
    <w:rsid w:val="00622BF5"/>
    <w:rsid w:val="00643F74"/>
    <w:rsid w:val="00675389"/>
    <w:rsid w:val="006A6A4C"/>
    <w:rsid w:val="006A7538"/>
    <w:rsid w:val="006B05CB"/>
    <w:rsid w:val="007054BB"/>
    <w:rsid w:val="00711383"/>
    <w:rsid w:val="007426C2"/>
    <w:rsid w:val="00813FD2"/>
    <w:rsid w:val="0083695F"/>
    <w:rsid w:val="008A422A"/>
    <w:rsid w:val="008E09C9"/>
    <w:rsid w:val="00943A7A"/>
    <w:rsid w:val="00A066F4"/>
    <w:rsid w:val="00A62B28"/>
    <w:rsid w:val="00A82ADC"/>
    <w:rsid w:val="00A84C9B"/>
    <w:rsid w:val="00AA3CE1"/>
    <w:rsid w:val="00AE5FC5"/>
    <w:rsid w:val="00AF2A73"/>
    <w:rsid w:val="00AF315B"/>
    <w:rsid w:val="00BE7CD9"/>
    <w:rsid w:val="00C72BEA"/>
    <w:rsid w:val="00CA4E79"/>
    <w:rsid w:val="00CB75E6"/>
    <w:rsid w:val="00CC5732"/>
    <w:rsid w:val="00CD04B8"/>
    <w:rsid w:val="00D276D8"/>
    <w:rsid w:val="00D52207"/>
    <w:rsid w:val="00D90343"/>
    <w:rsid w:val="00E00AEA"/>
    <w:rsid w:val="00E0235F"/>
    <w:rsid w:val="00E0685C"/>
    <w:rsid w:val="00E12811"/>
    <w:rsid w:val="00E152B8"/>
    <w:rsid w:val="00E3796F"/>
    <w:rsid w:val="00E73CF2"/>
    <w:rsid w:val="00EE3449"/>
    <w:rsid w:val="00F05A4B"/>
    <w:rsid w:val="00FA3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12BFB"/>
  <w15:chartTrackingRefBased/>
  <w15:docId w15:val="{53E21FA1-2CEE-417A-B6C4-D763DD1B8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0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0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0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0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0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0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0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0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0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0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0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0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0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0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0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0D6"/>
    <w:rPr>
      <w:rFonts w:eastAsiaTheme="majorEastAsia" w:cstheme="majorBidi"/>
      <w:color w:val="272727" w:themeColor="text1" w:themeTint="D8"/>
    </w:rPr>
  </w:style>
  <w:style w:type="paragraph" w:styleId="Title">
    <w:name w:val="Title"/>
    <w:basedOn w:val="Normal"/>
    <w:next w:val="Normal"/>
    <w:link w:val="TitleChar"/>
    <w:uiPriority w:val="10"/>
    <w:qFormat/>
    <w:rsid w:val="000C7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0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0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0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0D6"/>
    <w:pPr>
      <w:spacing w:before="160"/>
      <w:jc w:val="center"/>
    </w:pPr>
    <w:rPr>
      <w:i/>
      <w:iCs/>
      <w:color w:val="404040" w:themeColor="text1" w:themeTint="BF"/>
    </w:rPr>
  </w:style>
  <w:style w:type="character" w:customStyle="1" w:styleId="QuoteChar">
    <w:name w:val="Quote Char"/>
    <w:basedOn w:val="DefaultParagraphFont"/>
    <w:link w:val="Quote"/>
    <w:uiPriority w:val="29"/>
    <w:rsid w:val="000C70D6"/>
    <w:rPr>
      <w:i/>
      <w:iCs/>
      <w:color w:val="404040" w:themeColor="text1" w:themeTint="BF"/>
    </w:rPr>
  </w:style>
  <w:style w:type="paragraph" w:styleId="ListParagraph">
    <w:name w:val="List Paragraph"/>
    <w:basedOn w:val="Normal"/>
    <w:uiPriority w:val="34"/>
    <w:qFormat/>
    <w:rsid w:val="000C70D6"/>
    <w:pPr>
      <w:ind w:left="720"/>
      <w:contextualSpacing/>
    </w:pPr>
  </w:style>
  <w:style w:type="character" w:styleId="IntenseEmphasis">
    <w:name w:val="Intense Emphasis"/>
    <w:basedOn w:val="DefaultParagraphFont"/>
    <w:uiPriority w:val="21"/>
    <w:qFormat/>
    <w:rsid w:val="000C70D6"/>
    <w:rPr>
      <w:i/>
      <w:iCs/>
      <w:color w:val="0F4761" w:themeColor="accent1" w:themeShade="BF"/>
    </w:rPr>
  </w:style>
  <w:style w:type="paragraph" w:styleId="IntenseQuote">
    <w:name w:val="Intense Quote"/>
    <w:basedOn w:val="Normal"/>
    <w:next w:val="Normal"/>
    <w:link w:val="IntenseQuoteChar"/>
    <w:uiPriority w:val="30"/>
    <w:qFormat/>
    <w:rsid w:val="000C7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0D6"/>
    <w:rPr>
      <w:i/>
      <w:iCs/>
      <w:color w:val="0F4761" w:themeColor="accent1" w:themeShade="BF"/>
    </w:rPr>
  </w:style>
  <w:style w:type="character" w:styleId="IntenseReference">
    <w:name w:val="Intense Reference"/>
    <w:basedOn w:val="DefaultParagraphFont"/>
    <w:uiPriority w:val="32"/>
    <w:qFormat/>
    <w:rsid w:val="000C70D6"/>
    <w:rPr>
      <w:b/>
      <w:bCs/>
      <w:smallCaps/>
      <w:color w:val="0F4761" w:themeColor="accent1" w:themeShade="BF"/>
      <w:spacing w:val="5"/>
    </w:rPr>
  </w:style>
  <w:style w:type="paragraph" w:styleId="Header">
    <w:name w:val="header"/>
    <w:basedOn w:val="Normal"/>
    <w:link w:val="HeaderChar"/>
    <w:uiPriority w:val="99"/>
    <w:unhideWhenUsed/>
    <w:rsid w:val="003465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56B"/>
  </w:style>
  <w:style w:type="paragraph" w:styleId="Footer">
    <w:name w:val="footer"/>
    <w:basedOn w:val="Normal"/>
    <w:link w:val="FooterChar"/>
    <w:uiPriority w:val="99"/>
    <w:unhideWhenUsed/>
    <w:rsid w:val="003465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656B"/>
  </w:style>
  <w:style w:type="paragraph" w:styleId="TOCHeading">
    <w:name w:val="TOC Heading"/>
    <w:basedOn w:val="Heading1"/>
    <w:next w:val="Normal"/>
    <w:uiPriority w:val="39"/>
    <w:unhideWhenUsed/>
    <w:qFormat/>
    <w:rsid w:val="00E1281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12811"/>
    <w:pPr>
      <w:spacing w:after="100"/>
    </w:pPr>
  </w:style>
  <w:style w:type="character" w:styleId="Hyperlink">
    <w:name w:val="Hyperlink"/>
    <w:basedOn w:val="DefaultParagraphFont"/>
    <w:uiPriority w:val="99"/>
    <w:unhideWhenUsed/>
    <w:rsid w:val="00E1281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1726F-67D5-479A-BCDB-AFA22EC10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3220</Words>
  <Characters>18355</Characters>
  <Application>Microsoft Office Word</Application>
  <DocSecurity>0</DocSecurity>
  <Lines>152</Lines>
  <Paragraphs>43</Paragraphs>
  <ScaleCrop>false</ScaleCrop>
  <Company/>
  <LinksUpToDate>false</LinksUpToDate>
  <CharactersWithSpaces>21532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Pasareanu</cp:lastModifiedBy>
  <cp:revision>111</cp:revision>
  <dcterms:created xsi:type="dcterms:W3CDTF">2026-02-18T15:19:00Z</dcterms:created>
  <dcterms:modified xsi:type="dcterms:W3CDTF">2026-03-01T06:44:00Z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49c21f1a-e1e8-47b6-8fca-9d562ddc5619</vt:lpwstr>
  </property>
</Properties>
</file>