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074269" w14:textId="77777777" w:rsidR="00B102D3" w:rsidRDefault="00B102D3" w:rsidP="00B102D3">
      <w:pPr>
        <w:pStyle w:val="Heading1"/>
        <w:numPr>
          <w:ilvl w:val="0"/>
          <w:numId w:val="0"/>
        </w:numPr>
      </w:pPr>
      <w:bookmarkStart w:id="0" w:name="_Hlk192815429"/>
      <w:bookmarkStart w:id="1" w:name="_Toc204471638"/>
      <w:bookmarkEnd w:id="0"/>
      <w:r w:rsidRPr="00B23F1A">
        <w:rPr>
          <w:rFonts w:asciiTheme="minorBidi" w:hAnsiTheme="minorBidi"/>
          <w:noProof/>
          <w:szCs w:val="24"/>
        </w:rPr>
        <w:drawing>
          <wp:inline distT="0" distB="0" distL="0" distR="0" wp14:anchorId="3B02F271" wp14:editId="7B1BA626">
            <wp:extent cx="3286125" cy="1352550"/>
            <wp:effectExtent l="0" t="0" r="9525" b="0"/>
            <wp:docPr id="527614896" name="Picture 527614896"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93423" cy="1355554"/>
                    </a:xfrm>
                    <a:prstGeom prst="rect">
                      <a:avLst/>
                    </a:prstGeom>
                  </pic:spPr>
                </pic:pic>
              </a:graphicData>
            </a:graphic>
          </wp:inline>
        </w:drawing>
      </w:r>
      <w:bookmarkEnd w:id="1"/>
    </w:p>
    <w:p w14:paraId="1A8BA232" w14:textId="77777777" w:rsidR="00B102D3" w:rsidRDefault="00B102D3" w:rsidP="00B102D3">
      <w:pPr>
        <w:rPr>
          <w:bCs/>
          <w:sz w:val="40"/>
          <w:szCs w:val="40"/>
        </w:rPr>
      </w:pPr>
    </w:p>
    <w:p w14:paraId="79DA08F0" w14:textId="77777777" w:rsidR="00B102D3" w:rsidRPr="00F13F33" w:rsidRDefault="00B102D3" w:rsidP="00B102D3">
      <w:pPr>
        <w:rPr>
          <w:bCs/>
          <w:sz w:val="40"/>
          <w:szCs w:val="40"/>
        </w:rPr>
      </w:pPr>
    </w:p>
    <w:p w14:paraId="3C95E8E8" w14:textId="77777777" w:rsidR="00B102D3" w:rsidRPr="00F13F33" w:rsidRDefault="00B102D3" w:rsidP="00B102D3">
      <w:pPr>
        <w:spacing w:after="0" w:line="360" w:lineRule="auto"/>
        <w:jc w:val="center"/>
        <w:rPr>
          <w:rFonts w:ascii="Arial" w:hAnsi="Arial" w:cs="Arial"/>
          <w:bCs/>
          <w:color w:val="000000"/>
          <w:sz w:val="40"/>
          <w:szCs w:val="40"/>
        </w:rPr>
      </w:pPr>
      <w:r w:rsidRPr="00F13F33">
        <w:rPr>
          <w:rFonts w:ascii="Arial" w:hAnsi="Arial" w:cs="Arial"/>
          <w:bCs/>
          <w:color w:val="000000"/>
          <w:sz w:val="40"/>
          <w:szCs w:val="40"/>
        </w:rPr>
        <w:t xml:space="preserve">Student name: Cecile Abuzour </w:t>
      </w:r>
    </w:p>
    <w:p w14:paraId="5E14E0B9" w14:textId="77777777" w:rsidR="00B102D3" w:rsidRDefault="00B102D3" w:rsidP="00B102D3">
      <w:pPr>
        <w:spacing w:after="0" w:line="360" w:lineRule="auto"/>
        <w:jc w:val="center"/>
        <w:rPr>
          <w:rFonts w:ascii="Arial" w:hAnsi="Arial" w:cs="Arial"/>
          <w:bCs/>
          <w:color w:val="000000"/>
          <w:sz w:val="40"/>
          <w:szCs w:val="40"/>
        </w:rPr>
      </w:pPr>
      <w:r w:rsidRPr="00F13F33">
        <w:rPr>
          <w:rFonts w:ascii="Arial" w:hAnsi="Arial" w:cs="Arial"/>
          <w:bCs/>
          <w:color w:val="000000"/>
          <w:sz w:val="40"/>
          <w:szCs w:val="40"/>
        </w:rPr>
        <w:t>Student ID: 2218610</w:t>
      </w:r>
    </w:p>
    <w:p w14:paraId="61FE0E3E" w14:textId="5BF8E18B" w:rsidR="00B102D3" w:rsidRDefault="00B102D3" w:rsidP="00B102D3">
      <w:pPr>
        <w:spacing w:after="0" w:line="360" w:lineRule="auto"/>
        <w:jc w:val="center"/>
        <w:rPr>
          <w:rFonts w:ascii="Arial" w:hAnsi="Arial" w:cs="Arial"/>
          <w:bCs/>
          <w:color w:val="000000"/>
          <w:sz w:val="40"/>
          <w:szCs w:val="40"/>
        </w:rPr>
      </w:pPr>
      <w:r w:rsidRPr="00F13F33">
        <w:rPr>
          <w:rFonts w:ascii="Arial" w:hAnsi="Arial" w:cs="Arial"/>
          <w:bCs/>
          <w:color w:val="000000"/>
          <w:sz w:val="40"/>
          <w:szCs w:val="40"/>
        </w:rPr>
        <w:t xml:space="preserve">Lecturer: </w:t>
      </w:r>
      <w:r w:rsidR="00AC5E2E">
        <w:rPr>
          <w:rFonts w:ascii="Arial" w:hAnsi="Arial" w:cs="Arial"/>
          <w:bCs/>
          <w:color w:val="000000"/>
          <w:sz w:val="40"/>
          <w:szCs w:val="40"/>
        </w:rPr>
        <w:t>Nadeem Mirza</w:t>
      </w:r>
    </w:p>
    <w:p w14:paraId="6A755615" w14:textId="2A1EC711" w:rsidR="00B102D3" w:rsidRPr="00F13F33" w:rsidRDefault="00B102D3" w:rsidP="00B102D3">
      <w:pPr>
        <w:spacing w:after="0" w:line="360" w:lineRule="auto"/>
        <w:jc w:val="center"/>
        <w:rPr>
          <w:rFonts w:ascii="Arial" w:hAnsi="Arial" w:cs="Arial"/>
          <w:bCs/>
          <w:color w:val="000000"/>
          <w:sz w:val="40"/>
          <w:szCs w:val="40"/>
        </w:rPr>
      </w:pPr>
      <w:r>
        <w:rPr>
          <w:rFonts w:ascii="Arial" w:hAnsi="Arial" w:cs="Arial"/>
          <w:bCs/>
          <w:color w:val="000000"/>
          <w:sz w:val="40"/>
          <w:szCs w:val="40"/>
        </w:rPr>
        <w:t xml:space="preserve">Module Name: </w:t>
      </w:r>
      <w:r w:rsidR="00273190" w:rsidRPr="00273190">
        <w:rPr>
          <w:rFonts w:ascii="Arial" w:hAnsi="Arial" w:cs="Arial"/>
          <w:bCs/>
          <w:color w:val="000000"/>
          <w:sz w:val="40"/>
          <w:szCs w:val="40"/>
        </w:rPr>
        <w:t>Strategic Management and Sustainability</w:t>
      </w:r>
    </w:p>
    <w:p w14:paraId="3274639C" w14:textId="3F5C890C" w:rsidR="00B102D3" w:rsidRDefault="00B102D3" w:rsidP="00B102D3">
      <w:pPr>
        <w:spacing w:after="0" w:line="360" w:lineRule="auto"/>
        <w:jc w:val="center"/>
        <w:rPr>
          <w:rFonts w:ascii="Arial" w:hAnsi="Arial" w:cs="Arial"/>
          <w:bCs/>
          <w:color w:val="000000"/>
          <w:sz w:val="40"/>
          <w:szCs w:val="40"/>
        </w:rPr>
      </w:pPr>
      <w:r w:rsidRPr="00F13F33">
        <w:rPr>
          <w:rFonts w:ascii="Arial" w:hAnsi="Arial" w:cs="Arial"/>
          <w:bCs/>
          <w:color w:val="000000"/>
          <w:sz w:val="40"/>
          <w:szCs w:val="40"/>
        </w:rPr>
        <w:t>Module code: LCBB</w:t>
      </w:r>
      <w:r w:rsidR="00273190">
        <w:rPr>
          <w:rFonts w:ascii="Arial" w:hAnsi="Arial" w:cs="Arial"/>
          <w:bCs/>
          <w:color w:val="000000"/>
          <w:sz w:val="40"/>
          <w:szCs w:val="40"/>
        </w:rPr>
        <w:t>6015</w:t>
      </w:r>
    </w:p>
    <w:p w14:paraId="361E1471" w14:textId="2DB1F756" w:rsidR="00B102D3" w:rsidRDefault="00B102D3" w:rsidP="00B102D3">
      <w:pPr>
        <w:spacing w:after="0" w:line="360" w:lineRule="auto"/>
        <w:jc w:val="center"/>
        <w:rPr>
          <w:rFonts w:ascii="Arial" w:hAnsi="Arial" w:cs="Arial"/>
          <w:bCs/>
          <w:color w:val="000000"/>
          <w:sz w:val="40"/>
          <w:szCs w:val="40"/>
        </w:rPr>
      </w:pPr>
      <w:r>
        <w:rPr>
          <w:rFonts w:ascii="Arial" w:hAnsi="Arial" w:cs="Arial"/>
          <w:bCs/>
          <w:color w:val="000000"/>
          <w:sz w:val="40"/>
          <w:szCs w:val="40"/>
        </w:rPr>
        <w:t xml:space="preserve">Componement1: </w:t>
      </w:r>
      <w:r w:rsidR="0005662D">
        <w:rPr>
          <w:rFonts w:ascii="Arial" w:hAnsi="Arial" w:cs="Arial"/>
          <w:bCs/>
          <w:color w:val="000000"/>
          <w:sz w:val="40"/>
          <w:szCs w:val="40"/>
        </w:rPr>
        <w:t xml:space="preserve">Report </w:t>
      </w:r>
    </w:p>
    <w:p w14:paraId="6C3BCDA6" w14:textId="3B210712" w:rsidR="00661F78" w:rsidRPr="00256C92" w:rsidRDefault="0005662D" w:rsidP="00256C92">
      <w:pPr>
        <w:jc w:val="center"/>
        <w:rPr>
          <w:rFonts w:ascii="Arial" w:hAnsi="Arial" w:cs="Arial"/>
          <w:sz w:val="48"/>
          <w:szCs w:val="48"/>
        </w:rPr>
      </w:pPr>
      <w:r w:rsidRPr="00256C92">
        <w:rPr>
          <w:rFonts w:ascii="Arial" w:hAnsi="Arial" w:cs="Arial"/>
          <w:bCs/>
          <w:color w:val="000000"/>
          <w:sz w:val="48"/>
          <w:szCs w:val="48"/>
        </w:rPr>
        <w:t xml:space="preserve">Title: </w:t>
      </w:r>
      <w:r w:rsidR="00661F78" w:rsidRPr="00256C92">
        <w:rPr>
          <w:rFonts w:ascii="Arial" w:hAnsi="Arial" w:cs="Arial"/>
          <w:sz w:val="48"/>
          <w:szCs w:val="48"/>
        </w:rPr>
        <w:t>Strategic Management Report: Nissan Motor Manufacturing UK</w:t>
      </w:r>
    </w:p>
    <w:p w14:paraId="53230893" w14:textId="4D4D3850" w:rsidR="0005662D" w:rsidRPr="00214FE9" w:rsidRDefault="0005662D" w:rsidP="00B102D3">
      <w:pPr>
        <w:spacing w:after="0" w:line="360" w:lineRule="auto"/>
        <w:jc w:val="center"/>
        <w:rPr>
          <w:rFonts w:ascii="Arial" w:hAnsi="Arial" w:cs="Arial"/>
          <w:bCs/>
          <w:color w:val="000000"/>
          <w:sz w:val="40"/>
          <w:szCs w:val="40"/>
        </w:rPr>
      </w:pPr>
    </w:p>
    <w:p w14:paraId="4B75BE92" w14:textId="77777777" w:rsidR="00395B45" w:rsidRDefault="00395B45"/>
    <w:p w14:paraId="6F891C9C" w14:textId="77777777" w:rsidR="00121CB7" w:rsidRDefault="00121CB7"/>
    <w:p w14:paraId="0977930F" w14:textId="77777777" w:rsidR="00121CB7" w:rsidRDefault="00121CB7"/>
    <w:p w14:paraId="0D6C0E52" w14:textId="77777777" w:rsidR="00121CB7" w:rsidRDefault="00121CB7"/>
    <w:p w14:paraId="6CF111D6" w14:textId="77777777" w:rsidR="00121CB7" w:rsidRDefault="00121CB7"/>
    <w:p w14:paraId="59ADC0E8" w14:textId="77777777" w:rsidR="00121CB7" w:rsidRDefault="00121CB7"/>
    <w:p w14:paraId="0F27465F" w14:textId="77777777" w:rsidR="00121CB7" w:rsidRDefault="00121CB7"/>
    <w:sdt>
      <w:sdtPr>
        <w:id w:val="1460301859"/>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13548CF" w14:textId="05E1339B" w:rsidR="00F0033E" w:rsidRDefault="00F0033E">
          <w:pPr>
            <w:pStyle w:val="TOCHeading"/>
          </w:pPr>
          <w:r>
            <w:t>Contents</w:t>
          </w:r>
        </w:p>
        <w:p w14:paraId="351ED7C1" w14:textId="4E692605" w:rsidR="008B2C07" w:rsidRDefault="00F0033E">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015639" w:history="1">
            <w:r w:rsidR="008B2C07" w:rsidRPr="00C94546">
              <w:rPr>
                <w:rStyle w:val="Hyperlink"/>
                <w:b/>
                <w:bCs/>
                <w:noProof/>
              </w:rPr>
              <w:t>1</w:t>
            </w:r>
            <w:r w:rsidR="008B2C07">
              <w:rPr>
                <w:rFonts w:eastAsiaTheme="minorEastAsia"/>
                <w:noProof/>
                <w:sz w:val="24"/>
                <w:szCs w:val="24"/>
                <w:lang w:eastAsia="en-GB"/>
              </w:rPr>
              <w:tab/>
            </w:r>
            <w:r w:rsidR="008B2C07" w:rsidRPr="00C94546">
              <w:rPr>
                <w:rStyle w:val="Hyperlink"/>
                <w:b/>
                <w:bCs/>
                <w:noProof/>
              </w:rPr>
              <w:t>Executive Summary</w:t>
            </w:r>
            <w:r w:rsidR="008B2C07">
              <w:rPr>
                <w:noProof/>
                <w:webHidden/>
              </w:rPr>
              <w:tab/>
            </w:r>
            <w:r w:rsidR="008B2C07">
              <w:rPr>
                <w:noProof/>
                <w:webHidden/>
              </w:rPr>
              <w:fldChar w:fldCharType="begin"/>
            </w:r>
            <w:r w:rsidR="008B2C07">
              <w:rPr>
                <w:noProof/>
                <w:webHidden/>
              </w:rPr>
              <w:instrText xml:space="preserve"> PAGEREF _Toc225015639 \h </w:instrText>
            </w:r>
            <w:r w:rsidR="008B2C07">
              <w:rPr>
                <w:noProof/>
                <w:webHidden/>
              </w:rPr>
            </w:r>
            <w:r w:rsidR="008B2C07">
              <w:rPr>
                <w:noProof/>
                <w:webHidden/>
              </w:rPr>
              <w:fldChar w:fldCharType="separate"/>
            </w:r>
            <w:r w:rsidR="008B2C07">
              <w:rPr>
                <w:noProof/>
                <w:webHidden/>
              </w:rPr>
              <w:t>3</w:t>
            </w:r>
            <w:r w:rsidR="008B2C07">
              <w:rPr>
                <w:noProof/>
                <w:webHidden/>
              </w:rPr>
              <w:fldChar w:fldCharType="end"/>
            </w:r>
          </w:hyperlink>
        </w:p>
        <w:p w14:paraId="7B47CDC4" w14:textId="7FB70635" w:rsidR="008B2C07" w:rsidRDefault="008B2C07">
          <w:pPr>
            <w:pStyle w:val="TOC1"/>
            <w:tabs>
              <w:tab w:val="left" w:pos="440"/>
              <w:tab w:val="right" w:leader="dot" w:pos="9016"/>
            </w:tabs>
            <w:rPr>
              <w:rFonts w:eastAsiaTheme="minorEastAsia"/>
              <w:noProof/>
              <w:sz w:val="24"/>
              <w:szCs w:val="24"/>
              <w:lang w:eastAsia="en-GB"/>
            </w:rPr>
          </w:pPr>
          <w:hyperlink w:anchor="_Toc225015640" w:history="1">
            <w:r w:rsidRPr="00C94546">
              <w:rPr>
                <w:rStyle w:val="Hyperlink"/>
                <w:b/>
                <w:bCs/>
                <w:noProof/>
              </w:rPr>
              <w:t>1.</w:t>
            </w:r>
            <w:r>
              <w:rPr>
                <w:rFonts w:eastAsiaTheme="minorEastAsia"/>
                <w:noProof/>
                <w:sz w:val="24"/>
                <w:szCs w:val="24"/>
                <w:lang w:eastAsia="en-GB"/>
              </w:rPr>
              <w:tab/>
            </w:r>
            <w:r w:rsidRPr="00C94546">
              <w:rPr>
                <w:rStyle w:val="Hyperlink"/>
                <w:b/>
                <w:bCs/>
                <w:noProof/>
              </w:rPr>
              <w:t>Introduction</w:t>
            </w:r>
            <w:r>
              <w:rPr>
                <w:noProof/>
                <w:webHidden/>
              </w:rPr>
              <w:tab/>
            </w:r>
            <w:r>
              <w:rPr>
                <w:noProof/>
                <w:webHidden/>
              </w:rPr>
              <w:fldChar w:fldCharType="begin"/>
            </w:r>
            <w:r>
              <w:rPr>
                <w:noProof/>
                <w:webHidden/>
              </w:rPr>
              <w:instrText xml:space="preserve"> PAGEREF _Toc225015640 \h </w:instrText>
            </w:r>
            <w:r>
              <w:rPr>
                <w:noProof/>
                <w:webHidden/>
              </w:rPr>
            </w:r>
            <w:r>
              <w:rPr>
                <w:noProof/>
                <w:webHidden/>
              </w:rPr>
              <w:fldChar w:fldCharType="separate"/>
            </w:r>
            <w:r>
              <w:rPr>
                <w:noProof/>
                <w:webHidden/>
              </w:rPr>
              <w:t>4</w:t>
            </w:r>
            <w:r>
              <w:rPr>
                <w:noProof/>
                <w:webHidden/>
              </w:rPr>
              <w:fldChar w:fldCharType="end"/>
            </w:r>
          </w:hyperlink>
        </w:p>
        <w:p w14:paraId="0CADE36C" w14:textId="6E22F75B" w:rsidR="008B2C07" w:rsidRDefault="008B2C07">
          <w:pPr>
            <w:pStyle w:val="TOC1"/>
            <w:tabs>
              <w:tab w:val="left" w:pos="440"/>
              <w:tab w:val="right" w:leader="dot" w:pos="9016"/>
            </w:tabs>
            <w:rPr>
              <w:rFonts w:eastAsiaTheme="minorEastAsia"/>
              <w:noProof/>
              <w:sz w:val="24"/>
              <w:szCs w:val="24"/>
              <w:lang w:eastAsia="en-GB"/>
            </w:rPr>
          </w:pPr>
          <w:hyperlink w:anchor="_Toc225015641" w:history="1">
            <w:r w:rsidRPr="00C94546">
              <w:rPr>
                <w:rStyle w:val="Hyperlink"/>
                <w:b/>
                <w:bCs/>
                <w:noProof/>
              </w:rPr>
              <w:t>2.</w:t>
            </w:r>
            <w:r>
              <w:rPr>
                <w:rFonts w:eastAsiaTheme="minorEastAsia"/>
                <w:noProof/>
                <w:sz w:val="24"/>
                <w:szCs w:val="24"/>
                <w:lang w:eastAsia="en-GB"/>
              </w:rPr>
              <w:tab/>
            </w:r>
            <w:r w:rsidRPr="00C94546">
              <w:rPr>
                <w:rStyle w:val="Hyperlink"/>
                <w:b/>
                <w:bCs/>
                <w:noProof/>
              </w:rPr>
              <w:t>Strategy Analysis</w:t>
            </w:r>
            <w:r>
              <w:rPr>
                <w:noProof/>
                <w:webHidden/>
              </w:rPr>
              <w:tab/>
            </w:r>
            <w:r>
              <w:rPr>
                <w:noProof/>
                <w:webHidden/>
              </w:rPr>
              <w:fldChar w:fldCharType="begin"/>
            </w:r>
            <w:r>
              <w:rPr>
                <w:noProof/>
                <w:webHidden/>
              </w:rPr>
              <w:instrText xml:space="preserve"> PAGEREF _Toc225015641 \h </w:instrText>
            </w:r>
            <w:r>
              <w:rPr>
                <w:noProof/>
                <w:webHidden/>
              </w:rPr>
            </w:r>
            <w:r>
              <w:rPr>
                <w:noProof/>
                <w:webHidden/>
              </w:rPr>
              <w:fldChar w:fldCharType="separate"/>
            </w:r>
            <w:r>
              <w:rPr>
                <w:noProof/>
                <w:webHidden/>
              </w:rPr>
              <w:t>4</w:t>
            </w:r>
            <w:r>
              <w:rPr>
                <w:noProof/>
                <w:webHidden/>
              </w:rPr>
              <w:fldChar w:fldCharType="end"/>
            </w:r>
          </w:hyperlink>
        </w:p>
        <w:p w14:paraId="05FA6C99" w14:textId="75E85A28" w:rsidR="008B2C07" w:rsidRDefault="008B2C07">
          <w:pPr>
            <w:pStyle w:val="TOC2"/>
            <w:tabs>
              <w:tab w:val="left" w:pos="960"/>
              <w:tab w:val="right" w:leader="dot" w:pos="9016"/>
            </w:tabs>
            <w:rPr>
              <w:rFonts w:eastAsiaTheme="minorEastAsia"/>
              <w:noProof/>
              <w:sz w:val="24"/>
              <w:szCs w:val="24"/>
              <w:lang w:eastAsia="en-GB"/>
            </w:rPr>
          </w:pPr>
          <w:hyperlink w:anchor="_Toc225015642" w:history="1">
            <w:r w:rsidRPr="00C94546">
              <w:rPr>
                <w:rStyle w:val="Hyperlink"/>
                <w:noProof/>
              </w:rPr>
              <w:t>2.3</w:t>
            </w:r>
            <w:r>
              <w:rPr>
                <w:rFonts w:eastAsiaTheme="minorEastAsia"/>
                <w:noProof/>
                <w:sz w:val="24"/>
                <w:szCs w:val="24"/>
                <w:lang w:eastAsia="en-GB"/>
              </w:rPr>
              <w:tab/>
            </w:r>
            <w:r w:rsidRPr="00C94546">
              <w:rPr>
                <w:rStyle w:val="Hyperlink"/>
                <w:noProof/>
              </w:rPr>
              <w:t>External Environment Audit</w:t>
            </w:r>
            <w:r>
              <w:rPr>
                <w:noProof/>
                <w:webHidden/>
              </w:rPr>
              <w:tab/>
            </w:r>
            <w:r>
              <w:rPr>
                <w:noProof/>
                <w:webHidden/>
              </w:rPr>
              <w:fldChar w:fldCharType="begin"/>
            </w:r>
            <w:r>
              <w:rPr>
                <w:noProof/>
                <w:webHidden/>
              </w:rPr>
              <w:instrText xml:space="preserve"> PAGEREF _Toc225015642 \h </w:instrText>
            </w:r>
            <w:r>
              <w:rPr>
                <w:noProof/>
                <w:webHidden/>
              </w:rPr>
            </w:r>
            <w:r>
              <w:rPr>
                <w:noProof/>
                <w:webHidden/>
              </w:rPr>
              <w:fldChar w:fldCharType="separate"/>
            </w:r>
            <w:r>
              <w:rPr>
                <w:noProof/>
                <w:webHidden/>
              </w:rPr>
              <w:t>4</w:t>
            </w:r>
            <w:r>
              <w:rPr>
                <w:noProof/>
                <w:webHidden/>
              </w:rPr>
              <w:fldChar w:fldCharType="end"/>
            </w:r>
          </w:hyperlink>
        </w:p>
        <w:p w14:paraId="7324CC32" w14:textId="05DD970C" w:rsidR="008B2C07" w:rsidRDefault="008B2C07">
          <w:pPr>
            <w:pStyle w:val="TOC3"/>
            <w:tabs>
              <w:tab w:val="right" w:leader="dot" w:pos="9016"/>
            </w:tabs>
            <w:rPr>
              <w:rFonts w:eastAsiaTheme="minorEastAsia"/>
              <w:noProof/>
              <w:sz w:val="24"/>
              <w:szCs w:val="24"/>
              <w:lang w:eastAsia="en-GB"/>
            </w:rPr>
          </w:pPr>
          <w:hyperlink w:anchor="_Toc225015643" w:history="1">
            <w:r w:rsidRPr="00C94546">
              <w:rPr>
                <w:rStyle w:val="Hyperlink"/>
                <w:noProof/>
                <w:lang w:eastAsia="en-GB"/>
              </w:rPr>
              <w:t>PESTLE Analysis</w:t>
            </w:r>
            <w:r>
              <w:rPr>
                <w:noProof/>
                <w:webHidden/>
              </w:rPr>
              <w:tab/>
            </w:r>
            <w:r>
              <w:rPr>
                <w:noProof/>
                <w:webHidden/>
              </w:rPr>
              <w:fldChar w:fldCharType="begin"/>
            </w:r>
            <w:r>
              <w:rPr>
                <w:noProof/>
                <w:webHidden/>
              </w:rPr>
              <w:instrText xml:space="preserve"> PAGEREF _Toc225015643 \h </w:instrText>
            </w:r>
            <w:r>
              <w:rPr>
                <w:noProof/>
                <w:webHidden/>
              </w:rPr>
            </w:r>
            <w:r>
              <w:rPr>
                <w:noProof/>
                <w:webHidden/>
              </w:rPr>
              <w:fldChar w:fldCharType="separate"/>
            </w:r>
            <w:r>
              <w:rPr>
                <w:noProof/>
                <w:webHidden/>
              </w:rPr>
              <w:t>4</w:t>
            </w:r>
            <w:r>
              <w:rPr>
                <w:noProof/>
                <w:webHidden/>
              </w:rPr>
              <w:fldChar w:fldCharType="end"/>
            </w:r>
          </w:hyperlink>
        </w:p>
        <w:p w14:paraId="65BA9738" w14:textId="7168A4EE" w:rsidR="008B2C07" w:rsidRDefault="008B2C07">
          <w:pPr>
            <w:pStyle w:val="TOC3"/>
            <w:tabs>
              <w:tab w:val="right" w:leader="dot" w:pos="9016"/>
            </w:tabs>
            <w:rPr>
              <w:rFonts w:eastAsiaTheme="minorEastAsia"/>
              <w:noProof/>
              <w:sz w:val="24"/>
              <w:szCs w:val="24"/>
              <w:lang w:eastAsia="en-GB"/>
            </w:rPr>
          </w:pPr>
          <w:hyperlink w:anchor="_Toc225015644" w:history="1">
            <w:r w:rsidRPr="00C94546">
              <w:rPr>
                <w:rStyle w:val="Hyperlink"/>
                <w:rFonts w:eastAsia="Times New Roman"/>
                <w:noProof/>
                <w:lang w:eastAsia="en-GB"/>
              </w:rPr>
              <w:t>Porter's Five Forces Analysis</w:t>
            </w:r>
            <w:r>
              <w:rPr>
                <w:noProof/>
                <w:webHidden/>
              </w:rPr>
              <w:tab/>
            </w:r>
            <w:r>
              <w:rPr>
                <w:noProof/>
                <w:webHidden/>
              </w:rPr>
              <w:fldChar w:fldCharType="begin"/>
            </w:r>
            <w:r>
              <w:rPr>
                <w:noProof/>
                <w:webHidden/>
              </w:rPr>
              <w:instrText xml:space="preserve"> PAGEREF _Toc225015644 \h </w:instrText>
            </w:r>
            <w:r>
              <w:rPr>
                <w:noProof/>
                <w:webHidden/>
              </w:rPr>
            </w:r>
            <w:r>
              <w:rPr>
                <w:noProof/>
                <w:webHidden/>
              </w:rPr>
              <w:fldChar w:fldCharType="separate"/>
            </w:r>
            <w:r>
              <w:rPr>
                <w:noProof/>
                <w:webHidden/>
              </w:rPr>
              <w:t>5</w:t>
            </w:r>
            <w:r>
              <w:rPr>
                <w:noProof/>
                <w:webHidden/>
              </w:rPr>
              <w:fldChar w:fldCharType="end"/>
            </w:r>
          </w:hyperlink>
        </w:p>
        <w:p w14:paraId="42481F54" w14:textId="5C9A9985" w:rsidR="008B2C07" w:rsidRDefault="008B2C07">
          <w:pPr>
            <w:pStyle w:val="TOC2"/>
            <w:tabs>
              <w:tab w:val="left" w:pos="960"/>
              <w:tab w:val="right" w:leader="dot" w:pos="9016"/>
            </w:tabs>
            <w:rPr>
              <w:rFonts w:eastAsiaTheme="minorEastAsia"/>
              <w:noProof/>
              <w:sz w:val="24"/>
              <w:szCs w:val="24"/>
              <w:lang w:eastAsia="en-GB"/>
            </w:rPr>
          </w:pPr>
          <w:hyperlink w:anchor="_Toc225015645" w:history="1">
            <w:r w:rsidRPr="00C94546">
              <w:rPr>
                <w:rStyle w:val="Hyperlink"/>
                <w:bCs/>
                <w:noProof/>
                <w:kern w:val="0"/>
                <w:lang w:eastAsia="en-GB"/>
                <w14:ligatures w14:val="none"/>
              </w:rPr>
              <w:t>2.2</w:t>
            </w:r>
            <w:r>
              <w:rPr>
                <w:rFonts w:eastAsiaTheme="minorEastAsia"/>
                <w:noProof/>
                <w:sz w:val="24"/>
                <w:szCs w:val="24"/>
                <w:lang w:eastAsia="en-GB"/>
              </w:rPr>
              <w:tab/>
            </w:r>
            <w:r w:rsidRPr="00C94546">
              <w:rPr>
                <w:rStyle w:val="Hyperlink"/>
                <w:rFonts w:ascii="Times New Roman" w:eastAsia="Times New Roman" w:hAnsi="Times New Roman" w:cs="Times New Roman"/>
                <w:b/>
                <w:bCs/>
                <w:noProof/>
                <w:kern w:val="0"/>
                <w:lang w:eastAsia="en-GB"/>
                <w14:ligatures w14:val="none"/>
              </w:rPr>
              <w:t>Internal Environment Audit</w:t>
            </w:r>
            <w:r>
              <w:rPr>
                <w:noProof/>
                <w:webHidden/>
              </w:rPr>
              <w:tab/>
            </w:r>
            <w:r>
              <w:rPr>
                <w:noProof/>
                <w:webHidden/>
              </w:rPr>
              <w:fldChar w:fldCharType="begin"/>
            </w:r>
            <w:r>
              <w:rPr>
                <w:noProof/>
                <w:webHidden/>
              </w:rPr>
              <w:instrText xml:space="preserve"> PAGEREF _Toc225015645 \h </w:instrText>
            </w:r>
            <w:r>
              <w:rPr>
                <w:noProof/>
                <w:webHidden/>
              </w:rPr>
            </w:r>
            <w:r>
              <w:rPr>
                <w:noProof/>
                <w:webHidden/>
              </w:rPr>
              <w:fldChar w:fldCharType="separate"/>
            </w:r>
            <w:r>
              <w:rPr>
                <w:noProof/>
                <w:webHidden/>
              </w:rPr>
              <w:t>8</w:t>
            </w:r>
            <w:r>
              <w:rPr>
                <w:noProof/>
                <w:webHidden/>
              </w:rPr>
              <w:fldChar w:fldCharType="end"/>
            </w:r>
          </w:hyperlink>
        </w:p>
        <w:p w14:paraId="63E6A724" w14:textId="57C8423D" w:rsidR="008B2C07" w:rsidRDefault="008B2C07">
          <w:pPr>
            <w:pStyle w:val="TOC3"/>
            <w:tabs>
              <w:tab w:val="right" w:leader="dot" w:pos="9016"/>
            </w:tabs>
            <w:rPr>
              <w:rFonts w:eastAsiaTheme="minorEastAsia"/>
              <w:noProof/>
              <w:sz w:val="24"/>
              <w:szCs w:val="24"/>
              <w:lang w:eastAsia="en-GB"/>
            </w:rPr>
          </w:pPr>
          <w:hyperlink w:anchor="_Toc225015646" w:history="1">
            <w:r w:rsidRPr="00C94546">
              <w:rPr>
                <w:rStyle w:val="Hyperlink"/>
                <w:rFonts w:eastAsia="Times New Roman"/>
                <w:noProof/>
                <w:lang w:eastAsia="en-GB"/>
              </w:rPr>
              <w:t>Value Chain Analysis</w:t>
            </w:r>
            <w:r>
              <w:rPr>
                <w:noProof/>
                <w:webHidden/>
              </w:rPr>
              <w:tab/>
            </w:r>
            <w:r>
              <w:rPr>
                <w:noProof/>
                <w:webHidden/>
              </w:rPr>
              <w:fldChar w:fldCharType="begin"/>
            </w:r>
            <w:r>
              <w:rPr>
                <w:noProof/>
                <w:webHidden/>
              </w:rPr>
              <w:instrText xml:space="preserve"> PAGEREF _Toc225015646 \h </w:instrText>
            </w:r>
            <w:r>
              <w:rPr>
                <w:noProof/>
                <w:webHidden/>
              </w:rPr>
            </w:r>
            <w:r>
              <w:rPr>
                <w:noProof/>
                <w:webHidden/>
              </w:rPr>
              <w:fldChar w:fldCharType="separate"/>
            </w:r>
            <w:r>
              <w:rPr>
                <w:noProof/>
                <w:webHidden/>
              </w:rPr>
              <w:t>8</w:t>
            </w:r>
            <w:r>
              <w:rPr>
                <w:noProof/>
                <w:webHidden/>
              </w:rPr>
              <w:fldChar w:fldCharType="end"/>
            </w:r>
          </w:hyperlink>
        </w:p>
        <w:p w14:paraId="22A6F0D0" w14:textId="3A9F738F" w:rsidR="008B2C07" w:rsidRDefault="008B2C07">
          <w:pPr>
            <w:pStyle w:val="TOC3"/>
            <w:tabs>
              <w:tab w:val="right" w:leader="dot" w:pos="9016"/>
            </w:tabs>
            <w:rPr>
              <w:rFonts w:eastAsiaTheme="minorEastAsia"/>
              <w:noProof/>
              <w:sz w:val="24"/>
              <w:szCs w:val="24"/>
              <w:lang w:eastAsia="en-GB"/>
            </w:rPr>
          </w:pPr>
          <w:hyperlink w:anchor="_Toc225015647" w:history="1">
            <w:r w:rsidRPr="00C94546">
              <w:rPr>
                <w:rStyle w:val="Hyperlink"/>
                <w:noProof/>
                <w:lang w:eastAsia="en-GB"/>
              </w:rPr>
              <w:t>Resource-Based View (RBV) and VRIO Analysis</w:t>
            </w:r>
            <w:r>
              <w:rPr>
                <w:noProof/>
                <w:webHidden/>
              </w:rPr>
              <w:tab/>
            </w:r>
            <w:r>
              <w:rPr>
                <w:noProof/>
                <w:webHidden/>
              </w:rPr>
              <w:fldChar w:fldCharType="begin"/>
            </w:r>
            <w:r>
              <w:rPr>
                <w:noProof/>
                <w:webHidden/>
              </w:rPr>
              <w:instrText xml:space="preserve"> PAGEREF _Toc225015647 \h </w:instrText>
            </w:r>
            <w:r>
              <w:rPr>
                <w:noProof/>
                <w:webHidden/>
              </w:rPr>
            </w:r>
            <w:r>
              <w:rPr>
                <w:noProof/>
                <w:webHidden/>
              </w:rPr>
              <w:fldChar w:fldCharType="separate"/>
            </w:r>
            <w:r>
              <w:rPr>
                <w:noProof/>
                <w:webHidden/>
              </w:rPr>
              <w:t>8</w:t>
            </w:r>
            <w:r>
              <w:rPr>
                <w:noProof/>
                <w:webHidden/>
              </w:rPr>
              <w:fldChar w:fldCharType="end"/>
            </w:r>
          </w:hyperlink>
        </w:p>
        <w:p w14:paraId="79712224" w14:textId="1710A647" w:rsidR="008B2C07" w:rsidRDefault="008B2C07">
          <w:pPr>
            <w:pStyle w:val="TOC2"/>
            <w:tabs>
              <w:tab w:val="left" w:pos="960"/>
              <w:tab w:val="right" w:leader="dot" w:pos="9016"/>
            </w:tabs>
            <w:rPr>
              <w:rFonts w:eastAsiaTheme="minorEastAsia"/>
              <w:noProof/>
              <w:sz w:val="24"/>
              <w:szCs w:val="24"/>
              <w:lang w:eastAsia="en-GB"/>
            </w:rPr>
          </w:pPr>
          <w:hyperlink w:anchor="_Toc225015648" w:history="1">
            <w:r w:rsidRPr="00C94546">
              <w:rPr>
                <w:rStyle w:val="Hyperlink"/>
                <w:noProof/>
              </w:rPr>
              <w:t>2.3</w:t>
            </w:r>
            <w:r>
              <w:rPr>
                <w:rFonts w:eastAsiaTheme="minorEastAsia"/>
                <w:noProof/>
                <w:sz w:val="24"/>
                <w:szCs w:val="24"/>
                <w:lang w:eastAsia="en-GB"/>
              </w:rPr>
              <w:tab/>
            </w:r>
            <w:r w:rsidRPr="00C94546">
              <w:rPr>
                <w:rStyle w:val="Hyperlink"/>
                <w:noProof/>
              </w:rPr>
              <w:t>SWOT Synthesis</w:t>
            </w:r>
            <w:r>
              <w:rPr>
                <w:noProof/>
                <w:webHidden/>
              </w:rPr>
              <w:tab/>
            </w:r>
            <w:r>
              <w:rPr>
                <w:noProof/>
                <w:webHidden/>
              </w:rPr>
              <w:fldChar w:fldCharType="begin"/>
            </w:r>
            <w:r>
              <w:rPr>
                <w:noProof/>
                <w:webHidden/>
              </w:rPr>
              <w:instrText xml:space="preserve"> PAGEREF _Toc225015648 \h </w:instrText>
            </w:r>
            <w:r>
              <w:rPr>
                <w:noProof/>
                <w:webHidden/>
              </w:rPr>
            </w:r>
            <w:r>
              <w:rPr>
                <w:noProof/>
                <w:webHidden/>
              </w:rPr>
              <w:fldChar w:fldCharType="separate"/>
            </w:r>
            <w:r>
              <w:rPr>
                <w:noProof/>
                <w:webHidden/>
              </w:rPr>
              <w:t>9</w:t>
            </w:r>
            <w:r>
              <w:rPr>
                <w:noProof/>
                <w:webHidden/>
              </w:rPr>
              <w:fldChar w:fldCharType="end"/>
            </w:r>
          </w:hyperlink>
        </w:p>
        <w:p w14:paraId="0437C355" w14:textId="29BD3E02" w:rsidR="008B2C07" w:rsidRDefault="008B2C07">
          <w:pPr>
            <w:pStyle w:val="TOC1"/>
            <w:tabs>
              <w:tab w:val="left" w:pos="440"/>
              <w:tab w:val="right" w:leader="dot" w:pos="9016"/>
            </w:tabs>
            <w:rPr>
              <w:rFonts w:eastAsiaTheme="minorEastAsia"/>
              <w:noProof/>
              <w:sz w:val="24"/>
              <w:szCs w:val="24"/>
              <w:lang w:eastAsia="en-GB"/>
            </w:rPr>
          </w:pPr>
          <w:hyperlink w:anchor="_Toc225015649" w:history="1">
            <w:r w:rsidRPr="00C94546">
              <w:rPr>
                <w:rStyle w:val="Hyperlink"/>
                <w:b/>
                <w:bCs/>
                <w:noProof/>
              </w:rPr>
              <w:t>3.</w:t>
            </w:r>
            <w:r>
              <w:rPr>
                <w:rFonts w:eastAsiaTheme="minorEastAsia"/>
                <w:noProof/>
                <w:sz w:val="24"/>
                <w:szCs w:val="24"/>
                <w:lang w:eastAsia="en-GB"/>
              </w:rPr>
              <w:tab/>
            </w:r>
            <w:r w:rsidRPr="00C94546">
              <w:rPr>
                <w:rStyle w:val="Hyperlink"/>
                <w:b/>
                <w:bCs/>
                <w:noProof/>
              </w:rPr>
              <w:t>Strategy Formulation</w:t>
            </w:r>
            <w:r>
              <w:rPr>
                <w:noProof/>
                <w:webHidden/>
              </w:rPr>
              <w:tab/>
            </w:r>
            <w:r>
              <w:rPr>
                <w:noProof/>
                <w:webHidden/>
              </w:rPr>
              <w:fldChar w:fldCharType="begin"/>
            </w:r>
            <w:r>
              <w:rPr>
                <w:noProof/>
                <w:webHidden/>
              </w:rPr>
              <w:instrText xml:space="preserve"> PAGEREF _Toc225015649 \h </w:instrText>
            </w:r>
            <w:r>
              <w:rPr>
                <w:noProof/>
                <w:webHidden/>
              </w:rPr>
            </w:r>
            <w:r>
              <w:rPr>
                <w:noProof/>
                <w:webHidden/>
              </w:rPr>
              <w:fldChar w:fldCharType="separate"/>
            </w:r>
            <w:r>
              <w:rPr>
                <w:noProof/>
                <w:webHidden/>
              </w:rPr>
              <w:t>10</w:t>
            </w:r>
            <w:r>
              <w:rPr>
                <w:noProof/>
                <w:webHidden/>
              </w:rPr>
              <w:fldChar w:fldCharType="end"/>
            </w:r>
          </w:hyperlink>
        </w:p>
        <w:p w14:paraId="6A4D37EB" w14:textId="1E3CE721" w:rsidR="008B2C07" w:rsidRDefault="008B2C07">
          <w:pPr>
            <w:pStyle w:val="TOC1"/>
            <w:tabs>
              <w:tab w:val="left" w:pos="440"/>
              <w:tab w:val="right" w:leader="dot" w:pos="9016"/>
            </w:tabs>
            <w:rPr>
              <w:rFonts w:eastAsiaTheme="minorEastAsia"/>
              <w:noProof/>
              <w:sz w:val="24"/>
              <w:szCs w:val="24"/>
              <w:lang w:eastAsia="en-GB"/>
            </w:rPr>
          </w:pPr>
          <w:hyperlink w:anchor="_Toc225015650" w:history="1">
            <w:r w:rsidRPr="00C94546">
              <w:rPr>
                <w:rStyle w:val="Hyperlink"/>
                <w:b/>
                <w:bCs/>
                <w:noProof/>
              </w:rPr>
              <w:t>4.</w:t>
            </w:r>
            <w:r>
              <w:rPr>
                <w:rFonts w:eastAsiaTheme="minorEastAsia"/>
                <w:noProof/>
                <w:sz w:val="24"/>
                <w:szCs w:val="24"/>
                <w:lang w:eastAsia="en-GB"/>
              </w:rPr>
              <w:tab/>
            </w:r>
            <w:r w:rsidRPr="00C94546">
              <w:rPr>
                <w:rStyle w:val="Hyperlink"/>
                <w:b/>
                <w:bCs/>
                <w:noProof/>
              </w:rPr>
              <w:t>Conclusion and Recommendations</w:t>
            </w:r>
            <w:r>
              <w:rPr>
                <w:noProof/>
                <w:webHidden/>
              </w:rPr>
              <w:tab/>
            </w:r>
            <w:r>
              <w:rPr>
                <w:noProof/>
                <w:webHidden/>
              </w:rPr>
              <w:fldChar w:fldCharType="begin"/>
            </w:r>
            <w:r>
              <w:rPr>
                <w:noProof/>
                <w:webHidden/>
              </w:rPr>
              <w:instrText xml:space="preserve"> PAGEREF _Toc225015650 \h </w:instrText>
            </w:r>
            <w:r>
              <w:rPr>
                <w:noProof/>
                <w:webHidden/>
              </w:rPr>
            </w:r>
            <w:r>
              <w:rPr>
                <w:noProof/>
                <w:webHidden/>
              </w:rPr>
              <w:fldChar w:fldCharType="separate"/>
            </w:r>
            <w:r>
              <w:rPr>
                <w:noProof/>
                <w:webHidden/>
              </w:rPr>
              <w:t>10</w:t>
            </w:r>
            <w:r>
              <w:rPr>
                <w:noProof/>
                <w:webHidden/>
              </w:rPr>
              <w:fldChar w:fldCharType="end"/>
            </w:r>
          </w:hyperlink>
        </w:p>
        <w:p w14:paraId="2F671A5F" w14:textId="1F92522D" w:rsidR="008B2C07" w:rsidRDefault="008B2C07">
          <w:pPr>
            <w:pStyle w:val="TOC1"/>
            <w:tabs>
              <w:tab w:val="left" w:pos="440"/>
              <w:tab w:val="right" w:leader="dot" w:pos="9016"/>
            </w:tabs>
            <w:rPr>
              <w:rFonts w:eastAsiaTheme="minorEastAsia"/>
              <w:noProof/>
              <w:sz w:val="24"/>
              <w:szCs w:val="24"/>
              <w:lang w:eastAsia="en-GB"/>
            </w:rPr>
          </w:pPr>
          <w:hyperlink w:anchor="_Toc225015651" w:history="1">
            <w:r w:rsidRPr="00C94546">
              <w:rPr>
                <w:rStyle w:val="Hyperlink"/>
                <w:b/>
                <w:bCs/>
                <w:noProof/>
              </w:rPr>
              <w:t>5.</w:t>
            </w:r>
            <w:r>
              <w:rPr>
                <w:rFonts w:eastAsiaTheme="minorEastAsia"/>
                <w:noProof/>
                <w:sz w:val="24"/>
                <w:szCs w:val="24"/>
                <w:lang w:eastAsia="en-GB"/>
              </w:rPr>
              <w:tab/>
            </w:r>
            <w:r w:rsidRPr="00C94546">
              <w:rPr>
                <w:rStyle w:val="Hyperlink"/>
                <w:b/>
                <w:bCs/>
                <w:noProof/>
              </w:rPr>
              <w:t>References</w:t>
            </w:r>
            <w:r>
              <w:rPr>
                <w:noProof/>
                <w:webHidden/>
              </w:rPr>
              <w:tab/>
            </w:r>
            <w:r>
              <w:rPr>
                <w:noProof/>
                <w:webHidden/>
              </w:rPr>
              <w:fldChar w:fldCharType="begin"/>
            </w:r>
            <w:r>
              <w:rPr>
                <w:noProof/>
                <w:webHidden/>
              </w:rPr>
              <w:instrText xml:space="preserve"> PAGEREF _Toc225015651 \h </w:instrText>
            </w:r>
            <w:r>
              <w:rPr>
                <w:noProof/>
                <w:webHidden/>
              </w:rPr>
            </w:r>
            <w:r>
              <w:rPr>
                <w:noProof/>
                <w:webHidden/>
              </w:rPr>
              <w:fldChar w:fldCharType="separate"/>
            </w:r>
            <w:r>
              <w:rPr>
                <w:noProof/>
                <w:webHidden/>
              </w:rPr>
              <w:t>12</w:t>
            </w:r>
            <w:r>
              <w:rPr>
                <w:noProof/>
                <w:webHidden/>
              </w:rPr>
              <w:fldChar w:fldCharType="end"/>
            </w:r>
          </w:hyperlink>
        </w:p>
        <w:p w14:paraId="24371906" w14:textId="216B8CD9" w:rsidR="00F0033E" w:rsidRDefault="00F0033E">
          <w:r>
            <w:rPr>
              <w:b/>
              <w:bCs/>
            </w:rPr>
            <w:fldChar w:fldCharType="end"/>
          </w:r>
        </w:p>
      </w:sdtContent>
    </w:sdt>
    <w:p w14:paraId="1391B239" w14:textId="77777777" w:rsidR="00121CB7" w:rsidRDefault="00121CB7"/>
    <w:p w14:paraId="53473655" w14:textId="77777777" w:rsidR="00121CB7" w:rsidRDefault="00121CB7"/>
    <w:p w14:paraId="02EEE0F2" w14:textId="77777777" w:rsidR="00121CB7" w:rsidRDefault="00121CB7"/>
    <w:p w14:paraId="0A29E13F" w14:textId="77777777" w:rsidR="00121CB7" w:rsidRDefault="00121CB7"/>
    <w:p w14:paraId="014E5505" w14:textId="77777777" w:rsidR="00121CB7" w:rsidRDefault="00121CB7"/>
    <w:p w14:paraId="35262938" w14:textId="77777777" w:rsidR="00121CB7" w:rsidRDefault="00121CB7"/>
    <w:p w14:paraId="188F346C" w14:textId="77777777" w:rsidR="00121CB7" w:rsidRDefault="00121CB7"/>
    <w:p w14:paraId="1062C38D" w14:textId="77777777" w:rsidR="00121CB7" w:rsidRDefault="00121CB7"/>
    <w:p w14:paraId="3F0473DE" w14:textId="77777777" w:rsidR="00121CB7" w:rsidRDefault="00121CB7"/>
    <w:p w14:paraId="605E44C0" w14:textId="77777777" w:rsidR="00121CB7" w:rsidRDefault="00121CB7"/>
    <w:p w14:paraId="25B1B26B" w14:textId="77777777" w:rsidR="00121CB7" w:rsidRDefault="00121CB7"/>
    <w:p w14:paraId="4FD710B3" w14:textId="77777777" w:rsidR="00121CB7" w:rsidRDefault="00121CB7"/>
    <w:p w14:paraId="46269BA7" w14:textId="77777777" w:rsidR="00121CB7" w:rsidRDefault="00121CB7"/>
    <w:p w14:paraId="5020C890" w14:textId="77777777" w:rsidR="00121CB7" w:rsidRDefault="00121CB7"/>
    <w:p w14:paraId="695EBB8D" w14:textId="77777777" w:rsidR="00121CB7" w:rsidRDefault="00121CB7"/>
    <w:p w14:paraId="3699E5A0" w14:textId="77777777" w:rsidR="00121CB7" w:rsidRDefault="00121CB7"/>
    <w:p w14:paraId="464BCF18" w14:textId="77777777" w:rsidR="00121CB7" w:rsidRDefault="00121CB7"/>
    <w:p w14:paraId="3C1338C5" w14:textId="77777777" w:rsidR="00121CB7" w:rsidRDefault="00121CB7"/>
    <w:p w14:paraId="4492B0FF" w14:textId="523846D0" w:rsidR="00121CB7" w:rsidRPr="00E27A9A" w:rsidRDefault="00121CB7" w:rsidP="00E27A9A">
      <w:pPr>
        <w:pStyle w:val="Heading1"/>
        <w:spacing w:line="360" w:lineRule="auto"/>
        <w:rPr>
          <w:b/>
          <w:bCs/>
        </w:rPr>
      </w:pPr>
      <w:bookmarkStart w:id="2" w:name="_Toc225015639"/>
      <w:r w:rsidRPr="00121CB7">
        <w:rPr>
          <w:b/>
          <w:bCs/>
        </w:rPr>
        <w:lastRenderedPageBreak/>
        <w:t>Executive Summary</w:t>
      </w:r>
      <w:bookmarkEnd w:id="2"/>
      <w:r w:rsidRPr="00121CB7">
        <w:rPr>
          <w:b/>
          <w:bCs/>
        </w:rPr>
        <w:t xml:space="preserve"> </w:t>
      </w:r>
    </w:p>
    <w:p w14:paraId="302DF022" w14:textId="7BB4078D" w:rsidR="00121CB7" w:rsidRDefault="00121CB7" w:rsidP="00121CB7">
      <w:pPr>
        <w:spacing w:line="360" w:lineRule="auto"/>
        <w:jc w:val="both"/>
        <w:rPr>
          <w:rFonts w:ascii="Arial" w:hAnsi="Arial" w:cs="Arial"/>
          <w:sz w:val="24"/>
          <w:szCs w:val="24"/>
        </w:rPr>
      </w:pPr>
      <w:r w:rsidRPr="00121CB7">
        <w:rPr>
          <w:rFonts w:ascii="Arial" w:hAnsi="Arial" w:cs="Arial"/>
          <w:sz w:val="24"/>
          <w:szCs w:val="24"/>
        </w:rPr>
        <w:t>The UK automotive sector is currently going through a massive shift, mostly driven by the transition to electric vehicles (EVs), tighter environmental regulations, and changing consumer habits. This report offers a critical strategic analysis of Nissan Motor Manufacturing UK (NMUK), which operates the UK's largest car manufacturing plant in Sunderland. By applying frameworks like PESTLE, Porter's Five Forces, Value Chain Analysis, the Resource-Based View (RBV), VRIO, and SWOT, this report evaluates Nissan UK's internal capabilities against a pretty volatile external environment. The analysis suggests that while Nissan's pioneering EV36Zero strategy gives them a strong, integrated manufacturing setup, the firm is facing some serious threats from post-Brexit trade rules and aggressive, cost-based competition from Chinese EV makers. Ultimately, the report recommends a Differentiation strategy, drawing on Porter's Generic Strategies and Ansoff's Matrix. This would focus on speeding up the commercialisation of All-Solid-State Batteries (ASSB) and deepening local supply chain alliances to help secure a sustainable competitive advantage.</w:t>
      </w:r>
    </w:p>
    <w:p w14:paraId="6E18660D" w14:textId="36AA1E9A" w:rsidR="00121CB7" w:rsidRPr="00121CB7" w:rsidRDefault="00121CB7" w:rsidP="001D3811">
      <w:pPr>
        <w:pStyle w:val="Heading1"/>
        <w:numPr>
          <w:ilvl w:val="0"/>
          <w:numId w:val="6"/>
        </w:numPr>
        <w:rPr>
          <w:b/>
          <w:bCs/>
        </w:rPr>
      </w:pPr>
      <w:bookmarkStart w:id="3" w:name="_Toc225015640"/>
      <w:r w:rsidRPr="00121CB7">
        <w:rPr>
          <w:b/>
          <w:bCs/>
        </w:rPr>
        <w:t>Introduction</w:t>
      </w:r>
      <w:bookmarkEnd w:id="3"/>
    </w:p>
    <w:p w14:paraId="2AAA894F" w14:textId="2497A0A4" w:rsidR="00121CB7" w:rsidRDefault="00121CB7" w:rsidP="00121CB7">
      <w:pPr>
        <w:spacing w:line="360" w:lineRule="auto"/>
        <w:rPr>
          <w:rFonts w:ascii="Arial" w:hAnsi="Arial" w:cs="Arial"/>
          <w:sz w:val="24"/>
          <w:szCs w:val="24"/>
        </w:rPr>
      </w:pPr>
      <w:r w:rsidRPr="00121CB7">
        <w:rPr>
          <w:rFonts w:ascii="Arial" w:hAnsi="Arial" w:cs="Arial"/>
          <w:sz w:val="24"/>
          <w:szCs w:val="24"/>
        </w:rPr>
        <w:t>Strategic management is 'the process of planning, monitoring, analysing and assessing everything you need, in order for your organisation to meet it goals and create a competitive advantage' (Johnson et al., 2023). Strategic management's real power is in providing strategic direction, improving efficiency and helping withstand shocks (Grant, 202</w:t>
      </w:r>
      <w:r w:rsidR="00A22447">
        <w:rPr>
          <w:rFonts w:ascii="Arial" w:hAnsi="Arial" w:cs="Arial"/>
          <w:sz w:val="24"/>
          <w:szCs w:val="24"/>
        </w:rPr>
        <w:t>1</w:t>
      </w:r>
      <w:r w:rsidRPr="00121CB7">
        <w:rPr>
          <w:rFonts w:ascii="Arial" w:hAnsi="Arial" w:cs="Arial"/>
          <w:sz w:val="24"/>
          <w:szCs w:val="24"/>
        </w:rPr>
        <w:t xml:space="preserve">). For the automotive companies in the UK, strategic management is far from an optional approach - it is necessary to thrive in the face of an EV transition alongside new supply chain challenges and regulatory requirements (Bailey and De </w:t>
      </w:r>
      <w:proofErr w:type="spellStart"/>
      <w:r w:rsidRPr="00121CB7">
        <w:rPr>
          <w:rFonts w:ascii="Arial" w:hAnsi="Arial" w:cs="Arial"/>
          <w:sz w:val="24"/>
          <w:szCs w:val="24"/>
        </w:rPr>
        <w:t>Propris</w:t>
      </w:r>
      <w:proofErr w:type="spellEnd"/>
      <w:r w:rsidRPr="00121CB7">
        <w:rPr>
          <w:rFonts w:ascii="Arial" w:hAnsi="Arial" w:cs="Arial"/>
          <w:sz w:val="24"/>
          <w:szCs w:val="24"/>
        </w:rPr>
        <w:t>, 20</w:t>
      </w:r>
      <w:r w:rsidR="00076237">
        <w:rPr>
          <w:rFonts w:ascii="Arial" w:hAnsi="Arial" w:cs="Arial"/>
          <w:sz w:val="24"/>
          <w:szCs w:val="24"/>
        </w:rPr>
        <w:t>17</w:t>
      </w:r>
      <w:r w:rsidRPr="00121CB7">
        <w:rPr>
          <w:rFonts w:ascii="Arial" w:hAnsi="Arial" w:cs="Arial"/>
          <w:sz w:val="24"/>
          <w:szCs w:val="24"/>
        </w:rPr>
        <w:t xml:space="preserve">). NMUK has been based in Sunderland since 1984, supporting 6, 000 direct jobs and thousands in the wider supply chain in the region (UK Gov., 2025). It is one of the cornerstones of the UK automotive sector. Nissan's worldwide mission statement is "Together we enable mobility and beyond" (Nissan Global 2024). This is underpinned by their aim to achieve carbon neutral by 2050 (Nissan Global, 2024). Nissan's worldwide strategic ambitions are outlined in the "Ambition 2030" plan, which includes 55% of global production being electrified by 2030 and the release of solid-state batteries from 2028 (Nissan Global, 2024). In the </w:t>
      </w:r>
      <w:r w:rsidRPr="00121CB7">
        <w:rPr>
          <w:rFonts w:ascii="Arial" w:hAnsi="Arial" w:cs="Arial"/>
          <w:sz w:val="24"/>
          <w:szCs w:val="24"/>
        </w:rPr>
        <w:lastRenderedPageBreak/>
        <w:t>UK, this vision is being realised through the EV36Zero blueprint. £450m will be invested to create an exemplar, fully integrated EV manufacturing hub at their Sunderland plant (Gouveia et al., 2024).</w:t>
      </w:r>
    </w:p>
    <w:p w14:paraId="41EE4A90" w14:textId="1A778AAA" w:rsidR="00121CB7" w:rsidRDefault="00121CB7" w:rsidP="001D3811">
      <w:pPr>
        <w:pStyle w:val="Heading1"/>
        <w:numPr>
          <w:ilvl w:val="0"/>
          <w:numId w:val="6"/>
        </w:numPr>
        <w:rPr>
          <w:b/>
          <w:bCs/>
        </w:rPr>
      </w:pPr>
      <w:bookmarkStart w:id="4" w:name="_Toc225015641"/>
      <w:r w:rsidRPr="00DF17DD">
        <w:rPr>
          <w:b/>
          <w:bCs/>
        </w:rPr>
        <w:t>Strategy Analysis</w:t>
      </w:r>
      <w:bookmarkEnd w:id="4"/>
    </w:p>
    <w:p w14:paraId="1F2A5312" w14:textId="3D8F1F9F" w:rsidR="00DF17DD" w:rsidRPr="001D3811" w:rsidRDefault="00DF17DD" w:rsidP="001D3811">
      <w:pPr>
        <w:pStyle w:val="Heading2"/>
        <w:numPr>
          <w:ilvl w:val="1"/>
          <w:numId w:val="8"/>
        </w:numPr>
      </w:pPr>
      <w:bookmarkStart w:id="5" w:name="_Toc225015642"/>
      <w:r w:rsidRPr="001D3811">
        <w:t>External Environment Audit</w:t>
      </w:r>
      <w:bookmarkEnd w:id="5"/>
    </w:p>
    <w:p w14:paraId="2A38F1D2" w14:textId="055D06A4" w:rsidR="00DF17DD" w:rsidRPr="00DF17DD" w:rsidRDefault="00DF17DD" w:rsidP="00E27A9A">
      <w:pPr>
        <w:pStyle w:val="Heading3"/>
        <w:numPr>
          <w:ilvl w:val="0"/>
          <w:numId w:val="0"/>
        </w:numPr>
        <w:spacing w:line="360" w:lineRule="auto"/>
        <w:jc w:val="both"/>
        <w:rPr>
          <w:lang w:eastAsia="en-GB"/>
        </w:rPr>
      </w:pPr>
      <w:bookmarkStart w:id="6" w:name="_Toc225015643"/>
      <w:r>
        <w:rPr>
          <w:lang w:eastAsia="en-GB"/>
        </w:rPr>
        <w:t>PESTLE Analysis</w:t>
      </w:r>
      <w:bookmarkEnd w:id="6"/>
    </w:p>
    <w:p w14:paraId="324E09DB" w14:textId="1A8F6C63" w:rsidR="00DF17DD" w:rsidRPr="00DF17DD" w:rsidRDefault="002D0EF9" w:rsidP="00E27A9A">
      <w:pPr>
        <w:spacing w:line="360" w:lineRule="auto"/>
        <w:jc w:val="both"/>
        <w:rPr>
          <w:rFonts w:ascii="Arial" w:hAnsi="Arial" w:cs="Arial"/>
          <w:sz w:val="24"/>
          <w:szCs w:val="24"/>
        </w:rPr>
      </w:pPr>
      <w:r>
        <w:rPr>
          <w:rFonts w:ascii="Arial" w:hAnsi="Arial" w:cs="Arial"/>
          <w:sz w:val="24"/>
          <w:szCs w:val="24"/>
        </w:rPr>
        <w:t>De Sou</w:t>
      </w:r>
      <w:r w:rsidR="003C663C">
        <w:rPr>
          <w:rFonts w:ascii="Arial" w:hAnsi="Arial" w:cs="Arial"/>
          <w:sz w:val="24"/>
          <w:szCs w:val="24"/>
        </w:rPr>
        <w:t>sa and Ca</w:t>
      </w:r>
      <w:r w:rsidR="00BB1117">
        <w:rPr>
          <w:rFonts w:ascii="Arial" w:hAnsi="Arial" w:cs="Arial"/>
          <w:sz w:val="24"/>
          <w:szCs w:val="24"/>
        </w:rPr>
        <w:t>staneda-Ayarza</w:t>
      </w:r>
      <w:r w:rsidR="00DF17DD" w:rsidRPr="00DF17DD">
        <w:rPr>
          <w:rFonts w:ascii="Arial" w:hAnsi="Arial" w:cs="Arial"/>
          <w:sz w:val="24"/>
          <w:szCs w:val="24"/>
        </w:rPr>
        <w:t xml:space="preserve"> (2021) points to PESTLE as a </w:t>
      </w:r>
      <w:r w:rsidR="00A22447" w:rsidRPr="00DF17DD">
        <w:rPr>
          <w:rFonts w:ascii="Arial" w:hAnsi="Arial" w:cs="Arial"/>
          <w:sz w:val="24"/>
          <w:szCs w:val="24"/>
        </w:rPr>
        <w:t>useful</w:t>
      </w:r>
      <w:r w:rsidR="00DF17DD" w:rsidRPr="00DF17DD">
        <w:rPr>
          <w:rFonts w:ascii="Arial" w:hAnsi="Arial" w:cs="Arial"/>
          <w:sz w:val="24"/>
          <w:szCs w:val="24"/>
        </w:rPr>
        <w:t xml:space="preserve"> tool for mapping out macro-environmental forces. While it is inherently a bit static, it still provides a solid foundation for understanding the forces shaping Nissan UK's strategic landscape.</w:t>
      </w:r>
    </w:p>
    <w:p w14:paraId="76DCD4F9" w14:textId="3D1F6305" w:rsidR="00DF17DD" w:rsidRPr="00DF17DD" w:rsidRDefault="00DF17DD" w:rsidP="00E27A9A">
      <w:pPr>
        <w:spacing w:line="360" w:lineRule="auto"/>
        <w:jc w:val="both"/>
        <w:rPr>
          <w:rFonts w:ascii="Arial" w:hAnsi="Arial" w:cs="Arial"/>
          <w:sz w:val="24"/>
          <w:szCs w:val="24"/>
        </w:rPr>
      </w:pPr>
      <w:r w:rsidRPr="00DF17DD">
        <w:rPr>
          <w:rFonts w:ascii="Arial" w:hAnsi="Arial" w:cs="Arial"/>
          <w:sz w:val="24"/>
          <w:szCs w:val="24"/>
        </w:rPr>
        <w:t>Political: The UK government's Industrial Strategy includes a £4 billion investment to speed up electrification, and Nissan has received significant backing for its EV36Zero project (UK Government, 2025). However, post-Brexit 'Rules of Origin' requirements</w:t>
      </w:r>
      <w:r>
        <w:rPr>
          <w:rFonts w:ascii="Arial" w:hAnsi="Arial" w:cs="Arial"/>
          <w:sz w:val="24"/>
          <w:szCs w:val="24"/>
        </w:rPr>
        <w:t xml:space="preserve">, </w:t>
      </w:r>
      <w:r w:rsidRPr="00DF17DD">
        <w:rPr>
          <w:rFonts w:ascii="Arial" w:hAnsi="Arial" w:cs="Arial"/>
          <w:sz w:val="24"/>
          <w:szCs w:val="24"/>
        </w:rPr>
        <w:t>mandating 55% local content for tariff-free EU trade</w:t>
      </w:r>
      <w:r>
        <w:rPr>
          <w:rFonts w:ascii="Arial" w:hAnsi="Arial" w:cs="Arial"/>
          <w:sz w:val="24"/>
          <w:szCs w:val="24"/>
        </w:rPr>
        <w:t xml:space="preserve"> and </w:t>
      </w:r>
      <w:r w:rsidRPr="00DF17DD">
        <w:rPr>
          <w:rFonts w:ascii="Arial" w:hAnsi="Arial" w:cs="Arial"/>
          <w:sz w:val="24"/>
          <w:szCs w:val="24"/>
        </w:rPr>
        <w:t xml:space="preserve">pose a massive political risk to Nissan's export-heavy model (Bailey and De </w:t>
      </w:r>
      <w:proofErr w:type="spellStart"/>
      <w:r w:rsidRPr="00DF17DD">
        <w:rPr>
          <w:rFonts w:ascii="Arial" w:hAnsi="Arial" w:cs="Arial"/>
          <w:sz w:val="24"/>
          <w:szCs w:val="24"/>
        </w:rPr>
        <w:t>Propris</w:t>
      </w:r>
      <w:proofErr w:type="spellEnd"/>
      <w:r w:rsidRPr="00DF17DD">
        <w:rPr>
          <w:rFonts w:ascii="Arial" w:hAnsi="Arial" w:cs="Arial"/>
          <w:sz w:val="24"/>
          <w:szCs w:val="24"/>
        </w:rPr>
        <w:t>, 20</w:t>
      </w:r>
      <w:r w:rsidR="00076237">
        <w:rPr>
          <w:rFonts w:ascii="Arial" w:hAnsi="Arial" w:cs="Arial"/>
          <w:sz w:val="24"/>
          <w:szCs w:val="24"/>
        </w:rPr>
        <w:t>17</w:t>
      </w:r>
      <w:r w:rsidRPr="00DF17DD">
        <w:rPr>
          <w:rFonts w:ascii="Arial" w:hAnsi="Arial" w:cs="Arial"/>
          <w:sz w:val="24"/>
          <w:szCs w:val="24"/>
        </w:rPr>
        <w:t>). This tension between government support and trade complexity is a fundamental strategic contradiction Nissan really needs to resolve.</w:t>
      </w:r>
    </w:p>
    <w:p w14:paraId="10E33A10" w14:textId="44D56637" w:rsidR="00DF17DD" w:rsidRPr="00DF17DD" w:rsidRDefault="00DF17DD" w:rsidP="00E27A9A">
      <w:pPr>
        <w:spacing w:line="360" w:lineRule="auto"/>
        <w:jc w:val="both"/>
        <w:rPr>
          <w:rFonts w:ascii="Arial" w:hAnsi="Arial" w:cs="Arial"/>
          <w:sz w:val="24"/>
          <w:szCs w:val="24"/>
        </w:rPr>
      </w:pPr>
      <w:r w:rsidRPr="00DF17DD">
        <w:rPr>
          <w:rFonts w:ascii="Arial" w:hAnsi="Arial" w:cs="Arial"/>
          <w:sz w:val="24"/>
          <w:szCs w:val="24"/>
        </w:rPr>
        <w:t>Economic: The UK automotive sector generates a turnover of £93 billion (SMMT, 202</w:t>
      </w:r>
      <w:r w:rsidR="00BF196D">
        <w:rPr>
          <w:rFonts w:ascii="Arial" w:hAnsi="Arial" w:cs="Arial"/>
          <w:sz w:val="24"/>
          <w:szCs w:val="24"/>
        </w:rPr>
        <w:t>6</w:t>
      </w:r>
      <w:r w:rsidRPr="00DF17DD">
        <w:rPr>
          <w:rFonts w:ascii="Arial" w:hAnsi="Arial" w:cs="Arial"/>
          <w:sz w:val="24"/>
          <w:szCs w:val="24"/>
        </w:rPr>
        <w:t>). That said, inflationary pressures and high interest rates have squeezed consumer purchasing power, which could slow down EV adoption. Relying on government subsidies long-term is also strategically risky.</w:t>
      </w:r>
    </w:p>
    <w:p w14:paraId="783736F9" w14:textId="77777777" w:rsidR="00DF17DD" w:rsidRPr="00DF17DD" w:rsidRDefault="00DF17DD" w:rsidP="00E27A9A">
      <w:pPr>
        <w:spacing w:line="360" w:lineRule="auto"/>
        <w:jc w:val="both"/>
        <w:rPr>
          <w:rFonts w:ascii="Arial" w:hAnsi="Arial" w:cs="Arial"/>
          <w:sz w:val="24"/>
          <w:szCs w:val="24"/>
        </w:rPr>
      </w:pPr>
      <w:r w:rsidRPr="00DF17DD">
        <w:rPr>
          <w:rFonts w:ascii="Arial" w:hAnsi="Arial" w:cs="Arial"/>
          <w:sz w:val="24"/>
          <w:szCs w:val="24"/>
        </w:rPr>
        <w:t>Sociocultural: Growing consumer preference for sustainable products has made the Triple Bottom Line (TBL) a core expectation. Gouveia et al. (2024) argue true sustainable value creation means embedding these principles right into the core business model. For Nissan, this suggests the EV36Zero ecosystem isn't just an operational upgrade, but a key sociocultural differentiator that needs to be aggressively communicated to capture ethically motivated buyers.</w:t>
      </w:r>
    </w:p>
    <w:p w14:paraId="7944F360" w14:textId="7D53EEB7" w:rsidR="00DF17DD" w:rsidRPr="00DF17DD" w:rsidRDefault="00DF17DD" w:rsidP="00E27A9A">
      <w:pPr>
        <w:spacing w:line="360" w:lineRule="auto"/>
        <w:jc w:val="both"/>
        <w:rPr>
          <w:rFonts w:ascii="Arial" w:hAnsi="Arial" w:cs="Arial"/>
          <w:sz w:val="24"/>
          <w:szCs w:val="24"/>
        </w:rPr>
      </w:pPr>
      <w:r w:rsidRPr="00DF17DD">
        <w:rPr>
          <w:rFonts w:ascii="Arial" w:hAnsi="Arial" w:cs="Arial"/>
          <w:sz w:val="24"/>
          <w:szCs w:val="24"/>
        </w:rPr>
        <w:t xml:space="preserve">Technological: All-Solid-State Battery (ASSB) development and autonomous vehicle tech are critical areas where Nissan is investing heavily to keep its competitive edge </w:t>
      </w:r>
      <w:r w:rsidR="0057692D" w:rsidRPr="0057692D">
        <w:rPr>
          <w:rFonts w:ascii="Arial" w:hAnsi="Arial" w:cs="Arial"/>
          <w:sz w:val="24"/>
          <w:szCs w:val="24"/>
        </w:rPr>
        <w:lastRenderedPageBreak/>
        <w:t>(Shon, Kim and Kim, 2026)</w:t>
      </w:r>
      <w:r w:rsidRPr="00DF17DD">
        <w:rPr>
          <w:rFonts w:ascii="Arial" w:hAnsi="Arial" w:cs="Arial"/>
          <w:sz w:val="24"/>
          <w:szCs w:val="24"/>
        </w:rPr>
        <w:t>. If they fail to lead in ASSB, it could seriously erode Nissan's current technological advantage.</w:t>
      </w:r>
    </w:p>
    <w:p w14:paraId="6539B311" w14:textId="6FD98064" w:rsidR="00DF17DD" w:rsidRPr="00DF17DD" w:rsidRDefault="00DF17DD" w:rsidP="00E27A9A">
      <w:pPr>
        <w:spacing w:line="360" w:lineRule="auto"/>
        <w:jc w:val="both"/>
        <w:rPr>
          <w:rFonts w:ascii="Arial" w:hAnsi="Arial" w:cs="Arial"/>
          <w:sz w:val="24"/>
          <w:szCs w:val="24"/>
        </w:rPr>
      </w:pPr>
      <w:r w:rsidRPr="00DF17DD">
        <w:rPr>
          <w:rFonts w:ascii="Arial" w:hAnsi="Arial" w:cs="Arial"/>
          <w:sz w:val="24"/>
          <w:szCs w:val="24"/>
        </w:rPr>
        <w:t>Legal: The UK's Zero Emission Vehicle (ZEV) Mandate, which leads up to a ban on new petrol and diesel car sales by 2030, basically shifts EV production from a strategic choice to a legal necessity (Department for Transport, 202</w:t>
      </w:r>
      <w:r w:rsidR="00076237">
        <w:rPr>
          <w:rFonts w:ascii="Arial" w:hAnsi="Arial" w:cs="Arial"/>
          <w:sz w:val="24"/>
          <w:szCs w:val="24"/>
        </w:rPr>
        <w:t>3</w:t>
      </w:r>
      <w:r w:rsidRPr="00DF17DD">
        <w:rPr>
          <w:rFonts w:ascii="Arial" w:hAnsi="Arial" w:cs="Arial"/>
          <w:sz w:val="24"/>
          <w:szCs w:val="24"/>
        </w:rPr>
        <w:t>). This creates an urgent push for accelerated electrification.</w:t>
      </w:r>
    </w:p>
    <w:p w14:paraId="59C6BF15" w14:textId="7DF23E73" w:rsidR="00DF17DD" w:rsidRDefault="00DF17DD" w:rsidP="00E27A9A">
      <w:pPr>
        <w:spacing w:line="360" w:lineRule="auto"/>
        <w:jc w:val="both"/>
        <w:rPr>
          <w:rFonts w:ascii="Arial" w:hAnsi="Arial" w:cs="Arial"/>
          <w:sz w:val="24"/>
          <w:szCs w:val="24"/>
        </w:rPr>
      </w:pPr>
      <w:r w:rsidRPr="00DF17DD">
        <w:rPr>
          <w:rFonts w:ascii="Arial" w:hAnsi="Arial" w:cs="Arial"/>
          <w:sz w:val="24"/>
          <w:szCs w:val="24"/>
        </w:rPr>
        <w:t>Environmental: Nissan's EV36Zero strategy integrates renewable energy right into the Sunderland manufacturing process</w:t>
      </w:r>
      <w:r w:rsidR="00B7393D">
        <w:rPr>
          <w:rFonts w:ascii="Arial" w:hAnsi="Arial" w:cs="Arial"/>
          <w:sz w:val="24"/>
          <w:szCs w:val="24"/>
        </w:rPr>
        <w:t xml:space="preserve"> (</w:t>
      </w:r>
      <w:r w:rsidR="00E61AF6">
        <w:rPr>
          <w:rFonts w:ascii="Arial" w:hAnsi="Arial" w:cs="Arial"/>
          <w:sz w:val="24"/>
          <w:szCs w:val="24"/>
        </w:rPr>
        <w:t>UK Gov, 2025)</w:t>
      </w:r>
      <w:r w:rsidRPr="00DF17DD">
        <w:rPr>
          <w:rFonts w:ascii="Arial" w:hAnsi="Arial" w:cs="Arial"/>
          <w:sz w:val="24"/>
          <w:szCs w:val="24"/>
        </w:rPr>
        <w:t>. By decoupling its manufacturing from fossil fuels, Nissan doesn't just meet strict environmental regulations</w:t>
      </w:r>
      <w:r w:rsidR="00DD0EC7">
        <w:rPr>
          <w:rFonts w:ascii="Arial" w:hAnsi="Arial" w:cs="Arial"/>
          <w:sz w:val="24"/>
          <w:szCs w:val="24"/>
        </w:rPr>
        <w:t>. I</w:t>
      </w:r>
      <w:r w:rsidRPr="00DF17DD">
        <w:rPr>
          <w:rFonts w:ascii="Arial" w:hAnsi="Arial" w:cs="Arial"/>
          <w:sz w:val="24"/>
          <w:szCs w:val="24"/>
        </w:rPr>
        <w:t>t also insulates itself against future carbon taxes and volatile energy markets, arguably creating a structural cost advantage over competitors who still rely on traditional grids</w:t>
      </w:r>
      <w:r w:rsidR="008423A8">
        <w:rPr>
          <w:rFonts w:ascii="Arial" w:hAnsi="Arial" w:cs="Arial"/>
          <w:sz w:val="24"/>
          <w:szCs w:val="24"/>
        </w:rPr>
        <w:t xml:space="preserve"> </w:t>
      </w:r>
      <w:r w:rsidR="008423A8" w:rsidRPr="008423A8">
        <w:rPr>
          <w:rFonts w:ascii="Arial" w:hAnsi="Arial" w:cs="Arial"/>
          <w:sz w:val="24"/>
          <w:szCs w:val="24"/>
        </w:rPr>
        <w:t>(Gouveia</w:t>
      </w:r>
      <w:r w:rsidR="008423A8" w:rsidRPr="008423A8">
        <w:rPr>
          <w:rFonts w:ascii="Arial" w:hAnsi="Arial" w:cs="Arial"/>
          <w:i/>
          <w:iCs/>
          <w:sz w:val="24"/>
          <w:szCs w:val="24"/>
        </w:rPr>
        <w:t> et al.,</w:t>
      </w:r>
      <w:r w:rsidR="008423A8" w:rsidRPr="008423A8">
        <w:rPr>
          <w:rFonts w:ascii="Arial" w:hAnsi="Arial" w:cs="Arial"/>
          <w:sz w:val="24"/>
          <w:szCs w:val="24"/>
        </w:rPr>
        <w:t> 2024)</w:t>
      </w:r>
      <w:r w:rsidRPr="00DF17DD">
        <w:rPr>
          <w:rFonts w:ascii="Arial" w:hAnsi="Arial" w:cs="Arial"/>
          <w:sz w:val="24"/>
          <w:szCs w:val="24"/>
        </w:rPr>
        <w:t>.</w:t>
      </w:r>
    </w:p>
    <w:p w14:paraId="300EDF8E" w14:textId="77777777" w:rsidR="00DD0EC7" w:rsidRDefault="00DD0EC7" w:rsidP="00E27A9A">
      <w:pPr>
        <w:pStyle w:val="Heading3"/>
        <w:numPr>
          <w:ilvl w:val="0"/>
          <w:numId w:val="0"/>
        </w:numPr>
        <w:spacing w:line="360" w:lineRule="auto"/>
        <w:ind w:left="720" w:hanging="720"/>
        <w:jc w:val="both"/>
        <w:rPr>
          <w:rFonts w:eastAsia="Times New Roman"/>
          <w:lang w:eastAsia="en-GB"/>
        </w:rPr>
      </w:pPr>
      <w:bookmarkStart w:id="7" w:name="_Toc225015644"/>
      <w:r w:rsidRPr="008F23DC">
        <w:rPr>
          <w:rFonts w:eastAsia="Times New Roman"/>
          <w:lang w:eastAsia="en-GB"/>
        </w:rPr>
        <w:t>Porter's Five Forces Analysis</w:t>
      </w:r>
      <w:bookmarkEnd w:id="7"/>
    </w:p>
    <w:p w14:paraId="458A1578" w14:textId="77777777" w:rsidR="00827A97" w:rsidRPr="008F23DC" w:rsidRDefault="00827A97" w:rsidP="00E27A9A">
      <w:pPr>
        <w:spacing w:after="0" w:line="360" w:lineRule="auto"/>
        <w:jc w:val="both"/>
        <w:rPr>
          <w:rFonts w:ascii="Arial" w:eastAsia="Times New Roman" w:hAnsi="Arial" w:cs="Arial"/>
          <w:kern w:val="0"/>
          <w:sz w:val="24"/>
          <w:szCs w:val="24"/>
          <w:lang w:eastAsia="en-GB"/>
          <w14:ligatures w14:val="none"/>
        </w:rPr>
      </w:pPr>
      <w:r w:rsidRPr="008F23DC">
        <w:rPr>
          <w:rFonts w:ascii="Arial" w:eastAsia="Times New Roman" w:hAnsi="Arial" w:cs="Arial"/>
          <w:kern w:val="0"/>
          <w:sz w:val="24"/>
          <w:szCs w:val="24"/>
          <w:lang w:eastAsia="en-GB"/>
          <w14:ligatures w14:val="none"/>
        </w:rPr>
        <w:t>Johnson et al. (2023) present Porter's Five Forces as a strong framework for evaluating competitive intensity. While it has been criticised for being a bit static and industry-centric, it's still highly valuable for spotting structural threats and opportunities.</w:t>
      </w:r>
    </w:p>
    <w:p w14:paraId="5D6687D1" w14:textId="77777777" w:rsidR="00827A97" w:rsidRPr="008F23DC" w:rsidRDefault="00827A97" w:rsidP="00E27A9A">
      <w:pPr>
        <w:spacing w:after="0" w:line="360" w:lineRule="auto"/>
        <w:jc w:val="both"/>
        <w:rPr>
          <w:rFonts w:ascii="Arial" w:eastAsia="Times New Roman" w:hAnsi="Arial" w:cs="Arial"/>
          <w:kern w:val="0"/>
          <w:sz w:val="24"/>
          <w:szCs w:val="24"/>
          <w:lang w:eastAsia="en-GB"/>
          <w14:ligatures w14:val="none"/>
        </w:rPr>
      </w:pPr>
      <w:r w:rsidRPr="008F23DC">
        <w:rPr>
          <w:rFonts w:ascii="Arial" w:eastAsia="Times New Roman" w:hAnsi="Arial" w:cs="Arial"/>
          <w:i/>
          <w:iCs/>
          <w:kern w:val="0"/>
          <w:sz w:val="24"/>
          <w:szCs w:val="24"/>
          <w:lang w:eastAsia="en-GB"/>
          <w14:ligatures w14:val="none"/>
        </w:rPr>
        <w:t>Threat of New Entrants (High</w:t>
      </w:r>
      <w:r w:rsidRPr="008F23DC">
        <w:rPr>
          <w:rFonts w:ascii="Arial" w:eastAsia="Times New Roman" w:hAnsi="Arial" w:cs="Arial"/>
          <w:kern w:val="0"/>
          <w:sz w:val="24"/>
          <w:szCs w:val="24"/>
          <w:lang w:eastAsia="en-GB"/>
          <w14:ligatures w14:val="none"/>
        </w:rPr>
        <w:t>): The EV transition has massively lowered traditional barriers to entry. Chinese manufacturers like BYD, MG, and Chery are aggressively entering UK and EU markets; in 2024, China accounted for 35.4% of global car production and took a 17.2% market share of new EU car imports by value (ACEA, 2025</w:t>
      </w:r>
      <w:r>
        <w:rPr>
          <w:rFonts w:ascii="Arial" w:eastAsia="Times New Roman" w:hAnsi="Arial" w:cs="Arial"/>
          <w:kern w:val="0"/>
          <w:sz w:val="24"/>
          <w:szCs w:val="24"/>
          <w:lang w:eastAsia="en-GB"/>
          <w14:ligatures w14:val="none"/>
        </w:rPr>
        <w:t>;</w:t>
      </w:r>
      <w:r w:rsidRPr="008F23DC">
        <w:rPr>
          <w:rFonts w:ascii="Arial" w:eastAsia="Times New Roman" w:hAnsi="Arial" w:cs="Arial"/>
          <w:kern w:val="0"/>
          <w:sz w:val="24"/>
          <w:szCs w:val="24"/>
          <w:lang w:eastAsia="en-GB"/>
          <w14:ligatures w14:val="none"/>
        </w:rPr>
        <w:t xml:space="preserve"> OICA, 2025), posing a huge threat to established players like Nissan who just can't compete on cost alone.</w:t>
      </w:r>
    </w:p>
    <w:p w14:paraId="417533FE" w14:textId="77777777" w:rsidR="00827A97" w:rsidRPr="008F23DC" w:rsidRDefault="00827A97" w:rsidP="00E27A9A">
      <w:pPr>
        <w:spacing w:after="0" w:line="360" w:lineRule="auto"/>
        <w:jc w:val="both"/>
        <w:rPr>
          <w:rFonts w:ascii="Arial" w:eastAsia="Times New Roman" w:hAnsi="Arial" w:cs="Arial"/>
          <w:kern w:val="0"/>
          <w:sz w:val="24"/>
          <w:szCs w:val="24"/>
          <w:lang w:eastAsia="en-GB"/>
          <w14:ligatures w14:val="none"/>
        </w:rPr>
      </w:pPr>
      <w:r w:rsidRPr="008F23DC">
        <w:rPr>
          <w:rFonts w:ascii="Arial" w:eastAsia="Times New Roman" w:hAnsi="Arial" w:cs="Arial"/>
          <w:i/>
          <w:iCs/>
          <w:kern w:val="0"/>
          <w:sz w:val="24"/>
          <w:szCs w:val="24"/>
          <w:lang w:eastAsia="en-GB"/>
          <w14:ligatures w14:val="none"/>
        </w:rPr>
        <w:t>Bargaining Power of Suppliers (High):</w:t>
      </w:r>
      <w:r w:rsidRPr="008F23DC">
        <w:rPr>
          <w:rFonts w:ascii="Arial" w:eastAsia="Times New Roman" w:hAnsi="Arial" w:cs="Arial"/>
          <w:kern w:val="0"/>
          <w:sz w:val="24"/>
          <w:szCs w:val="24"/>
          <w:lang w:eastAsia="en-GB"/>
          <w14:ligatures w14:val="none"/>
        </w:rPr>
        <w:t xml:space="preserve"> The shift to EVs has concentrated reliance on critical components, especially lithium-ion batteries and semiconductors (Ramos et al., 2024). While Nissan has somewhat mitigated this by co-locating the 15.8 GWh AESC gigafactory next to the Sunderland plant, vulnerabilities in raw material supply (like lithium and cobalt) remain a critical strategic weakness.</w:t>
      </w:r>
    </w:p>
    <w:p w14:paraId="485873A9" w14:textId="77777777" w:rsidR="00827A97" w:rsidRPr="008F23DC" w:rsidRDefault="00827A97" w:rsidP="00E27A9A">
      <w:pPr>
        <w:spacing w:after="0" w:line="360" w:lineRule="auto"/>
        <w:jc w:val="both"/>
        <w:rPr>
          <w:rFonts w:ascii="Arial" w:eastAsia="Times New Roman" w:hAnsi="Arial" w:cs="Arial"/>
          <w:kern w:val="0"/>
          <w:sz w:val="24"/>
          <w:szCs w:val="24"/>
          <w:lang w:eastAsia="en-GB"/>
          <w14:ligatures w14:val="none"/>
        </w:rPr>
      </w:pPr>
      <w:r w:rsidRPr="008F23DC">
        <w:rPr>
          <w:rFonts w:ascii="Arial" w:eastAsia="Times New Roman" w:hAnsi="Arial" w:cs="Arial"/>
          <w:i/>
          <w:iCs/>
          <w:kern w:val="0"/>
          <w:sz w:val="24"/>
          <w:szCs w:val="24"/>
          <w:lang w:eastAsia="en-GB"/>
          <w14:ligatures w14:val="none"/>
        </w:rPr>
        <w:t>Bargaining Power of Buyers (High):</w:t>
      </w:r>
      <w:r w:rsidRPr="008F23DC">
        <w:rPr>
          <w:rFonts w:ascii="Arial" w:eastAsia="Times New Roman" w:hAnsi="Arial" w:cs="Arial"/>
          <w:kern w:val="0"/>
          <w:sz w:val="24"/>
          <w:szCs w:val="24"/>
          <w:lang w:eastAsia="en-GB"/>
          <w14:ligatures w14:val="none"/>
        </w:rPr>
        <w:t xml:space="preserve"> The flood of new EV models has intensified consumer choice and price sensitivity. Anderson et al. (2022) argue that EVs are increasingly seen as platform goods, forcing manufacturers to offer integrated </w:t>
      </w:r>
      <w:r w:rsidRPr="008F23DC">
        <w:rPr>
          <w:rFonts w:ascii="Arial" w:eastAsia="Times New Roman" w:hAnsi="Arial" w:cs="Arial"/>
          <w:kern w:val="0"/>
          <w:sz w:val="24"/>
          <w:szCs w:val="24"/>
          <w:lang w:eastAsia="en-GB"/>
          <w14:ligatures w14:val="none"/>
        </w:rPr>
        <w:lastRenderedPageBreak/>
        <w:t>software and services alongside the physical car, which fundamentally changes the competitive dynamic.</w:t>
      </w:r>
    </w:p>
    <w:p w14:paraId="0459F2D0" w14:textId="52BCD537" w:rsidR="00827A97" w:rsidRPr="008F23DC" w:rsidRDefault="00827A97" w:rsidP="00E27A9A">
      <w:pPr>
        <w:spacing w:after="0" w:line="360" w:lineRule="auto"/>
        <w:jc w:val="both"/>
        <w:rPr>
          <w:rFonts w:ascii="Arial" w:eastAsia="Times New Roman" w:hAnsi="Arial" w:cs="Arial"/>
          <w:kern w:val="0"/>
          <w:sz w:val="24"/>
          <w:szCs w:val="24"/>
          <w:lang w:eastAsia="en-GB"/>
          <w14:ligatures w14:val="none"/>
        </w:rPr>
      </w:pPr>
      <w:r w:rsidRPr="008F23DC">
        <w:rPr>
          <w:rFonts w:ascii="Arial" w:eastAsia="Times New Roman" w:hAnsi="Arial" w:cs="Arial"/>
          <w:i/>
          <w:iCs/>
          <w:kern w:val="0"/>
          <w:sz w:val="24"/>
          <w:szCs w:val="24"/>
          <w:lang w:eastAsia="en-GB"/>
          <w14:ligatures w14:val="none"/>
        </w:rPr>
        <w:t>Threat of Substitutes (Low to Medium):</w:t>
      </w:r>
      <w:r w:rsidRPr="008F23DC">
        <w:rPr>
          <w:rFonts w:ascii="Arial" w:eastAsia="Times New Roman" w:hAnsi="Arial" w:cs="Arial"/>
          <w:kern w:val="0"/>
          <w:sz w:val="24"/>
          <w:szCs w:val="24"/>
          <w:lang w:eastAsia="en-GB"/>
          <w14:ligatures w14:val="none"/>
        </w:rPr>
        <w:t xml:space="preserve"> The personal car is still dominant in the UK, though the rise of mobility-as-a-service (</w:t>
      </w:r>
      <w:proofErr w:type="spellStart"/>
      <w:r w:rsidRPr="008F23DC">
        <w:rPr>
          <w:rFonts w:ascii="Arial" w:eastAsia="Times New Roman" w:hAnsi="Arial" w:cs="Arial"/>
          <w:kern w:val="0"/>
          <w:sz w:val="24"/>
          <w:szCs w:val="24"/>
          <w:lang w:eastAsia="en-GB"/>
          <w14:ligatures w14:val="none"/>
        </w:rPr>
        <w:t>MaaS</w:t>
      </w:r>
      <w:proofErr w:type="spellEnd"/>
      <w:r w:rsidRPr="008F23DC">
        <w:rPr>
          <w:rFonts w:ascii="Arial" w:eastAsia="Times New Roman" w:hAnsi="Arial" w:cs="Arial"/>
          <w:kern w:val="0"/>
          <w:sz w:val="24"/>
          <w:szCs w:val="24"/>
          <w:lang w:eastAsia="en-GB"/>
          <w14:ligatures w14:val="none"/>
        </w:rPr>
        <w:t>) could increase substitution in urban areas over the long term</w:t>
      </w:r>
      <w:r w:rsidR="00620E17">
        <w:rPr>
          <w:rFonts w:ascii="Arial" w:eastAsia="Times New Roman" w:hAnsi="Arial" w:cs="Arial"/>
          <w:kern w:val="0"/>
          <w:sz w:val="24"/>
          <w:szCs w:val="24"/>
          <w:lang w:eastAsia="en-GB"/>
          <w14:ligatures w14:val="none"/>
        </w:rPr>
        <w:t xml:space="preserve"> </w:t>
      </w:r>
      <w:r w:rsidR="00620E17" w:rsidRPr="00DF17DD">
        <w:rPr>
          <w:rFonts w:ascii="Arial" w:hAnsi="Arial" w:cs="Arial"/>
          <w:sz w:val="24"/>
          <w:szCs w:val="24"/>
        </w:rPr>
        <w:t>(SMMT, 202</w:t>
      </w:r>
      <w:r w:rsidR="00620E17">
        <w:rPr>
          <w:rFonts w:ascii="Arial" w:hAnsi="Arial" w:cs="Arial"/>
          <w:sz w:val="24"/>
          <w:szCs w:val="24"/>
        </w:rPr>
        <w:t>6</w:t>
      </w:r>
      <w:r w:rsidR="00620E17" w:rsidRPr="00DF17DD">
        <w:rPr>
          <w:rFonts w:ascii="Arial" w:hAnsi="Arial" w:cs="Arial"/>
          <w:sz w:val="24"/>
          <w:szCs w:val="24"/>
        </w:rPr>
        <w:t>)</w:t>
      </w:r>
      <w:r w:rsidRPr="008F23DC">
        <w:rPr>
          <w:rFonts w:ascii="Arial" w:eastAsia="Times New Roman" w:hAnsi="Arial" w:cs="Arial"/>
          <w:kern w:val="0"/>
          <w:sz w:val="24"/>
          <w:szCs w:val="24"/>
          <w:lang w:eastAsia="en-GB"/>
          <w14:ligatures w14:val="none"/>
        </w:rPr>
        <w:t>.</w:t>
      </w:r>
    </w:p>
    <w:p w14:paraId="09C4D5EE" w14:textId="77048A86" w:rsidR="00827A97" w:rsidRDefault="00827A97" w:rsidP="00E27A9A">
      <w:pPr>
        <w:spacing w:after="0" w:line="360" w:lineRule="auto"/>
        <w:jc w:val="both"/>
        <w:rPr>
          <w:rFonts w:ascii="Arial" w:eastAsia="Times New Roman" w:hAnsi="Arial" w:cs="Arial"/>
          <w:kern w:val="0"/>
          <w:sz w:val="24"/>
          <w:szCs w:val="24"/>
          <w:lang w:eastAsia="en-GB"/>
          <w14:ligatures w14:val="none"/>
        </w:rPr>
      </w:pPr>
      <w:r w:rsidRPr="008F23DC">
        <w:rPr>
          <w:rFonts w:ascii="Arial" w:eastAsia="Times New Roman" w:hAnsi="Arial" w:cs="Arial"/>
          <w:i/>
          <w:iCs/>
          <w:kern w:val="0"/>
          <w:sz w:val="24"/>
          <w:szCs w:val="24"/>
          <w:lang w:eastAsia="en-GB"/>
          <w14:ligatures w14:val="none"/>
        </w:rPr>
        <w:t>Industry Rivalry (Very High):</w:t>
      </w:r>
      <w:r w:rsidRPr="008F23DC">
        <w:rPr>
          <w:rFonts w:ascii="Arial" w:eastAsia="Times New Roman" w:hAnsi="Arial" w:cs="Arial"/>
          <w:kern w:val="0"/>
          <w:sz w:val="24"/>
          <w:szCs w:val="24"/>
          <w:lang w:eastAsia="en-GB"/>
          <w14:ligatures w14:val="none"/>
        </w:rPr>
        <w:t xml:space="preserve"> Legacy automakers (like Volkswagen and Stellantis) and new entrants (like Tesla and BYD) are competing intensely for EV market share, leading to price compression and rapid innovation cycles that challenge all established manufacturers</w:t>
      </w:r>
      <w:r w:rsidR="00331EB6">
        <w:rPr>
          <w:rFonts w:ascii="Arial" w:eastAsia="Times New Roman" w:hAnsi="Arial" w:cs="Arial"/>
          <w:kern w:val="0"/>
          <w:sz w:val="24"/>
          <w:szCs w:val="24"/>
          <w:lang w:eastAsia="en-GB"/>
          <w14:ligatures w14:val="none"/>
        </w:rPr>
        <w:t xml:space="preserve"> (ACEA</w:t>
      </w:r>
      <w:r w:rsidR="0051600F">
        <w:rPr>
          <w:rFonts w:ascii="Arial" w:eastAsia="Times New Roman" w:hAnsi="Arial" w:cs="Arial"/>
          <w:kern w:val="0"/>
          <w:sz w:val="24"/>
          <w:szCs w:val="24"/>
          <w:lang w:eastAsia="en-GB"/>
          <w14:ligatures w14:val="none"/>
        </w:rPr>
        <w:t>, 2025)</w:t>
      </w:r>
      <w:r w:rsidRPr="008F23DC">
        <w:rPr>
          <w:rFonts w:ascii="Arial" w:eastAsia="Times New Roman" w:hAnsi="Arial" w:cs="Arial"/>
          <w:kern w:val="0"/>
          <w:sz w:val="24"/>
          <w:szCs w:val="24"/>
          <w:lang w:eastAsia="en-GB"/>
          <w14:ligatures w14:val="none"/>
        </w:rPr>
        <w:t>.</w:t>
      </w:r>
    </w:p>
    <w:p w14:paraId="211B09D8" w14:textId="77777777" w:rsidR="00157D61" w:rsidRDefault="00157D61" w:rsidP="00827A97">
      <w:pPr>
        <w:spacing w:after="0" w:line="360" w:lineRule="auto"/>
        <w:jc w:val="both"/>
        <w:rPr>
          <w:rFonts w:ascii="Arial" w:eastAsia="Times New Roman" w:hAnsi="Arial" w:cs="Arial"/>
          <w:kern w:val="0"/>
          <w:sz w:val="24"/>
          <w:szCs w:val="24"/>
          <w:lang w:eastAsia="en-GB"/>
          <w14:ligatures w14:val="none"/>
        </w:rPr>
      </w:pPr>
    </w:p>
    <w:p w14:paraId="2776E449" w14:textId="4BF8D7A9" w:rsidR="0080675D" w:rsidRDefault="00A46BA9" w:rsidP="0080675D">
      <w:pPr>
        <w:spacing w:after="0" w:line="360" w:lineRule="auto"/>
        <w:jc w:val="center"/>
        <w:rPr>
          <w:rFonts w:ascii="Arial" w:eastAsia="Times New Roman" w:hAnsi="Arial" w:cs="Arial"/>
          <w:kern w:val="0"/>
          <w:sz w:val="24"/>
          <w:szCs w:val="24"/>
          <w:lang w:eastAsia="en-GB"/>
          <w14:ligatures w14:val="none"/>
        </w:rPr>
      </w:pPr>
      <w:r>
        <w:rPr>
          <w:noProof/>
        </w:rPr>
        <w:drawing>
          <wp:inline distT="0" distB="0" distL="0" distR="0" wp14:anchorId="24765D97" wp14:editId="748EC9DE">
            <wp:extent cx="5731510" cy="3152775"/>
            <wp:effectExtent l="0" t="0" r="2540" b="9525"/>
            <wp:docPr id="1305277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277251" name=""/>
                    <pic:cNvPicPr/>
                  </pic:nvPicPr>
                  <pic:blipFill>
                    <a:blip r:embed="rId7"/>
                    <a:stretch>
                      <a:fillRect/>
                    </a:stretch>
                  </pic:blipFill>
                  <pic:spPr>
                    <a:xfrm>
                      <a:off x="0" y="0"/>
                      <a:ext cx="5731510" cy="3152775"/>
                    </a:xfrm>
                    <a:prstGeom prst="rect">
                      <a:avLst/>
                    </a:prstGeom>
                  </pic:spPr>
                </pic:pic>
              </a:graphicData>
            </a:graphic>
          </wp:inline>
        </w:drawing>
      </w:r>
    </w:p>
    <w:p w14:paraId="63353BDC" w14:textId="589F6DFD" w:rsidR="0080675D" w:rsidRDefault="00683BBC" w:rsidP="0080675D">
      <w:pPr>
        <w:spacing w:after="0" w:line="360" w:lineRule="auto"/>
        <w:jc w:val="center"/>
        <w:rPr>
          <w:rFonts w:ascii="Arial" w:eastAsia="Times New Roman" w:hAnsi="Arial" w:cs="Arial"/>
          <w:i/>
          <w:iCs/>
          <w:color w:val="747474" w:themeColor="background2" w:themeShade="80"/>
          <w:kern w:val="0"/>
          <w:sz w:val="20"/>
          <w:szCs w:val="20"/>
          <w:lang w:eastAsia="en-GB"/>
          <w14:ligatures w14:val="none"/>
        </w:rPr>
      </w:pPr>
      <w:r w:rsidRPr="00F735FE">
        <w:rPr>
          <w:rFonts w:ascii="Arial" w:eastAsia="Times New Roman" w:hAnsi="Arial" w:cs="Arial"/>
          <w:i/>
          <w:iCs/>
          <w:color w:val="747474" w:themeColor="background2" w:themeShade="80"/>
          <w:kern w:val="0"/>
          <w:sz w:val="20"/>
          <w:szCs w:val="20"/>
          <w:lang w:eastAsia="en-GB"/>
          <w14:ligatures w14:val="none"/>
        </w:rPr>
        <w:t xml:space="preserve">Source: </w:t>
      </w:r>
      <w:proofErr w:type="spellStart"/>
      <w:r w:rsidRPr="00F735FE">
        <w:rPr>
          <w:rFonts w:ascii="Arial" w:eastAsia="Times New Roman" w:hAnsi="Arial" w:cs="Arial"/>
          <w:i/>
          <w:iCs/>
          <w:color w:val="747474" w:themeColor="background2" w:themeShade="80"/>
          <w:kern w:val="0"/>
          <w:sz w:val="20"/>
          <w:szCs w:val="20"/>
          <w:lang w:eastAsia="en-GB"/>
          <w14:ligatures w14:val="none"/>
        </w:rPr>
        <w:t>Oica</w:t>
      </w:r>
      <w:proofErr w:type="spellEnd"/>
      <w:r w:rsidRPr="00F735FE">
        <w:rPr>
          <w:rFonts w:ascii="Arial" w:eastAsia="Times New Roman" w:hAnsi="Arial" w:cs="Arial"/>
          <w:i/>
          <w:iCs/>
          <w:color w:val="747474" w:themeColor="background2" w:themeShade="80"/>
          <w:kern w:val="0"/>
          <w:sz w:val="20"/>
          <w:szCs w:val="20"/>
          <w:lang w:eastAsia="en-GB"/>
          <w14:ligatures w14:val="none"/>
        </w:rPr>
        <w:t xml:space="preserve"> sta</w:t>
      </w:r>
      <w:r w:rsidR="00475EDB" w:rsidRPr="00F735FE">
        <w:rPr>
          <w:rFonts w:ascii="Arial" w:eastAsia="Times New Roman" w:hAnsi="Arial" w:cs="Arial"/>
          <w:i/>
          <w:iCs/>
          <w:color w:val="747474" w:themeColor="background2" w:themeShade="80"/>
          <w:kern w:val="0"/>
          <w:sz w:val="20"/>
          <w:szCs w:val="20"/>
          <w:lang w:eastAsia="en-GB"/>
          <w14:ligatures w14:val="none"/>
        </w:rPr>
        <w:t>tistics</w:t>
      </w:r>
      <w:r w:rsidR="00751D49">
        <w:rPr>
          <w:rFonts w:ascii="Arial" w:eastAsia="Times New Roman" w:hAnsi="Arial" w:cs="Arial"/>
          <w:i/>
          <w:iCs/>
          <w:color w:val="747474" w:themeColor="background2" w:themeShade="80"/>
          <w:kern w:val="0"/>
          <w:sz w:val="20"/>
          <w:szCs w:val="20"/>
          <w:lang w:eastAsia="en-GB"/>
          <w14:ligatures w14:val="none"/>
        </w:rPr>
        <w:t xml:space="preserve"> (</w:t>
      </w:r>
      <w:r w:rsidR="00475EDB" w:rsidRPr="00F735FE">
        <w:rPr>
          <w:rFonts w:ascii="Arial" w:eastAsia="Times New Roman" w:hAnsi="Arial" w:cs="Arial"/>
          <w:i/>
          <w:iCs/>
          <w:color w:val="747474" w:themeColor="background2" w:themeShade="80"/>
          <w:kern w:val="0"/>
          <w:sz w:val="20"/>
          <w:szCs w:val="20"/>
          <w:lang w:eastAsia="en-GB"/>
          <w14:ligatures w14:val="none"/>
        </w:rPr>
        <w:t>2025</w:t>
      </w:r>
      <w:r w:rsidR="00751D49">
        <w:rPr>
          <w:rFonts w:ascii="Arial" w:eastAsia="Times New Roman" w:hAnsi="Arial" w:cs="Arial"/>
          <w:i/>
          <w:iCs/>
          <w:color w:val="747474" w:themeColor="background2" w:themeShade="80"/>
          <w:kern w:val="0"/>
          <w:sz w:val="20"/>
          <w:szCs w:val="20"/>
          <w:lang w:eastAsia="en-GB"/>
          <w14:ligatures w14:val="none"/>
        </w:rPr>
        <w:t>)</w:t>
      </w:r>
    </w:p>
    <w:p w14:paraId="3E72837F" w14:textId="49CF4A8B" w:rsidR="00A46BA9" w:rsidRDefault="00EF27B3" w:rsidP="0080675D">
      <w:pPr>
        <w:spacing w:after="0" w:line="360" w:lineRule="auto"/>
        <w:jc w:val="center"/>
        <w:rPr>
          <w:rFonts w:ascii="Arial" w:eastAsia="Times New Roman" w:hAnsi="Arial" w:cs="Arial"/>
          <w:i/>
          <w:iCs/>
          <w:color w:val="747474" w:themeColor="background2" w:themeShade="80"/>
          <w:kern w:val="0"/>
          <w:sz w:val="20"/>
          <w:szCs w:val="20"/>
          <w:lang w:eastAsia="en-GB"/>
          <w14:ligatures w14:val="none"/>
        </w:rPr>
      </w:pPr>
      <w:r>
        <w:rPr>
          <w:noProof/>
        </w:rPr>
        <w:lastRenderedPageBreak/>
        <w:drawing>
          <wp:inline distT="0" distB="0" distL="0" distR="0" wp14:anchorId="306B9CC6" wp14:editId="089EAA2E">
            <wp:extent cx="5731510" cy="5187315"/>
            <wp:effectExtent l="0" t="0" r="2540" b="0"/>
            <wp:docPr id="1320586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86661" name=""/>
                    <pic:cNvPicPr/>
                  </pic:nvPicPr>
                  <pic:blipFill>
                    <a:blip r:embed="rId8"/>
                    <a:stretch>
                      <a:fillRect/>
                    </a:stretch>
                  </pic:blipFill>
                  <pic:spPr>
                    <a:xfrm>
                      <a:off x="0" y="0"/>
                      <a:ext cx="5731510" cy="5187315"/>
                    </a:xfrm>
                    <a:prstGeom prst="rect">
                      <a:avLst/>
                    </a:prstGeom>
                  </pic:spPr>
                </pic:pic>
              </a:graphicData>
            </a:graphic>
          </wp:inline>
        </w:drawing>
      </w:r>
    </w:p>
    <w:p w14:paraId="2C2C746B" w14:textId="7A91AE41" w:rsidR="00A46BA9" w:rsidRPr="00F735FE" w:rsidRDefault="00EF27B3" w:rsidP="0080675D">
      <w:pPr>
        <w:spacing w:after="0" w:line="360" w:lineRule="auto"/>
        <w:jc w:val="center"/>
        <w:rPr>
          <w:rFonts w:ascii="Arial" w:eastAsia="Times New Roman" w:hAnsi="Arial" w:cs="Arial"/>
          <w:i/>
          <w:iCs/>
          <w:color w:val="747474" w:themeColor="background2" w:themeShade="80"/>
          <w:kern w:val="0"/>
          <w:sz w:val="20"/>
          <w:szCs w:val="20"/>
          <w:lang w:eastAsia="en-GB"/>
          <w14:ligatures w14:val="none"/>
        </w:rPr>
      </w:pPr>
      <w:proofErr w:type="gramStart"/>
      <w:r>
        <w:rPr>
          <w:rFonts w:ascii="Arial" w:eastAsia="Times New Roman" w:hAnsi="Arial" w:cs="Arial"/>
          <w:i/>
          <w:iCs/>
          <w:color w:val="747474" w:themeColor="background2" w:themeShade="80"/>
          <w:kern w:val="0"/>
          <w:sz w:val="20"/>
          <w:szCs w:val="20"/>
          <w:lang w:eastAsia="en-GB"/>
          <w14:ligatures w14:val="none"/>
        </w:rPr>
        <w:t>Source :</w:t>
      </w:r>
      <w:proofErr w:type="gramEnd"/>
      <w:r>
        <w:rPr>
          <w:rFonts w:ascii="Arial" w:eastAsia="Times New Roman" w:hAnsi="Arial" w:cs="Arial"/>
          <w:i/>
          <w:iCs/>
          <w:color w:val="747474" w:themeColor="background2" w:themeShade="80"/>
          <w:kern w:val="0"/>
          <w:sz w:val="20"/>
          <w:szCs w:val="20"/>
          <w:lang w:eastAsia="en-GB"/>
          <w14:ligatures w14:val="none"/>
        </w:rPr>
        <w:t xml:space="preserve"> </w:t>
      </w:r>
      <w:proofErr w:type="spellStart"/>
      <w:r>
        <w:rPr>
          <w:rFonts w:ascii="Arial" w:eastAsia="Times New Roman" w:hAnsi="Arial" w:cs="Arial"/>
          <w:i/>
          <w:iCs/>
          <w:color w:val="747474" w:themeColor="background2" w:themeShade="80"/>
          <w:kern w:val="0"/>
          <w:sz w:val="20"/>
          <w:szCs w:val="20"/>
          <w:lang w:eastAsia="en-GB"/>
          <w14:ligatures w14:val="none"/>
        </w:rPr>
        <w:t>A</w:t>
      </w:r>
      <w:r w:rsidR="007D1566">
        <w:rPr>
          <w:rFonts w:ascii="Arial" w:eastAsia="Times New Roman" w:hAnsi="Arial" w:cs="Arial"/>
          <w:i/>
          <w:iCs/>
          <w:color w:val="747474" w:themeColor="background2" w:themeShade="80"/>
          <w:kern w:val="0"/>
          <w:sz w:val="20"/>
          <w:szCs w:val="20"/>
          <w:lang w:eastAsia="en-GB"/>
          <w14:ligatures w14:val="none"/>
        </w:rPr>
        <w:t>cea</w:t>
      </w:r>
      <w:proofErr w:type="spellEnd"/>
      <w:r w:rsidR="007D1566">
        <w:rPr>
          <w:rFonts w:ascii="Arial" w:eastAsia="Times New Roman" w:hAnsi="Arial" w:cs="Arial"/>
          <w:i/>
          <w:iCs/>
          <w:color w:val="747474" w:themeColor="background2" w:themeShade="80"/>
          <w:kern w:val="0"/>
          <w:sz w:val="20"/>
          <w:szCs w:val="20"/>
          <w:lang w:eastAsia="en-GB"/>
          <w14:ligatures w14:val="none"/>
        </w:rPr>
        <w:t xml:space="preserve"> auto report (2024)</w:t>
      </w:r>
    </w:p>
    <w:p w14:paraId="5113FA81" w14:textId="77777777" w:rsidR="00DD0EC7" w:rsidRDefault="00DD0EC7" w:rsidP="00DD0EC7">
      <w:pPr>
        <w:rPr>
          <w:lang w:eastAsia="en-GB"/>
        </w:rPr>
      </w:pPr>
    </w:p>
    <w:p w14:paraId="08D6B8C2" w14:textId="0AFB2D94" w:rsidR="00827A97" w:rsidRDefault="00827A97" w:rsidP="00827A97">
      <w:pPr>
        <w:pStyle w:val="Heading2"/>
        <w:numPr>
          <w:ilvl w:val="1"/>
          <w:numId w:val="1"/>
        </w:numPr>
        <w:rPr>
          <w:rFonts w:ascii="Times New Roman" w:eastAsia="Times New Roman" w:hAnsi="Times New Roman" w:cs="Times New Roman"/>
          <w:b/>
          <w:bCs/>
          <w:kern w:val="0"/>
          <w:sz w:val="27"/>
          <w:szCs w:val="27"/>
          <w:lang w:eastAsia="en-GB"/>
          <w14:ligatures w14:val="none"/>
        </w:rPr>
      </w:pPr>
      <w:bookmarkStart w:id="8" w:name="_Toc225015645"/>
      <w:r w:rsidRPr="008F23DC">
        <w:rPr>
          <w:rFonts w:ascii="Times New Roman" w:eastAsia="Times New Roman" w:hAnsi="Times New Roman" w:cs="Times New Roman"/>
          <w:b/>
          <w:bCs/>
          <w:kern w:val="0"/>
          <w:sz w:val="27"/>
          <w:szCs w:val="27"/>
          <w:lang w:eastAsia="en-GB"/>
          <w14:ligatures w14:val="none"/>
        </w:rPr>
        <w:t>Internal Environment Audit</w:t>
      </w:r>
      <w:bookmarkEnd w:id="8"/>
    </w:p>
    <w:p w14:paraId="79E743B3" w14:textId="77777777" w:rsidR="00827A97" w:rsidRDefault="00827A97" w:rsidP="001D3811">
      <w:pPr>
        <w:pStyle w:val="Heading3"/>
        <w:numPr>
          <w:ilvl w:val="0"/>
          <w:numId w:val="0"/>
        </w:numPr>
        <w:ind w:left="720" w:hanging="720"/>
        <w:rPr>
          <w:rFonts w:eastAsia="Times New Roman"/>
          <w:lang w:eastAsia="en-GB"/>
        </w:rPr>
      </w:pPr>
      <w:bookmarkStart w:id="9" w:name="_Toc225015646"/>
      <w:r w:rsidRPr="00827A97">
        <w:rPr>
          <w:rFonts w:eastAsia="Times New Roman"/>
          <w:lang w:eastAsia="en-GB"/>
        </w:rPr>
        <w:t>Value Chain Analysis</w:t>
      </w:r>
      <w:bookmarkEnd w:id="9"/>
    </w:p>
    <w:p w14:paraId="1722EA92" w14:textId="56F11A5F" w:rsidR="00827A97" w:rsidRPr="00827A97" w:rsidRDefault="00827A97" w:rsidP="00827A97">
      <w:pPr>
        <w:spacing w:line="360" w:lineRule="auto"/>
        <w:jc w:val="both"/>
        <w:rPr>
          <w:rFonts w:ascii="Arial" w:hAnsi="Arial" w:cs="Arial"/>
          <w:sz w:val="24"/>
          <w:szCs w:val="24"/>
          <w:lang w:eastAsia="en-GB"/>
        </w:rPr>
      </w:pPr>
      <w:r w:rsidRPr="00827A97">
        <w:rPr>
          <w:rFonts w:ascii="Arial" w:hAnsi="Arial" w:cs="Arial"/>
          <w:sz w:val="24"/>
          <w:szCs w:val="24"/>
          <w:lang w:eastAsia="en-GB"/>
        </w:rPr>
        <w:t>According to Grant (202</w:t>
      </w:r>
      <w:r w:rsidR="00A22447">
        <w:rPr>
          <w:rFonts w:ascii="Arial" w:hAnsi="Arial" w:cs="Arial"/>
          <w:sz w:val="24"/>
          <w:szCs w:val="24"/>
          <w:lang w:eastAsia="en-GB"/>
        </w:rPr>
        <w:t>1</w:t>
      </w:r>
      <w:r w:rsidRPr="00827A97">
        <w:rPr>
          <w:rFonts w:ascii="Arial" w:hAnsi="Arial" w:cs="Arial"/>
          <w:sz w:val="24"/>
          <w:szCs w:val="24"/>
          <w:lang w:eastAsia="en-GB"/>
        </w:rPr>
        <w:t xml:space="preserve">), competitive advantage arises from configuration and coordination of activities in a value chain. We discuss why inbound logistics, operations and service are probably the competitively important activities in the value chain of Nissan UK. Inbound logistics: </w:t>
      </w:r>
    </w:p>
    <w:p w14:paraId="21FBFECC" w14:textId="065998B2" w:rsidR="00827A97" w:rsidRPr="00827A97" w:rsidRDefault="00827A97" w:rsidP="00827A97">
      <w:pPr>
        <w:spacing w:line="360" w:lineRule="auto"/>
        <w:jc w:val="both"/>
        <w:rPr>
          <w:rFonts w:ascii="Arial" w:hAnsi="Arial" w:cs="Arial"/>
          <w:sz w:val="24"/>
          <w:szCs w:val="24"/>
          <w:lang w:eastAsia="en-GB"/>
        </w:rPr>
      </w:pPr>
      <w:r w:rsidRPr="00827A97">
        <w:rPr>
          <w:rFonts w:ascii="Arial" w:hAnsi="Arial" w:cs="Arial"/>
          <w:i/>
          <w:iCs/>
          <w:sz w:val="24"/>
          <w:szCs w:val="24"/>
          <w:lang w:eastAsia="en-GB"/>
        </w:rPr>
        <w:t>Inbound logistic:</w:t>
      </w:r>
      <w:r w:rsidRPr="00827A97">
        <w:rPr>
          <w:rFonts w:ascii="Arial" w:hAnsi="Arial" w:cs="Arial"/>
          <w:sz w:val="24"/>
          <w:szCs w:val="24"/>
          <w:lang w:eastAsia="en-GB"/>
        </w:rPr>
        <w:t xml:space="preserve"> Co-location of the AESC battery gigafactory with Sunderland reduces significantly both inbound logistics cost and carbon emissions (Ramos et al., 2024), leaning and greening of the value chain gives Nissan UK an inimitable strategy for competitors.</w:t>
      </w:r>
    </w:p>
    <w:p w14:paraId="2390731D" w14:textId="0C1754ED" w:rsidR="00827A97" w:rsidRPr="00827A97" w:rsidRDefault="00827A97" w:rsidP="00827A97">
      <w:pPr>
        <w:spacing w:line="360" w:lineRule="auto"/>
        <w:jc w:val="both"/>
        <w:rPr>
          <w:rFonts w:ascii="Arial" w:hAnsi="Arial" w:cs="Arial"/>
          <w:sz w:val="24"/>
          <w:szCs w:val="24"/>
          <w:lang w:eastAsia="en-GB"/>
        </w:rPr>
      </w:pPr>
      <w:r w:rsidRPr="00827A97">
        <w:rPr>
          <w:rFonts w:ascii="Arial" w:hAnsi="Arial" w:cs="Arial"/>
          <w:i/>
          <w:iCs/>
          <w:sz w:val="24"/>
          <w:szCs w:val="24"/>
          <w:lang w:eastAsia="en-GB"/>
        </w:rPr>
        <w:lastRenderedPageBreak/>
        <w:t>Operations</w:t>
      </w:r>
      <w:r w:rsidRPr="00827A97">
        <w:rPr>
          <w:rFonts w:ascii="Arial" w:hAnsi="Arial" w:cs="Arial"/>
          <w:sz w:val="24"/>
          <w:szCs w:val="24"/>
          <w:lang w:eastAsia="en-GB"/>
        </w:rPr>
        <w:t xml:space="preserve">: Manufacturing operations in Sunderland, powered by the Nissan Production Way (NPW) and Kaizen gives superior competitiveness to Nissan UK, in terms of quality, cost and speed. </w:t>
      </w:r>
    </w:p>
    <w:p w14:paraId="565CBB34" w14:textId="23A2309C" w:rsidR="00827A97" w:rsidRPr="00827A97" w:rsidRDefault="00827A97" w:rsidP="00827A97">
      <w:pPr>
        <w:spacing w:line="360" w:lineRule="auto"/>
        <w:jc w:val="both"/>
        <w:rPr>
          <w:rFonts w:ascii="Arial" w:hAnsi="Arial" w:cs="Arial"/>
          <w:sz w:val="24"/>
          <w:szCs w:val="24"/>
          <w:lang w:eastAsia="en-GB"/>
        </w:rPr>
      </w:pPr>
      <w:r w:rsidRPr="00827A97">
        <w:rPr>
          <w:rFonts w:ascii="Arial" w:hAnsi="Arial" w:cs="Arial"/>
          <w:i/>
          <w:iCs/>
          <w:sz w:val="24"/>
          <w:szCs w:val="24"/>
          <w:lang w:eastAsia="en-GB"/>
        </w:rPr>
        <w:t>Service</w:t>
      </w:r>
      <w:r w:rsidRPr="00827A97">
        <w:rPr>
          <w:rFonts w:ascii="Arial" w:hAnsi="Arial" w:cs="Arial"/>
          <w:sz w:val="24"/>
          <w:szCs w:val="24"/>
          <w:lang w:eastAsia="en-GB"/>
        </w:rPr>
        <w:t xml:space="preserve">: With V2G enabled service vehicles, NISSAN UK can help transform depreciating personal motor vehicles into revenue generating energy storage units for their customer (Ravi and </w:t>
      </w:r>
      <w:r w:rsidR="00CA6D55">
        <w:rPr>
          <w:rFonts w:ascii="Arial" w:hAnsi="Arial" w:cs="Arial"/>
          <w:sz w:val="24"/>
          <w:szCs w:val="24"/>
          <w:lang w:eastAsia="en-GB"/>
        </w:rPr>
        <w:t>Aziz</w:t>
      </w:r>
      <w:r w:rsidRPr="00827A97">
        <w:rPr>
          <w:rFonts w:ascii="Arial" w:hAnsi="Arial" w:cs="Arial"/>
          <w:sz w:val="24"/>
          <w:szCs w:val="24"/>
          <w:lang w:eastAsia="en-GB"/>
        </w:rPr>
        <w:t>, 2022), service so becomes a critical differentiator in terms of customer retention and sustainability.</w:t>
      </w:r>
    </w:p>
    <w:p w14:paraId="009CF56B" w14:textId="75CC1C97" w:rsidR="00827A97" w:rsidRDefault="00827A97" w:rsidP="001D3811">
      <w:pPr>
        <w:pStyle w:val="Heading3"/>
        <w:numPr>
          <w:ilvl w:val="0"/>
          <w:numId w:val="0"/>
        </w:numPr>
        <w:ind w:left="720" w:hanging="720"/>
        <w:rPr>
          <w:lang w:eastAsia="en-GB"/>
        </w:rPr>
      </w:pPr>
      <w:bookmarkStart w:id="10" w:name="_Toc225015647"/>
      <w:r w:rsidRPr="00827A97">
        <w:rPr>
          <w:lang w:eastAsia="en-GB"/>
        </w:rPr>
        <w:t>Resource-Based View (RBV) and VRIO Analysis</w:t>
      </w:r>
      <w:bookmarkEnd w:id="10"/>
    </w:p>
    <w:p w14:paraId="50EDF267" w14:textId="38FD0F68" w:rsidR="0031772F" w:rsidRPr="00827A97" w:rsidRDefault="00827A97" w:rsidP="00BB1117">
      <w:pPr>
        <w:spacing w:line="360" w:lineRule="auto"/>
        <w:jc w:val="both"/>
        <w:rPr>
          <w:rFonts w:ascii="Arial" w:hAnsi="Arial" w:cs="Arial"/>
          <w:sz w:val="24"/>
          <w:szCs w:val="24"/>
        </w:rPr>
      </w:pPr>
      <w:r w:rsidRPr="00827A97">
        <w:rPr>
          <w:rFonts w:ascii="Arial" w:hAnsi="Arial" w:cs="Arial"/>
          <w:sz w:val="24"/>
          <w:szCs w:val="24"/>
        </w:rPr>
        <w:t>Barney and Hesterly (20</w:t>
      </w:r>
      <w:r w:rsidR="00076237">
        <w:rPr>
          <w:rFonts w:ascii="Arial" w:hAnsi="Arial" w:cs="Arial"/>
          <w:sz w:val="24"/>
          <w:szCs w:val="24"/>
        </w:rPr>
        <w:t>19</w:t>
      </w:r>
      <w:r w:rsidRPr="00827A97">
        <w:rPr>
          <w:rFonts w:ascii="Arial" w:hAnsi="Arial" w:cs="Arial"/>
          <w:sz w:val="24"/>
          <w:szCs w:val="24"/>
        </w:rPr>
        <w:t xml:space="preserve">) argue sustained competitive advantage </w:t>
      </w:r>
      <w:proofErr w:type="gramStart"/>
      <w:r w:rsidRPr="00827A97">
        <w:rPr>
          <w:rFonts w:ascii="Arial" w:hAnsi="Arial" w:cs="Arial"/>
          <w:sz w:val="24"/>
          <w:szCs w:val="24"/>
        </w:rPr>
        <w:t>comes</w:t>
      </w:r>
      <w:proofErr w:type="gramEnd"/>
      <w:r w:rsidRPr="00827A97">
        <w:rPr>
          <w:rFonts w:ascii="Arial" w:hAnsi="Arial" w:cs="Arial"/>
          <w:sz w:val="24"/>
          <w:szCs w:val="24"/>
        </w:rPr>
        <w:t xml:space="preserve"> from resources that are Valuable, Rare, Inimitable, and Organised (VRIO). While the model assumes resource immobility, it still provides a useful lens for evaluating Nissan's internal capabilities.</w:t>
      </w:r>
    </w:p>
    <w:tbl>
      <w:tblPr>
        <w:tblStyle w:val="TableGrid"/>
        <w:tblW w:w="10080" w:type="dxa"/>
        <w:tblInd w:w="-185" w:type="dxa"/>
        <w:tblLayout w:type="fixed"/>
        <w:tblLook w:val="04A0" w:firstRow="1" w:lastRow="0" w:firstColumn="1" w:lastColumn="0" w:noHBand="0" w:noVBand="1"/>
      </w:tblPr>
      <w:tblGrid>
        <w:gridCol w:w="2610"/>
        <w:gridCol w:w="1080"/>
        <w:gridCol w:w="720"/>
        <w:gridCol w:w="1170"/>
        <w:gridCol w:w="1260"/>
        <w:gridCol w:w="3240"/>
      </w:tblGrid>
      <w:tr w:rsidR="00827A97" w14:paraId="158838FF" w14:textId="77777777" w:rsidTr="009A2FE5">
        <w:tc>
          <w:tcPr>
            <w:tcW w:w="2610" w:type="dxa"/>
            <w:shd w:val="clear" w:color="auto" w:fill="F6C5AC" w:themeFill="accent2" w:themeFillTint="66"/>
          </w:tcPr>
          <w:p w14:paraId="0BAAEC4A" w14:textId="602DE463" w:rsidR="00827A97" w:rsidRPr="00827A97" w:rsidRDefault="00827A97" w:rsidP="008B2C07">
            <w:pPr>
              <w:rPr>
                <w:lang w:eastAsia="en-GB"/>
              </w:rPr>
            </w:pPr>
            <w:r w:rsidRPr="00827A97">
              <w:t>Resource/Capability</w:t>
            </w:r>
          </w:p>
        </w:tc>
        <w:tc>
          <w:tcPr>
            <w:tcW w:w="1080" w:type="dxa"/>
            <w:shd w:val="clear" w:color="auto" w:fill="F6C5AC" w:themeFill="accent2" w:themeFillTint="66"/>
          </w:tcPr>
          <w:p w14:paraId="37378EFA" w14:textId="2FCB4B8C" w:rsidR="00827A97" w:rsidRPr="00827A97" w:rsidRDefault="00827A97" w:rsidP="008B2C07">
            <w:pPr>
              <w:rPr>
                <w:lang w:eastAsia="en-GB"/>
              </w:rPr>
            </w:pPr>
            <w:r w:rsidRPr="00827A97">
              <w:t>Valuable</w:t>
            </w:r>
          </w:p>
        </w:tc>
        <w:tc>
          <w:tcPr>
            <w:tcW w:w="720" w:type="dxa"/>
            <w:shd w:val="clear" w:color="auto" w:fill="F6C5AC" w:themeFill="accent2" w:themeFillTint="66"/>
          </w:tcPr>
          <w:p w14:paraId="6974DA38" w14:textId="1A1AC3DC" w:rsidR="00827A97" w:rsidRPr="00827A97" w:rsidRDefault="00827A97" w:rsidP="008B2C07">
            <w:pPr>
              <w:rPr>
                <w:lang w:eastAsia="en-GB"/>
              </w:rPr>
            </w:pPr>
            <w:r w:rsidRPr="00827A97">
              <w:t>Rare</w:t>
            </w:r>
          </w:p>
        </w:tc>
        <w:tc>
          <w:tcPr>
            <w:tcW w:w="1170" w:type="dxa"/>
            <w:shd w:val="clear" w:color="auto" w:fill="F6C5AC" w:themeFill="accent2" w:themeFillTint="66"/>
          </w:tcPr>
          <w:p w14:paraId="42E48889" w14:textId="31C15C5C" w:rsidR="00827A97" w:rsidRPr="00827A97" w:rsidRDefault="00827A97" w:rsidP="008B2C07">
            <w:pPr>
              <w:rPr>
                <w:lang w:eastAsia="en-GB"/>
              </w:rPr>
            </w:pPr>
            <w:r w:rsidRPr="00827A97">
              <w:t>Inimitable</w:t>
            </w:r>
          </w:p>
        </w:tc>
        <w:tc>
          <w:tcPr>
            <w:tcW w:w="1260" w:type="dxa"/>
            <w:shd w:val="clear" w:color="auto" w:fill="F6C5AC" w:themeFill="accent2" w:themeFillTint="66"/>
          </w:tcPr>
          <w:p w14:paraId="5456C2B7" w14:textId="53571365" w:rsidR="00827A97" w:rsidRPr="00827A97" w:rsidRDefault="00827A97" w:rsidP="008B2C07">
            <w:pPr>
              <w:rPr>
                <w:lang w:eastAsia="en-GB"/>
              </w:rPr>
            </w:pPr>
            <w:r w:rsidRPr="00827A97">
              <w:rPr>
                <w:lang w:eastAsia="en-GB"/>
              </w:rPr>
              <w:t>Organised</w:t>
            </w:r>
          </w:p>
        </w:tc>
        <w:tc>
          <w:tcPr>
            <w:tcW w:w="3240" w:type="dxa"/>
            <w:shd w:val="clear" w:color="auto" w:fill="F6C5AC" w:themeFill="accent2" w:themeFillTint="66"/>
          </w:tcPr>
          <w:p w14:paraId="1F78C33E" w14:textId="544F0739" w:rsidR="00827A97" w:rsidRPr="00827A97" w:rsidRDefault="00827A97" w:rsidP="008B2C07">
            <w:pPr>
              <w:rPr>
                <w:lang w:eastAsia="en-GB"/>
              </w:rPr>
            </w:pPr>
            <w:r w:rsidRPr="00827A97">
              <w:rPr>
                <w:lang w:eastAsia="en-GB"/>
              </w:rPr>
              <w:t>Competitive Implication</w:t>
            </w:r>
          </w:p>
        </w:tc>
      </w:tr>
      <w:tr w:rsidR="0031772F" w14:paraId="2B405174" w14:textId="77777777" w:rsidTr="009A2FE5">
        <w:tc>
          <w:tcPr>
            <w:tcW w:w="2610" w:type="dxa"/>
          </w:tcPr>
          <w:p w14:paraId="25FF451D" w14:textId="5546EABE" w:rsidR="0031772F" w:rsidRPr="00827A97" w:rsidRDefault="0031772F" w:rsidP="00F0033E">
            <w:pPr>
              <w:rPr>
                <w:lang w:eastAsia="en-GB"/>
              </w:rPr>
            </w:pPr>
            <w:r w:rsidRPr="00827A97">
              <w:rPr>
                <w:lang w:eastAsia="en-GB"/>
              </w:rPr>
              <w:t>Sunderland Manufacturing Plant</w:t>
            </w:r>
          </w:p>
        </w:tc>
        <w:tc>
          <w:tcPr>
            <w:tcW w:w="1080" w:type="dxa"/>
          </w:tcPr>
          <w:p w14:paraId="4D0B1F09" w14:textId="4984961A" w:rsidR="0031772F" w:rsidRPr="0031772F" w:rsidRDefault="0031772F" w:rsidP="00F0033E">
            <w:pPr>
              <w:rPr>
                <w:lang w:eastAsia="en-GB"/>
              </w:rPr>
            </w:pPr>
            <w:r w:rsidRPr="0031772F">
              <w:rPr>
                <w:lang w:eastAsia="en-GB"/>
              </w:rPr>
              <w:t>Yes</w:t>
            </w:r>
          </w:p>
        </w:tc>
        <w:tc>
          <w:tcPr>
            <w:tcW w:w="720" w:type="dxa"/>
          </w:tcPr>
          <w:p w14:paraId="3EB26A45" w14:textId="46E360FC" w:rsidR="0031772F" w:rsidRDefault="0031772F" w:rsidP="00F0033E">
            <w:pPr>
              <w:rPr>
                <w:lang w:eastAsia="en-GB"/>
              </w:rPr>
            </w:pPr>
            <w:r w:rsidRPr="004436E5">
              <w:rPr>
                <w:lang w:eastAsia="en-GB"/>
              </w:rPr>
              <w:t>Yes</w:t>
            </w:r>
          </w:p>
        </w:tc>
        <w:tc>
          <w:tcPr>
            <w:tcW w:w="1170" w:type="dxa"/>
          </w:tcPr>
          <w:p w14:paraId="5DA3B647" w14:textId="1C0C84F5" w:rsidR="0031772F" w:rsidRDefault="0031772F" w:rsidP="00F0033E">
            <w:pPr>
              <w:rPr>
                <w:lang w:eastAsia="en-GB"/>
              </w:rPr>
            </w:pPr>
            <w:r w:rsidRPr="004436E5">
              <w:rPr>
                <w:lang w:eastAsia="en-GB"/>
              </w:rPr>
              <w:t>Yes</w:t>
            </w:r>
          </w:p>
        </w:tc>
        <w:tc>
          <w:tcPr>
            <w:tcW w:w="1260" w:type="dxa"/>
          </w:tcPr>
          <w:p w14:paraId="6C949A22" w14:textId="27556394" w:rsidR="0031772F" w:rsidRDefault="0031772F" w:rsidP="00F0033E">
            <w:pPr>
              <w:rPr>
                <w:lang w:eastAsia="en-GB"/>
              </w:rPr>
            </w:pPr>
            <w:r w:rsidRPr="004436E5">
              <w:rPr>
                <w:lang w:eastAsia="en-GB"/>
              </w:rPr>
              <w:t>Yes</w:t>
            </w:r>
          </w:p>
        </w:tc>
        <w:tc>
          <w:tcPr>
            <w:tcW w:w="3240" w:type="dxa"/>
          </w:tcPr>
          <w:p w14:paraId="1BE9EA1D" w14:textId="7A71736B" w:rsidR="0031772F" w:rsidRPr="0031772F" w:rsidRDefault="0031772F" w:rsidP="00F0033E">
            <w:pPr>
              <w:rPr>
                <w:lang w:eastAsia="en-GB"/>
              </w:rPr>
            </w:pPr>
            <w:r w:rsidRPr="0031772F">
              <w:rPr>
                <w:lang w:eastAsia="en-GB"/>
              </w:rPr>
              <w:t>Temporary Competitive Advantage</w:t>
            </w:r>
          </w:p>
        </w:tc>
      </w:tr>
      <w:tr w:rsidR="0031772F" w14:paraId="4DF98FF5" w14:textId="77777777" w:rsidTr="009A2FE5">
        <w:tc>
          <w:tcPr>
            <w:tcW w:w="2610" w:type="dxa"/>
          </w:tcPr>
          <w:p w14:paraId="5D818C81" w14:textId="1B167FCF" w:rsidR="0031772F" w:rsidRPr="00827A97" w:rsidRDefault="0031772F" w:rsidP="00F0033E">
            <w:pPr>
              <w:rPr>
                <w:lang w:eastAsia="en-GB"/>
              </w:rPr>
            </w:pPr>
            <w:r w:rsidRPr="00827A97">
              <w:rPr>
                <w:lang w:eastAsia="en-GB"/>
              </w:rPr>
              <w:t>EV36Zero Ecosystem</w:t>
            </w:r>
          </w:p>
        </w:tc>
        <w:tc>
          <w:tcPr>
            <w:tcW w:w="1080" w:type="dxa"/>
          </w:tcPr>
          <w:p w14:paraId="4DF82800" w14:textId="251A8496" w:rsidR="0031772F" w:rsidRPr="0031772F" w:rsidRDefault="0031772F" w:rsidP="00F0033E">
            <w:pPr>
              <w:rPr>
                <w:lang w:eastAsia="en-GB"/>
              </w:rPr>
            </w:pPr>
            <w:r w:rsidRPr="0031772F">
              <w:rPr>
                <w:lang w:eastAsia="en-GB"/>
              </w:rPr>
              <w:t>Yes</w:t>
            </w:r>
          </w:p>
        </w:tc>
        <w:tc>
          <w:tcPr>
            <w:tcW w:w="720" w:type="dxa"/>
          </w:tcPr>
          <w:p w14:paraId="44235A7F" w14:textId="799AE819" w:rsidR="0031772F" w:rsidRDefault="0031772F" w:rsidP="00F0033E">
            <w:pPr>
              <w:rPr>
                <w:lang w:eastAsia="en-GB"/>
              </w:rPr>
            </w:pPr>
            <w:r w:rsidRPr="005C3392">
              <w:rPr>
                <w:lang w:eastAsia="en-GB"/>
              </w:rPr>
              <w:t>Yes</w:t>
            </w:r>
          </w:p>
        </w:tc>
        <w:tc>
          <w:tcPr>
            <w:tcW w:w="1170" w:type="dxa"/>
          </w:tcPr>
          <w:p w14:paraId="1B539374" w14:textId="46C70F74" w:rsidR="0031772F" w:rsidRDefault="0031772F" w:rsidP="00F0033E">
            <w:pPr>
              <w:rPr>
                <w:lang w:eastAsia="en-GB"/>
              </w:rPr>
            </w:pPr>
            <w:r w:rsidRPr="005C3392">
              <w:rPr>
                <w:lang w:eastAsia="en-GB"/>
              </w:rPr>
              <w:t>Yes</w:t>
            </w:r>
          </w:p>
        </w:tc>
        <w:tc>
          <w:tcPr>
            <w:tcW w:w="1260" w:type="dxa"/>
          </w:tcPr>
          <w:p w14:paraId="704C9065" w14:textId="5DA89F18" w:rsidR="0031772F" w:rsidRDefault="0031772F" w:rsidP="00F0033E">
            <w:pPr>
              <w:rPr>
                <w:lang w:eastAsia="en-GB"/>
              </w:rPr>
            </w:pPr>
            <w:r w:rsidRPr="005C3392">
              <w:rPr>
                <w:lang w:eastAsia="en-GB"/>
              </w:rPr>
              <w:t>Yes</w:t>
            </w:r>
          </w:p>
        </w:tc>
        <w:tc>
          <w:tcPr>
            <w:tcW w:w="3240" w:type="dxa"/>
          </w:tcPr>
          <w:p w14:paraId="444C68EE" w14:textId="2A6FB30D" w:rsidR="0031772F" w:rsidRPr="0031772F" w:rsidRDefault="0031772F" w:rsidP="00F0033E">
            <w:pPr>
              <w:rPr>
                <w:lang w:eastAsia="en-GB"/>
              </w:rPr>
            </w:pPr>
            <w:r w:rsidRPr="0031772F">
              <w:rPr>
                <w:lang w:eastAsia="en-GB"/>
              </w:rPr>
              <w:t>Sustained Competitive Advantage</w:t>
            </w:r>
          </w:p>
        </w:tc>
      </w:tr>
      <w:tr w:rsidR="00827A97" w14:paraId="3EAC13EC" w14:textId="77777777" w:rsidTr="009A2FE5">
        <w:tc>
          <w:tcPr>
            <w:tcW w:w="2610" w:type="dxa"/>
          </w:tcPr>
          <w:p w14:paraId="7A148AE2" w14:textId="61DC912A" w:rsidR="00827A97" w:rsidRPr="00827A97" w:rsidRDefault="00827A97" w:rsidP="00F0033E">
            <w:pPr>
              <w:rPr>
                <w:lang w:eastAsia="en-GB"/>
              </w:rPr>
            </w:pPr>
            <w:r w:rsidRPr="00827A97">
              <w:rPr>
                <w:lang w:eastAsia="en-GB"/>
              </w:rPr>
              <w:t>Nissan Production Way (Kaizen)</w:t>
            </w:r>
          </w:p>
        </w:tc>
        <w:tc>
          <w:tcPr>
            <w:tcW w:w="1080" w:type="dxa"/>
          </w:tcPr>
          <w:p w14:paraId="0120FAFD" w14:textId="055D318F" w:rsidR="00827A97" w:rsidRPr="0031772F" w:rsidRDefault="00827A97" w:rsidP="00F0033E">
            <w:pPr>
              <w:rPr>
                <w:lang w:eastAsia="en-GB"/>
              </w:rPr>
            </w:pPr>
            <w:r w:rsidRPr="0031772F">
              <w:rPr>
                <w:lang w:eastAsia="en-GB"/>
              </w:rPr>
              <w:t>Yes</w:t>
            </w:r>
          </w:p>
        </w:tc>
        <w:tc>
          <w:tcPr>
            <w:tcW w:w="720" w:type="dxa"/>
          </w:tcPr>
          <w:p w14:paraId="69496B30" w14:textId="59F6793C" w:rsidR="00827A97" w:rsidRDefault="0031772F" w:rsidP="00F0033E">
            <w:pPr>
              <w:rPr>
                <w:lang w:eastAsia="en-GB"/>
              </w:rPr>
            </w:pPr>
            <w:r>
              <w:rPr>
                <w:lang w:eastAsia="en-GB"/>
              </w:rPr>
              <w:t>No</w:t>
            </w:r>
          </w:p>
        </w:tc>
        <w:tc>
          <w:tcPr>
            <w:tcW w:w="1170" w:type="dxa"/>
          </w:tcPr>
          <w:p w14:paraId="40A201E1" w14:textId="1253C9D2" w:rsidR="00827A97" w:rsidRDefault="0031772F" w:rsidP="00F0033E">
            <w:pPr>
              <w:rPr>
                <w:lang w:eastAsia="en-GB"/>
              </w:rPr>
            </w:pPr>
            <w:r>
              <w:rPr>
                <w:lang w:eastAsia="en-GB"/>
              </w:rPr>
              <w:t>No</w:t>
            </w:r>
          </w:p>
        </w:tc>
        <w:tc>
          <w:tcPr>
            <w:tcW w:w="1260" w:type="dxa"/>
          </w:tcPr>
          <w:p w14:paraId="222EFA31" w14:textId="2DE6DAA7" w:rsidR="00827A97" w:rsidRDefault="0031772F" w:rsidP="00F0033E">
            <w:pPr>
              <w:rPr>
                <w:lang w:eastAsia="en-GB"/>
              </w:rPr>
            </w:pPr>
            <w:r w:rsidRPr="0031772F">
              <w:rPr>
                <w:lang w:eastAsia="en-GB"/>
              </w:rPr>
              <w:t>Yes</w:t>
            </w:r>
          </w:p>
        </w:tc>
        <w:tc>
          <w:tcPr>
            <w:tcW w:w="3240" w:type="dxa"/>
          </w:tcPr>
          <w:p w14:paraId="1818A7C2" w14:textId="77777777" w:rsidR="0031772F" w:rsidRPr="0031772F" w:rsidRDefault="0031772F" w:rsidP="00F0033E">
            <w:pPr>
              <w:rPr>
                <w:lang w:eastAsia="en-GB"/>
              </w:rPr>
            </w:pPr>
            <w:r w:rsidRPr="0031772F">
              <w:rPr>
                <w:lang w:eastAsia="en-GB"/>
              </w:rPr>
              <w:t>Competitive Parity</w:t>
            </w:r>
          </w:p>
          <w:p w14:paraId="7F410163" w14:textId="77777777" w:rsidR="00827A97" w:rsidRPr="0031772F" w:rsidRDefault="00827A97" w:rsidP="00F0033E">
            <w:pPr>
              <w:rPr>
                <w:lang w:eastAsia="en-GB"/>
              </w:rPr>
            </w:pPr>
          </w:p>
        </w:tc>
      </w:tr>
      <w:tr w:rsidR="0031772F" w14:paraId="5D2DB3D7" w14:textId="77777777" w:rsidTr="009A2FE5">
        <w:tc>
          <w:tcPr>
            <w:tcW w:w="2610" w:type="dxa"/>
          </w:tcPr>
          <w:p w14:paraId="6A8507CB" w14:textId="5B82949A" w:rsidR="0031772F" w:rsidRPr="00827A97" w:rsidRDefault="0031772F" w:rsidP="00F0033E">
            <w:pPr>
              <w:rPr>
                <w:lang w:eastAsia="en-GB"/>
              </w:rPr>
            </w:pPr>
            <w:r w:rsidRPr="00827A97">
              <w:rPr>
                <w:lang w:eastAsia="en-GB"/>
              </w:rPr>
              <w:t>All-Solid-State Battery (ASSB) R&amp;D</w:t>
            </w:r>
          </w:p>
        </w:tc>
        <w:tc>
          <w:tcPr>
            <w:tcW w:w="1080" w:type="dxa"/>
          </w:tcPr>
          <w:p w14:paraId="0C88E665" w14:textId="6342DDDD" w:rsidR="0031772F" w:rsidRPr="0031772F" w:rsidRDefault="0031772F" w:rsidP="00F0033E">
            <w:pPr>
              <w:rPr>
                <w:lang w:eastAsia="en-GB"/>
              </w:rPr>
            </w:pPr>
            <w:r w:rsidRPr="0031772F">
              <w:rPr>
                <w:lang w:eastAsia="en-GB"/>
              </w:rPr>
              <w:t>Yes</w:t>
            </w:r>
          </w:p>
        </w:tc>
        <w:tc>
          <w:tcPr>
            <w:tcW w:w="720" w:type="dxa"/>
          </w:tcPr>
          <w:p w14:paraId="7AFB5687" w14:textId="3E523A47" w:rsidR="0031772F" w:rsidRDefault="0031772F" w:rsidP="00F0033E">
            <w:pPr>
              <w:rPr>
                <w:lang w:eastAsia="en-GB"/>
              </w:rPr>
            </w:pPr>
            <w:r w:rsidRPr="004A3618">
              <w:rPr>
                <w:lang w:eastAsia="en-GB"/>
              </w:rPr>
              <w:t>Yes</w:t>
            </w:r>
          </w:p>
        </w:tc>
        <w:tc>
          <w:tcPr>
            <w:tcW w:w="1170" w:type="dxa"/>
          </w:tcPr>
          <w:p w14:paraId="17336ED5" w14:textId="739280F1" w:rsidR="0031772F" w:rsidRDefault="0031772F" w:rsidP="00F0033E">
            <w:pPr>
              <w:rPr>
                <w:lang w:eastAsia="en-GB"/>
              </w:rPr>
            </w:pPr>
            <w:r w:rsidRPr="004A3618">
              <w:rPr>
                <w:lang w:eastAsia="en-GB"/>
              </w:rPr>
              <w:t>Yes</w:t>
            </w:r>
          </w:p>
        </w:tc>
        <w:tc>
          <w:tcPr>
            <w:tcW w:w="1260" w:type="dxa"/>
          </w:tcPr>
          <w:p w14:paraId="2B2FA989" w14:textId="5669A4DF" w:rsidR="0031772F" w:rsidRDefault="0031772F" w:rsidP="00F0033E">
            <w:pPr>
              <w:rPr>
                <w:lang w:eastAsia="en-GB"/>
              </w:rPr>
            </w:pPr>
            <w:r w:rsidRPr="004A3618">
              <w:rPr>
                <w:lang w:eastAsia="en-GB"/>
              </w:rPr>
              <w:t>Yes</w:t>
            </w:r>
          </w:p>
        </w:tc>
        <w:tc>
          <w:tcPr>
            <w:tcW w:w="3240" w:type="dxa"/>
          </w:tcPr>
          <w:p w14:paraId="5E87C389" w14:textId="5756D651" w:rsidR="0031772F" w:rsidRPr="0031772F" w:rsidRDefault="0031772F" w:rsidP="00F0033E">
            <w:pPr>
              <w:rPr>
                <w:lang w:eastAsia="en-GB"/>
              </w:rPr>
            </w:pPr>
            <w:r w:rsidRPr="0031772F">
              <w:rPr>
                <w:lang w:eastAsia="en-GB"/>
              </w:rPr>
              <w:t>Sustained Competitive Advantage</w:t>
            </w:r>
          </w:p>
        </w:tc>
      </w:tr>
    </w:tbl>
    <w:p w14:paraId="09B70882" w14:textId="77777777" w:rsidR="00F0033E" w:rsidRDefault="00F0033E" w:rsidP="00F0033E">
      <w:pPr>
        <w:rPr>
          <w:i/>
          <w:iCs/>
          <w:color w:val="747474" w:themeColor="background2" w:themeShade="80"/>
          <w:lang w:eastAsia="en-GB"/>
        </w:rPr>
      </w:pPr>
    </w:p>
    <w:p w14:paraId="7898744E" w14:textId="41C3A5A8" w:rsidR="00827A97" w:rsidRDefault="00E27A9A" w:rsidP="00F0033E">
      <w:pPr>
        <w:jc w:val="center"/>
        <w:rPr>
          <w:i/>
          <w:iCs/>
          <w:color w:val="747474" w:themeColor="background2" w:themeShade="80"/>
          <w:lang w:eastAsia="en-GB"/>
        </w:rPr>
      </w:pPr>
      <w:r w:rsidRPr="00E27A9A">
        <w:rPr>
          <w:i/>
          <w:iCs/>
          <w:color w:val="747474" w:themeColor="background2" w:themeShade="80"/>
          <w:lang w:eastAsia="en-GB"/>
        </w:rPr>
        <w:t>Source: By author</w:t>
      </w:r>
    </w:p>
    <w:p w14:paraId="7B31E2E3" w14:textId="77777777" w:rsidR="00E27A9A" w:rsidRPr="00E27A9A" w:rsidRDefault="00E27A9A" w:rsidP="00E27A9A">
      <w:pPr>
        <w:rPr>
          <w:lang w:eastAsia="en-GB"/>
        </w:rPr>
      </w:pPr>
    </w:p>
    <w:p w14:paraId="7B8FDD74" w14:textId="4E4FDE35" w:rsidR="00DD0EC7" w:rsidRPr="0031772F" w:rsidRDefault="0031772F" w:rsidP="0031772F">
      <w:pPr>
        <w:spacing w:line="360" w:lineRule="auto"/>
        <w:jc w:val="both"/>
        <w:rPr>
          <w:rFonts w:ascii="Arial" w:hAnsi="Arial" w:cs="Arial"/>
          <w:sz w:val="24"/>
          <w:szCs w:val="24"/>
        </w:rPr>
      </w:pPr>
      <w:r w:rsidRPr="0031772F">
        <w:rPr>
          <w:rFonts w:ascii="Arial" w:hAnsi="Arial" w:cs="Arial"/>
          <w:sz w:val="24"/>
          <w:szCs w:val="24"/>
        </w:rPr>
        <w:t xml:space="preserve">Its EV36Zero offers the most important asset of Nissan because the site will combine car manufacture, battery manufacture and renewable energy in micro-grid form, so generating a causally ambiguous path-dependent ability that is very challenging to replicate (Gouveia, Wnukowski et al., 2024), whilst its ASSB R&amp;D holds important promise as it introduces the opportunity for new capabilities for changing the EV value proposition </w:t>
      </w:r>
      <w:r w:rsidR="00F800DE" w:rsidRPr="00F800DE">
        <w:rPr>
          <w:rFonts w:ascii="Arial" w:hAnsi="Arial" w:cs="Arial"/>
          <w:sz w:val="24"/>
          <w:szCs w:val="24"/>
        </w:rPr>
        <w:t>(Shon, Kim and Kim, 2026)</w:t>
      </w:r>
      <w:r w:rsidRPr="0031772F">
        <w:rPr>
          <w:rFonts w:ascii="Arial" w:hAnsi="Arial" w:cs="Arial"/>
          <w:sz w:val="24"/>
          <w:szCs w:val="24"/>
        </w:rPr>
        <w:t>.</w:t>
      </w:r>
    </w:p>
    <w:p w14:paraId="162F5585" w14:textId="77777777" w:rsidR="00121CB7" w:rsidRDefault="00121CB7"/>
    <w:p w14:paraId="743F83A3" w14:textId="52DC536D" w:rsidR="0031772F" w:rsidRPr="00995A54" w:rsidRDefault="0031772F" w:rsidP="00995A54">
      <w:pPr>
        <w:pStyle w:val="Heading2"/>
        <w:numPr>
          <w:ilvl w:val="1"/>
          <w:numId w:val="10"/>
        </w:numPr>
      </w:pPr>
      <w:bookmarkStart w:id="11" w:name="_Toc225015648"/>
      <w:r w:rsidRPr="00995A54">
        <w:t>SWOT Synthesis</w:t>
      </w:r>
      <w:bookmarkEnd w:id="11"/>
    </w:p>
    <w:p w14:paraId="10D306F8" w14:textId="77777777" w:rsidR="0031772F" w:rsidRPr="0031772F" w:rsidRDefault="0031772F" w:rsidP="0031772F"/>
    <w:p w14:paraId="697BC270" w14:textId="480A2ECB" w:rsidR="00B91D86" w:rsidRPr="00E54A89" w:rsidRDefault="00B91D86" w:rsidP="00E54A89">
      <w:pPr>
        <w:spacing w:line="360" w:lineRule="auto"/>
        <w:jc w:val="both"/>
        <w:rPr>
          <w:rFonts w:ascii="Arial" w:hAnsi="Arial" w:cs="Arial"/>
          <w:sz w:val="24"/>
          <w:szCs w:val="24"/>
        </w:rPr>
      </w:pPr>
      <w:r w:rsidRPr="00E54A89">
        <w:rPr>
          <w:rFonts w:ascii="Arial" w:hAnsi="Arial" w:cs="Arial"/>
          <w:sz w:val="24"/>
          <w:szCs w:val="24"/>
        </w:rPr>
        <w:lastRenderedPageBreak/>
        <w:t>A powerful strategic analysis must bring together the internal and external audit to produce workable cross-quadrant conclusions (Johnson et al., 2023).</w:t>
      </w:r>
    </w:p>
    <w:p w14:paraId="20D229BF" w14:textId="011BBD9B" w:rsidR="00B91D86" w:rsidRPr="00E54A89" w:rsidRDefault="00B91D86" w:rsidP="00E54A89">
      <w:pPr>
        <w:spacing w:line="360" w:lineRule="auto"/>
        <w:jc w:val="both"/>
        <w:rPr>
          <w:rFonts w:ascii="Arial" w:hAnsi="Arial" w:cs="Arial"/>
          <w:sz w:val="24"/>
          <w:szCs w:val="24"/>
        </w:rPr>
      </w:pPr>
      <w:r w:rsidRPr="00E54A89">
        <w:rPr>
          <w:rFonts w:ascii="Arial" w:hAnsi="Arial" w:cs="Arial"/>
          <w:i/>
          <w:iCs/>
          <w:sz w:val="24"/>
          <w:szCs w:val="24"/>
        </w:rPr>
        <w:t>Strengths Opportunities (SO</w:t>
      </w:r>
      <w:r w:rsidRPr="00E54A89">
        <w:rPr>
          <w:rFonts w:ascii="Arial" w:hAnsi="Arial" w:cs="Arial"/>
          <w:sz w:val="24"/>
          <w:szCs w:val="24"/>
        </w:rPr>
        <w:t>): Nissan should use core competences in its EV36Zero manufacturing system to capture opportunities opened by the UK ZEV mandate (Department for Transport, 202</w:t>
      </w:r>
      <w:r w:rsidR="00076237">
        <w:rPr>
          <w:rFonts w:ascii="Arial" w:hAnsi="Arial" w:cs="Arial"/>
          <w:sz w:val="24"/>
          <w:szCs w:val="24"/>
        </w:rPr>
        <w:t>3</w:t>
      </w:r>
      <w:r w:rsidRPr="00E54A89">
        <w:rPr>
          <w:rFonts w:ascii="Arial" w:hAnsi="Arial" w:cs="Arial"/>
          <w:sz w:val="24"/>
          <w:szCs w:val="24"/>
        </w:rPr>
        <w:t>). Scaled production of the next generation LEAF out of this zero-carbon footprint facility would be able to capture the rapidly growing domestic EV market whilst also appealing to other ethically inclined consumers.</w:t>
      </w:r>
    </w:p>
    <w:p w14:paraId="112A1128" w14:textId="736809AF" w:rsidR="00B91D86" w:rsidRPr="00E54A89" w:rsidRDefault="00B91D86" w:rsidP="00E54A89">
      <w:pPr>
        <w:spacing w:line="360" w:lineRule="auto"/>
        <w:jc w:val="both"/>
        <w:rPr>
          <w:rFonts w:ascii="Arial" w:hAnsi="Arial" w:cs="Arial"/>
          <w:sz w:val="24"/>
          <w:szCs w:val="24"/>
        </w:rPr>
      </w:pPr>
      <w:r w:rsidRPr="00E54A89">
        <w:rPr>
          <w:rFonts w:ascii="Arial" w:hAnsi="Arial" w:cs="Arial"/>
          <w:i/>
          <w:iCs/>
          <w:sz w:val="24"/>
          <w:szCs w:val="24"/>
        </w:rPr>
        <w:t>Strengths - Threats (ST):</w:t>
      </w:r>
      <w:r w:rsidRPr="00E54A89">
        <w:rPr>
          <w:rFonts w:ascii="Arial" w:hAnsi="Arial" w:cs="Arial"/>
          <w:sz w:val="24"/>
          <w:szCs w:val="24"/>
        </w:rPr>
        <w:t xml:space="preserve"> How can Nissan mitigate against the quite aggressive threat posed by new EV entrant brands at the budget end of the market (ACEA, 2025)? Clearly such direct competition cannot be fought on price, so Nissan will have to set the technological standards through ASSB R&amp;D to justify a price differential that lifts them outside of the standard lithium-ion pack market/brands.</w:t>
      </w:r>
    </w:p>
    <w:p w14:paraId="6C3B07EE" w14:textId="5178A200" w:rsidR="00B91D86" w:rsidRPr="00E54A89" w:rsidRDefault="00B91D86" w:rsidP="00E54A89">
      <w:pPr>
        <w:spacing w:line="360" w:lineRule="auto"/>
        <w:jc w:val="both"/>
        <w:rPr>
          <w:rFonts w:ascii="Arial" w:hAnsi="Arial" w:cs="Arial"/>
          <w:sz w:val="24"/>
          <w:szCs w:val="24"/>
        </w:rPr>
      </w:pPr>
      <w:r w:rsidRPr="00E54A89">
        <w:rPr>
          <w:rFonts w:ascii="Arial" w:hAnsi="Arial" w:cs="Arial"/>
          <w:sz w:val="24"/>
          <w:szCs w:val="24"/>
        </w:rPr>
        <w:t xml:space="preserve"> </w:t>
      </w:r>
      <w:r w:rsidRPr="00E54A89">
        <w:rPr>
          <w:rFonts w:ascii="Arial" w:hAnsi="Arial" w:cs="Arial"/>
          <w:i/>
          <w:iCs/>
          <w:sz w:val="24"/>
          <w:szCs w:val="24"/>
        </w:rPr>
        <w:t>Weaknesses Opportunities (WO):</w:t>
      </w:r>
      <w:r w:rsidRPr="00E54A89">
        <w:rPr>
          <w:rFonts w:ascii="Arial" w:hAnsi="Arial" w:cs="Arial"/>
          <w:sz w:val="24"/>
          <w:szCs w:val="24"/>
        </w:rPr>
        <w:t xml:space="preserve">  A weakness regarding a slightly aged product line could be remedied by applying some circular economy thinking about how they might be manufactured differently (Ravi and </w:t>
      </w:r>
      <w:r w:rsidR="00CA6D55">
        <w:rPr>
          <w:rFonts w:ascii="Arial" w:hAnsi="Arial" w:cs="Arial"/>
          <w:sz w:val="24"/>
          <w:szCs w:val="24"/>
        </w:rPr>
        <w:t>Aziz</w:t>
      </w:r>
      <w:r w:rsidRPr="00E54A89">
        <w:rPr>
          <w:rFonts w:ascii="Arial" w:hAnsi="Arial" w:cs="Arial"/>
          <w:sz w:val="24"/>
          <w:szCs w:val="24"/>
        </w:rPr>
        <w:t xml:space="preserve">, 2022). Nissan could refresh their (rightly) ageing brand as the electric-as-standard premium vehicle with V2G and battery recycling and on fleet services. </w:t>
      </w:r>
    </w:p>
    <w:p w14:paraId="16DC0BA7" w14:textId="4029743B" w:rsidR="00121CB7" w:rsidRPr="00E54A89" w:rsidRDefault="00B91D86" w:rsidP="00E54A89">
      <w:pPr>
        <w:spacing w:line="360" w:lineRule="auto"/>
        <w:jc w:val="both"/>
        <w:rPr>
          <w:rFonts w:ascii="Arial" w:hAnsi="Arial" w:cs="Arial"/>
          <w:sz w:val="24"/>
          <w:szCs w:val="24"/>
        </w:rPr>
      </w:pPr>
      <w:r w:rsidRPr="00E54A89">
        <w:rPr>
          <w:rFonts w:ascii="Arial" w:hAnsi="Arial" w:cs="Arial"/>
          <w:i/>
          <w:iCs/>
          <w:sz w:val="24"/>
          <w:szCs w:val="24"/>
        </w:rPr>
        <w:t>Weaknesses Threats (WT):</w:t>
      </w:r>
      <w:r w:rsidRPr="00E54A89">
        <w:rPr>
          <w:rFonts w:ascii="Arial" w:hAnsi="Arial" w:cs="Arial"/>
          <w:sz w:val="24"/>
          <w:szCs w:val="24"/>
        </w:rPr>
        <w:t xml:space="preserve"> Pretty much an existential threat. Alongside the need to justify further investment in their 2000-unit breakeven Sunderland line comes the problem of the over-dependency on EU exports as the Brexit 'rules-of-origin' deal means that without localised supply chain inputs then that particular business model will literally die on its feet when the tariffs are applied (Bailey and de </w:t>
      </w:r>
      <w:proofErr w:type="spellStart"/>
      <w:r w:rsidRPr="00E54A89">
        <w:rPr>
          <w:rFonts w:ascii="Arial" w:hAnsi="Arial" w:cs="Arial"/>
          <w:sz w:val="24"/>
          <w:szCs w:val="24"/>
        </w:rPr>
        <w:t>Propris</w:t>
      </w:r>
      <w:proofErr w:type="spellEnd"/>
      <w:r w:rsidRPr="00E54A89">
        <w:rPr>
          <w:rFonts w:ascii="Arial" w:hAnsi="Arial" w:cs="Arial"/>
          <w:sz w:val="24"/>
          <w:szCs w:val="24"/>
        </w:rPr>
        <w:t>, 20</w:t>
      </w:r>
      <w:r w:rsidR="00076237">
        <w:rPr>
          <w:rFonts w:ascii="Arial" w:hAnsi="Arial" w:cs="Arial"/>
          <w:sz w:val="24"/>
          <w:szCs w:val="24"/>
        </w:rPr>
        <w:t>17</w:t>
      </w:r>
      <w:r w:rsidRPr="00E54A89">
        <w:rPr>
          <w:rFonts w:ascii="Arial" w:hAnsi="Arial" w:cs="Arial"/>
          <w:sz w:val="24"/>
          <w:szCs w:val="24"/>
        </w:rPr>
        <w:t>).</w:t>
      </w:r>
    </w:p>
    <w:p w14:paraId="2E7FE405" w14:textId="77777777" w:rsidR="00121CB7" w:rsidRDefault="00121CB7"/>
    <w:p w14:paraId="07E76F0E" w14:textId="73E0AEFD" w:rsidR="00E54A89" w:rsidRPr="001D3811" w:rsidRDefault="00E54A89" w:rsidP="001D3811">
      <w:pPr>
        <w:pStyle w:val="Heading1"/>
        <w:numPr>
          <w:ilvl w:val="0"/>
          <w:numId w:val="6"/>
        </w:numPr>
        <w:rPr>
          <w:b/>
          <w:bCs/>
        </w:rPr>
      </w:pPr>
      <w:bookmarkStart w:id="12" w:name="_Toc225015649"/>
      <w:r w:rsidRPr="001D3811">
        <w:rPr>
          <w:b/>
          <w:bCs/>
        </w:rPr>
        <w:t>Strategy Formulation</w:t>
      </w:r>
      <w:bookmarkEnd w:id="12"/>
    </w:p>
    <w:p w14:paraId="356D956C" w14:textId="77777777" w:rsidR="00E54A89" w:rsidRPr="00E54A89" w:rsidRDefault="00E54A89" w:rsidP="00E54A89"/>
    <w:p w14:paraId="5FA6762E" w14:textId="77777777" w:rsidR="00E54A89" w:rsidRDefault="00E54A89" w:rsidP="00E54A89">
      <w:pPr>
        <w:spacing w:line="360" w:lineRule="auto"/>
        <w:jc w:val="both"/>
        <w:rPr>
          <w:rFonts w:ascii="Arial" w:hAnsi="Arial" w:cs="Arial"/>
          <w:sz w:val="24"/>
          <w:szCs w:val="24"/>
        </w:rPr>
      </w:pPr>
      <w:r w:rsidRPr="00E54A89">
        <w:rPr>
          <w:rFonts w:ascii="Arial" w:hAnsi="Arial" w:cs="Arial"/>
          <w:sz w:val="24"/>
          <w:szCs w:val="24"/>
        </w:rPr>
        <w:t>Nissan UK can't compete on cost with heavily subsidised Chinese EV manufacturers. Using Porter's Generic Strategy (Johnson et al., 2023), it can be argued they need to pursue a Differentiation strategy leveraging technological superiority and sustainability to create superior value backed up by strategic alliances to address supply chain risks.</w:t>
      </w:r>
    </w:p>
    <w:p w14:paraId="5B3577E6" w14:textId="779732AB" w:rsidR="00E54A89" w:rsidRDefault="00E54A89" w:rsidP="00E54A89">
      <w:pPr>
        <w:spacing w:line="360" w:lineRule="auto"/>
        <w:jc w:val="both"/>
        <w:rPr>
          <w:rFonts w:ascii="Arial" w:hAnsi="Arial" w:cs="Arial"/>
          <w:sz w:val="24"/>
          <w:szCs w:val="24"/>
        </w:rPr>
      </w:pPr>
      <w:r w:rsidRPr="00E54A89">
        <w:rPr>
          <w:rFonts w:ascii="Arial" w:hAnsi="Arial" w:cs="Arial"/>
          <w:sz w:val="24"/>
          <w:szCs w:val="24"/>
        </w:rPr>
        <w:lastRenderedPageBreak/>
        <w:t xml:space="preserve"> ASSB Commercialisation (Product Development) Using Ansoff's Matrix analysis, Nissan must avoid Market Penetration by continuing to offer cheaper alternatives to Chinese cars, entering new markets (Market Development) which would be too capital-intensive given parent company constraints and Diversification away from core competences (too risk-focussed). This leaves Product Development as the most workable growth strategy. Therefore, Nissan must prioritise the commercialization of All-Solid-State Batteries, which would directly address range anxiety and charge time fears among consumers versus normal lithium-ion batteries used by competitors </w:t>
      </w:r>
      <w:r w:rsidR="00F800DE" w:rsidRPr="00F800DE">
        <w:rPr>
          <w:rFonts w:ascii="Arial" w:hAnsi="Arial" w:cs="Arial"/>
          <w:sz w:val="24"/>
          <w:szCs w:val="24"/>
        </w:rPr>
        <w:t>(Shon, Kim and Kim, 2026)</w:t>
      </w:r>
      <w:r w:rsidRPr="00E54A89">
        <w:rPr>
          <w:rFonts w:ascii="Arial" w:hAnsi="Arial" w:cs="Arial"/>
          <w:sz w:val="24"/>
          <w:szCs w:val="24"/>
        </w:rPr>
        <w:t xml:space="preserve">. </w:t>
      </w:r>
    </w:p>
    <w:p w14:paraId="2D1CE502" w14:textId="51BF157F" w:rsidR="00121CB7" w:rsidRDefault="00E54A89" w:rsidP="00E54A89">
      <w:pPr>
        <w:spacing w:line="360" w:lineRule="auto"/>
        <w:jc w:val="both"/>
        <w:rPr>
          <w:rFonts w:ascii="Arial" w:hAnsi="Arial" w:cs="Arial"/>
          <w:sz w:val="24"/>
          <w:szCs w:val="24"/>
        </w:rPr>
      </w:pPr>
      <w:r w:rsidRPr="00E54A89">
        <w:rPr>
          <w:rFonts w:ascii="Arial" w:hAnsi="Arial" w:cs="Arial"/>
          <w:sz w:val="24"/>
          <w:szCs w:val="24"/>
        </w:rPr>
        <w:t>The EV36Zero Unique Selling Point brand Nissan should aggressively market the EV36Zero brand with strong unique selling points</w:t>
      </w:r>
      <w:r w:rsidR="00C70C3C">
        <w:rPr>
          <w:rFonts w:ascii="Arial" w:hAnsi="Arial" w:cs="Arial"/>
          <w:sz w:val="24"/>
          <w:szCs w:val="24"/>
        </w:rPr>
        <w:t xml:space="preserve"> proposition</w:t>
      </w:r>
      <w:r w:rsidRPr="00E54A89">
        <w:rPr>
          <w:rFonts w:ascii="Arial" w:hAnsi="Arial" w:cs="Arial"/>
          <w:sz w:val="24"/>
          <w:szCs w:val="24"/>
        </w:rPr>
        <w:t xml:space="preserve">. The LEAF being made from renewable energy and localised batteries (differentiating it from competitors importing from carbon-intensive supply chains) to appeal to environmentally focused car buyers (Gouveia et al., 2024). Localising the supply chain </w:t>
      </w:r>
      <w:r>
        <w:rPr>
          <w:rFonts w:ascii="Arial" w:hAnsi="Arial" w:cs="Arial"/>
          <w:sz w:val="24"/>
          <w:szCs w:val="24"/>
        </w:rPr>
        <w:t>t</w:t>
      </w:r>
      <w:r w:rsidRPr="00E54A89">
        <w:rPr>
          <w:rFonts w:ascii="Arial" w:hAnsi="Arial" w:cs="Arial"/>
          <w:sz w:val="24"/>
          <w:szCs w:val="24"/>
        </w:rPr>
        <w:t>o comply with EU Rules of Origin and prevent tariff fees, Nissan needs to work with the UK Government to construct a full supply chain for localised EV components, with secondary partnerships as a hedge against raw material geopolitical shocks (Ramos et al., 2024).</w:t>
      </w:r>
    </w:p>
    <w:p w14:paraId="200887B9" w14:textId="17F53E0C" w:rsidR="00C70C3C" w:rsidRPr="001D3811" w:rsidRDefault="00C70C3C" w:rsidP="001D3811">
      <w:pPr>
        <w:pStyle w:val="Heading1"/>
        <w:numPr>
          <w:ilvl w:val="0"/>
          <w:numId w:val="6"/>
        </w:numPr>
        <w:rPr>
          <w:b/>
          <w:bCs/>
        </w:rPr>
      </w:pPr>
      <w:bookmarkStart w:id="13" w:name="_Toc225015650"/>
      <w:r w:rsidRPr="001D3811">
        <w:rPr>
          <w:b/>
          <w:bCs/>
        </w:rPr>
        <w:t>Conclusion and Recommendations</w:t>
      </w:r>
      <w:bookmarkEnd w:id="13"/>
    </w:p>
    <w:p w14:paraId="2CAA2FB7" w14:textId="47FCCEFF" w:rsidR="00C70C3C" w:rsidRDefault="00C70C3C" w:rsidP="00C70C3C">
      <w:pPr>
        <w:spacing w:line="360" w:lineRule="auto"/>
        <w:jc w:val="both"/>
        <w:rPr>
          <w:rFonts w:ascii="Arial" w:hAnsi="Arial" w:cs="Arial"/>
          <w:sz w:val="24"/>
          <w:szCs w:val="24"/>
        </w:rPr>
      </w:pPr>
      <w:r w:rsidRPr="00C70C3C">
        <w:rPr>
          <w:rFonts w:ascii="Arial" w:hAnsi="Arial" w:cs="Arial"/>
          <w:sz w:val="24"/>
          <w:szCs w:val="24"/>
        </w:rPr>
        <w:t>Nissan Motor Manufacturing UK occupies a strategically significant position in the UK automotive sector. Its Ambition 2030 vision and EV36 Zero blueprint show a strong commitment to technological innovation and sustainability</w:t>
      </w:r>
      <w:r w:rsidR="0023346E">
        <w:rPr>
          <w:rFonts w:ascii="Arial" w:hAnsi="Arial" w:cs="Arial"/>
          <w:sz w:val="24"/>
          <w:szCs w:val="24"/>
        </w:rPr>
        <w:t xml:space="preserve"> (</w:t>
      </w:r>
      <w:r w:rsidR="00B3308C">
        <w:rPr>
          <w:rFonts w:ascii="Arial" w:hAnsi="Arial" w:cs="Arial"/>
          <w:sz w:val="24"/>
          <w:szCs w:val="24"/>
        </w:rPr>
        <w:t>Nissan Report, 2024)</w:t>
      </w:r>
      <w:r w:rsidRPr="00C70C3C">
        <w:rPr>
          <w:rFonts w:ascii="Arial" w:hAnsi="Arial" w:cs="Arial"/>
          <w:sz w:val="24"/>
          <w:szCs w:val="24"/>
        </w:rPr>
        <w:t>. However, aggressive Chinese EV competition, post-Brexit trade complexities and parent company financial pressures all threaten the viability of Nissan's long-term strategy</w:t>
      </w:r>
      <w:r w:rsidR="006A0501">
        <w:rPr>
          <w:rFonts w:ascii="Arial" w:hAnsi="Arial" w:cs="Arial"/>
          <w:sz w:val="24"/>
          <w:szCs w:val="24"/>
        </w:rPr>
        <w:t xml:space="preserve"> </w:t>
      </w:r>
      <w:r w:rsidR="006A0501" w:rsidRPr="006A0501">
        <w:rPr>
          <w:rFonts w:ascii="Arial" w:hAnsi="Arial" w:cs="Arial"/>
          <w:sz w:val="24"/>
          <w:szCs w:val="24"/>
        </w:rPr>
        <w:t xml:space="preserve">(Bailey and De </w:t>
      </w:r>
      <w:proofErr w:type="spellStart"/>
      <w:r w:rsidR="006A0501" w:rsidRPr="006A0501">
        <w:rPr>
          <w:rFonts w:ascii="Arial" w:hAnsi="Arial" w:cs="Arial"/>
          <w:sz w:val="24"/>
          <w:szCs w:val="24"/>
        </w:rPr>
        <w:t>Propris</w:t>
      </w:r>
      <w:proofErr w:type="spellEnd"/>
      <w:r w:rsidR="006A0501" w:rsidRPr="006A0501">
        <w:rPr>
          <w:rFonts w:ascii="Arial" w:hAnsi="Arial" w:cs="Arial"/>
          <w:sz w:val="24"/>
          <w:szCs w:val="24"/>
        </w:rPr>
        <w:t>, 2017)</w:t>
      </w:r>
      <w:r w:rsidRPr="00C70C3C">
        <w:rPr>
          <w:rFonts w:ascii="Arial" w:hAnsi="Arial" w:cs="Arial"/>
          <w:sz w:val="24"/>
          <w:szCs w:val="24"/>
        </w:rPr>
        <w:t>.</w:t>
      </w:r>
    </w:p>
    <w:p w14:paraId="0B9DDAC2" w14:textId="24F4E3F8" w:rsidR="001D3811" w:rsidRDefault="001D3811" w:rsidP="00C70C3C">
      <w:pPr>
        <w:spacing w:line="360" w:lineRule="auto"/>
        <w:jc w:val="both"/>
        <w:rPr>
          <w:rFonts w:ascii="Arial" w:hAnsi="Arial" w:cs="Arial"/>
          <w:sz w:val="24"/>
          <w:szCs w:val="24"/>
        </w:rPr>
      </w:pPr>
      <w:r w:rsidRPr="001D3811">
        <w:rPr>
          <w:rFonts w:ascii="Arial" w:hAnsi="Arial" w:cs="Arial"/>
          <w:sz w:val="24"/>
          <w:szCs w:val="24"/>
        </w:rPr>
        <w:t xml:space="preserve">To address these issues, </w:t>
      </w:r>
      <w:r>
        <w:rPr>
          <w:rFonts w:ascii="Arial" w:hAnsi="Arial" w:cs="Arial"/>
          <w:sz w:val="24"/>
          <w:szCs w:val="24"/>
        </w:rPr>
        <w:t>I</w:t>
      </w:r>
      <w:r w:rsidRPr="001D3811">
        <w:rPr>
          <w:rFonts w:ascii="Arial" w:hAnsi="Arial" w:cs="Arial"/>
          <w:sz w:val="24"/>
          <w:szCs w:val="24"/>
        </w:rPr>
        <w:t xml:space="preserve"> propose the following recommendations:</w:t>
      </w:r>
    </w:p>
    <w:p w14:paraId="288ABC1C" w14:textId="1B43CC2E" w:rsidR="001D3811" w:rsidRDefault="001D3811" w:rsidP="001D3811">
      <w:pPr>
        <w:pStyle w:val="ListParagraph"/>
        <w:numPr>
          <w:ilvl w:val="0"/>
          <w:numId w:val="5"/>
        </w:numPr>
        <w:spacing w:line="360" w:lineRule="auto"/>
        <w:jc w:val="both"/>
        <w:rPr>
          <w:rFonts w:ascii="Arial" w:hAnsi="Arial" w:cs="Arial"/>
          <w:sz w:val="24"/>
          <w:szCs w:val="24"/>
        </w:rPr>
      </w:pPr>
      <w:r w:rsidRPr="001D3811">
        <w:rPr>
          <w:rFonts w:ascii="Arial" w:hAnsi="Arial" w:cs="Arial"/>
          <w:i/>
          <w:iCs/>
          <w:sz w:val="24"/>
          <w:szCs w:val="24"/>
        </w:rPr>
        <w:t>SSB Commercialisation</w:t>
      </w:r>
      <w:r w:rsidRPr="001D3811">
        <w:rPr>
          <w:rFonts w:ascii="Arial" w:hAnsi="Arial" w:cs="Arial"/>
          <w:sz w:val="24"/>
          <w:szCs w:val="24"/>
        </w:rPr>
        <w:t>: Nissan must ring-fence £500m of R&amp;D capital within the Sunderland plant to meet the slated 2028 ASSB launch - this important technology underpins long-term differentiability and must be prioritised as a Tier-1 strategic imperative</w:t>
      </w:r>
      <w:r w:rsidR="00A44273">
        <w:rPr>
          <w:rFonts w:ascii="Arial" w:hAnsi="Arial" w:cs="Arial"/>
          <w:sz w:val="24"/>
          <w:szCs w:val="24"/>
        </w:rPr>
        <w:t xml:space="preserve"> </w:t>
      </w:r>
      <w:r w:rsidR="00E27A9A" w:rsidRPr="00E27A9A">
        <w:rPr>
          <w:rFonts w:ascii="Arial" w:hAnsi="Arial" w:cs="Arial"/>
          <w:sz w:val="24"/>
          <w:szCs w:val="24"/>
        </w:rPr>
        <w:t>(Thomas</w:t>
      </w:r>
      <w:r w:rsidR="00E27A9A" w:rsidRPr="00E27A9A">
        <w:rPr>
          <w:rFonts w:ascii="Arial" w:hAnsi="Arial" w:cs="Arial"/>
          <w:i/>
          <w:iCs/>
          <w:sz w:val="24"/>
          <w:szCs w:val="24"/>
        </w:rPr>
        <w:t> et al.,</w:t>
      </w:r>
      <w:r w:rsidR="00E27A9A" w:rsidRPr="00E27A9A">
        <w:rPr>
          <w:rFonts w:ascii="Arial" w:hAnsi="Arial" w:cs="Arial"/>
          <w:sz w:val="24"/>
          <w:szCs w:val="24"/>
        </w:rPr>
        <w:t> 2024)</w:t>
      </w:r>
      <w:r w:rsidRPr="001D3811">
        <w:rPr>
          <w:rFonts w:ascii="Arial" w:hAnsi="Arial" w:cs="Arial"/>
          <w:sz w:val="24"/>
          <w:szCs w:val="24"/>
        </w:rPr>
        <w:t xml:space="preserve">. </w:t>
      </w:r>
    </w:p>
    <w:p w14:paraId="6146EC43" w14:textId="23BDCE15" w:rsidR="001D3811" w:rsidRDefault="001D3811" w:rsidP="001D3811">
      <w:pPr>
        <w:pStyle w:val="ListParagraph"/>
        <w:numPr>
          <w:ilvl w:val="0"/>
          <w:numId w:val="5"/>
        </w:numPr>
        <w:spacing w:line="360" w:lineRule="auto"/>
        <w:jc w:val="both"/>
        <w:rPr>
          <w:rFonts w:ascii="Arial" w:hAnsi="Arial" w:cs="Arial"/>
          <w:sz w:val="24"/>
          <w:szCs w:val="24"/>
        </w:rPr>
      </w:pPr>
      <w:r w:rsidRPr="001D3811">
        <w:rPr>
          <w:rFonts w:ascii="Arial" w:hAnsi="Arial" w:cs="Arial"/>
          <w:i/>
          <w:iCs/>
          <w:sz w:val="24"/>
          <w:szCs w:val="24"/>
        </w:rPr>
        <w:t>Embed Suppliers by 2026:</w:t>
      </w:r>
      <w:r w:rsidRPr="001D3811">
        <w:rPr>
          <w:rFonts w:ascii="Arial" w:hAnsi="Arial" w:cs="Arial"/>
          <w:sz w:val="24"/>
          <w:szCs w:val="24"/>
        </w:rPr>
        <w:t xml:space="preserve"> To neutralise WT (Weakness-Threat) highlighted in the SWOT synthesis, Nissan must onboard Northeast battery cathode and </w:t>
      </w:r>
      <w:r w:rsidRPr="001D3811">
        <w:rPr>
          <w:rFonts w:ascii="Arial" w:hAnsi="Arial" w:cs="Arial"/>
          <w:sz w:val="24"/>
          <w:szCs w:val="24"/>
        </w:rPr>
        <w:lastRenderedPageBreak/>
        <w:t>power electronics suppliers by Q4 2026. This timing is critical to achieve 55% Rules of Origin requirements ahead of the 2027 EU Tariff "deadline".</w:t>
      </w:r>
    </w:p>
    <w:p w14:paraId="57AC7AFA" w14:textId="14C5EBC6" w:rsidR="001D3811" w:rsidRDefault="001D3811" w:rsidP="001D3811">
      <w:pPr>
        <w:pStyle w:val="ListParagraph"/>
        <w:numPr>
          <w:ilvl w:val="0"/>
          <w:numId w:val="5"/>
        </w:numPr>
        <w:spacing w:line="360" w:lineRule="auto"/>
        <w:jc w:val="both"/>
        <w:rPr>
          <w:rFonts w:ascii="Arial" w:hAnsi="Arial" w:cs="Arial"/>
          <w:sz w:val="24"/>
          <w:szCs w:val="24"/>
        </w:rPr>
      </w:pPr>
      <w:r w:rsidRPr="001D3811">
        <w:rPr>
          <w:rFonts w:ascii="Arial" w:hAnsi="Arial" w:cs="Arial"/>
          <w:sz w:val="24"/>
          <w:szCs w:val="24"/>
        </w:rPr>
        <w:t xml:space="preserve"> V2G Service Monetisation: In 2027 Nissan must launch a bespoke V2G energy trading platform for UK customers. Building upon Ravi &amp; </w:t>
      </w:r>
      <w:r w:rsidR="00CA6D55">
        <w:rPr>
          <w:rFonts w:ascii="Arial" w:hAnsi="Arial" w:cs="Arial"/>
          <w:sz w:val="24"/>
          <w:szCs w:val="24"/>
        </w:rPr>
        <w:t>Aziz</w:t>
      </w:r>
      <w:r w:rsidRPr="001D3811">
        <w:rPr>
          <w:rFonts w:ascii="Arial" w:hAnsi="Arial" w:cs="Arial"/>
          <w:sz w:val="24"/>
          <w:szCs w:val="24"/>
        </w:rPr>
        <w:t xml:space="preserve"> (2022), this will convert the service value chain to a recurrent revenue stream, locking-in client loyalty and differentiating Nissan from competitors whose offer ends at the sold unit. </w:t>
      </w:r>
    </w:p>
    <w:p w14:paraId="43E8E09D" w14:textId="36717135" w:rsidR="00C70C3C" w:rsidRPr="001D3811" w:rsidRDefault="001D3811" w:rsidP="001D3811">
      <w:pPr>
        <w:pStyle w:val="ListParagraph"/>
        <w:numPr>
          <w:ilvl w:val="0"/>
          <w:numId w:val="5"/>
        </w:numPr>
        <w:spacing w:line="360" w:lineRule="auto"/>
        <w:jc w:val="both"/>
        <w:rPr>
          <w:rFonts w:ascii="Arial" w:hAnsi="Arial" w:cs="Arial"/>
          <w:sz w:val="24"/>
          <w:szCs w:val="24"/>
        </w:rPr>
      </w:pPr>
      <w:r w:rsidRPr="001D3811">
        <w:rPr>
          <w:rFonts w:ascii="Arial" w:hAnsi="Arial" w:cs="Arial"/>
          <w:sz w:val="24"/>
          <w:szCs w:val="24"/>
        </w:rPr>
        <w:t xml:space="preserve"> Aggressive Marketing: From today, Nissan's UK marketing narrative must centre around the EV36Zero ecosystem. By clearly communicating the carbon reduction benefits of purchasing a vehicle that was manufactured using renewable energy, Nissan will operationalize Gouveia et al (2024) sustainable value creation concept.</w:t>
      </w:r>
    </w:p>
    <w:p w14:paraId="5D9E8372" w14:textId="77777777" w:rsidR="00E54A89" w:rsidRPr="00E54A89" w:rsidRDefault="00E54A89" w:rsidP="00E54A89">
      <w:pPr>
        <w:spacing w:line="360" w:lineRule="auto"/>
        <w:jc w:val="both"/>
        <w:rPr>
          <w:rFonts w:ascii="Arial" w:hAnsi="Arial" w:cs="Arial"/>
          <w:sz w:val="24"/>
          <w:szCs w:val="24"/>
        </w:rPr>
      </w:pPr>
    </w:p>
    <w:p w14:paraId="7BE42326" w14:textId="77777777" w:rsidR="00121CB7" w:rsidRDefault="00121CB7"/>
    <w:p w14:paraId="08B5DDFE" w14:textId="77777777" w:rsidR="00121CB7" w:rsidRDefault="00121CB7"/>
    <w:p w14:paraId="1179C2CB" w14:textId="77777777" w:rsidR="00995A54" w:rsidRDefault="00995A54"/>
    <w:p w14:paraId="3E910A53" w14:textId="77777777" w:rsidR="00995A54" w:rsidRDefault="00995A54"/>
    <w:p w14:paraId="5BE05EF3" w14:textId="77777777" w:rsidR="00995A54" w:rsidRDefault="00995A54"/>
    <w:p w14:paraId="361A9885" w14:textId="77777777" w:rsidR="00995A54" w:rsidRDefault="00995A54"/>
    <w:p w14:paraId="585D54DC" w14:textId="77777777" w:rsidR="00995A54" w:rsidRDefault="00995A54"/>
    <w:p w14:paraId="3B4B3515" w14:textId="77777777" w:rsidR="00995A54" w:rsidRDefault="00995A54"/>
    <w:p w14:paraId="6E9A1167" w14:textId="77777777" w:rsidR="00995A54" w:rsidRDefault="00995A54"/>
    <w:p w14:paraId="6E2A3787" w14:textId="77777777" w:rsidR="00995A54" w:rsidRDefault="00995A54"/>
    <w:p w14:paraId="163DD0FC" w14:textId="77777777" w:rsidR="00995A54" w:rsidRDefault="00995A54"/>
    <w:p w14:paraId="46C5B914" w14:textId="77777777" w:rsidR="00995A54" w:rsidRDefault="00995A54"/>
    <w:p w14:paraId="5D884036" w14:textId="77777777" w:rsidR="00995A54" w:rsidRDefault="00995A54"/>
    <w:p w14:paraId="54A04857" w14:textId="77777777" w:rsidR="00995A54" w:rsidRDefault="00995A54"/>
    <w:p w14:paraId="49F5C90F" w14:textId="77777777" w:rsidR="00995A54" w:rsidRDefault="00995A54"/>
    <w:p w14:paraId="5227759F" w14:textId="77777777" w:rsidR="00995A54" w:rsidRDefault="00995A54"/>
    <w:p w14:paraId="01F90504" w14:textId="1E2909C6" w:rsidR="00121CB7" w:rsidRPr="001D3811" w:rsidRDefault="001D3811" w:rsidP="001D3811">
      <w:pPr>
        <w:pStyle w:val="Heading1"/>
        <w:numPr>
          <w:ilvl w:val="0"/>
          <w:numId w:val="6"/>
        </w:numPr>
        <w:rPr>
          <w:b/>
          <w:bCs/>
        </w:rPr>
      </w:pPr>
      <w:bookmarkStart w:id="14" w:name="_Toc225015651"/>
      <w:r w:rsidRPr="001D3811">
        <w:rPr>
          <w:b/>
          <w:bCs/>
        </w:rPr>
        <w:lastRenderedPageBreak/>
        <w:t>References</w:t>
      </w:r>
      <w:bookmarkEnd w:id="14"/>
    </w:p>
    <w:p w14:paraId="0632DFC8" w14:textId="77777777" w:rsidR="00121CB7" w:rsidRDefault="00121CB7"/>
    <w:p w14:paraId="6AB32152" w14:textId="77777777" w:rsidR="00995A54" w:rsidRDefault="00995A54"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 xml:space="preserve">ACEA (2025) Economic and Market Report: Global and EU auto industry – Full year 2024. European Automobile Manufacturers' Association. Available at: </w:t>
      </w:r>
      <w:hyperlink r:id="rId9" w:tgtFrame="_blank" w:history="1">
        <w:r w:rsidRPr="00430B60">
          <w:rPr>
            <w:rFonts w:ascii="Arial" w:eastAsia="Times New Roman" w:hAnsi="Arial" w:cs="Arial"/>
            <w:color w:val="0000FF"/>
            <w:kern w:val="0"/>
            <w:sz w:val="24"/>
            <w:szCs w:val="24"/>
            <w:u w:val="single"/>
            <w:lang w:eastAsia="en-GB"/>
            <w14:ligatures w14:val="none"/>
          </w:rPr>
          <w:t>https://www.acea.auto/publication/economic-and-market-report-global-and-eu-auto-industry-full-year-2024/</w:t>
        </w:r>
      </w:hyperlink>
      <w:r w:rsidRPr="00430B60">
        <w:rPr>
          <w:rFonts w:ascii="Arial" w:eastAsia="Times New Roman" w:hAnsi="Arial" w:cs="Arial"/>
          <w:kern w:val="0"/>
          <w:sz w:val="24"/>
          <w:szCs w:val="24"/>
          <w:lang w:eastAsia="en-GB"/>
          <w14:ligatures w14:val="none"/>
        </w:rPr>
        <w:t xml:space="preserve"> (Accessed: 19 March 2026 ).</w:t>
      </w:r>
    </w:p>
    <w:p w14:paraId="4B79DED3" w14:textId="77777777" w:rsidR="00073623" w:rsidRPr="00430B60" w:rsidRDefault="00073623" w:rsidP="00430B60">
      <w:pPr>
        <w:spacing w:after="0" w:line="360" w:lineRule="auto"/>
        <w:jc w:val="both"/>
        <w:rPr>
          <w:rFonts w:ascii="Arial" w:eastAsia="Times New Roman" w:hAnsi="Arial" w:cs="Arial"/>
          <w:kern w:val="0"/>
          <w:sz w:val="24"/>
          <w:szCs w:val="24"/>
          <w:lang w:eastAsia="en-GB"/>
          <w14:ligatures w14:val="none"/>
        </w:rPr>
      </w:pPr>
    </w:p>
    <w:p w14:paraId="74D877E0" w14:textId="0864262D" w:rsidR="004610BB" w:rsidRPr="00430B60" w:rsidRDefault="004610BB"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 xml:space="preserve">Anderson, E.G. </w:t>
      </w:r>
      <w:r w:rsidRPr="00430B60">
        <w:rPr>
          <w:rFonts w:ascii="Arial" w:eastAsia="Times New Roman" w:hAnsi="Arial" w:cs="Arial"/>
          <w:i/>
          <w:iCs/>
          <w:kern w:val="0"/>
          <w:sz w:val="24"/>
          <w:szCs w:val="24"/>
          <w:lang w:eastAsia="en-GB"/>
          <w14:ligatures w14:val="none"/>
        </w:rPr>
        <w:t>et al.</w:t>
      </w:r>
      <w:r w:rsidRPr="00430B60">
        <w:rPr>
          <w:rFonts w:ascii="Arial" w:eastAsia="Times New Roman" w:hAnsi="Arial" w:cs="Arial"/>
          <w:kern w:val="0"/>
          <w:sz w:val="24"/>
          <w:szCs w:val="24"/>
          <w:lang w:eastAsia="en-GB"/>
          <w14:ligatures w14:val="none"/>
        </w:rPr>
        <w:t xml:space="preserve"> (2022) “Electric Vehicles Are a Platform Business: What Firms Need to Know,” </w:t>
      </w:r>
      <w:r w:rsidRPr="00430B60">
        <w:rPr>
          <w:rFonts w:ascii="Arial" w:eastAsia="Times New Roman" w:hAnsi="Arial" w:cs="Arial"/>
          <w:i/>
          <w:iCs/>
          <w:kern w:val="0"/>
          <w:sz w:val="24"/>
          <w:szCs w:val="24"/>
          <w:lang w:eastAsia="en-GB"/>
          <w14:ligatures w14:val="none"/>
        </w:rPr>
        <w:t>California management review</w:t>
      </w:r>
      <w:r w:rsidRPr="00430B60">
        <w:rPr>
          <w:rFonts w:ascii="Arial" w:eastAsia="Times New Roman" w:hAnsi="Arial" w:cs="Arial"/>
          <w:kern w:val="0"/>
          <w:sz w:val="24"/>
          <w:szCs w:val="24"/>
          <w:lang w:eastAsia="en-GB"/>
          <w14:ligatures w14:val="none"/>
        </w:rPr>
        <w:t xml:space="preserve">, 64(4), pp. 135–154. Available at: </w:t>
      </w:r>
      <w:hyperlink r:id="rId10" w:history="1">
        <w:r w:rsidRPr="00430B60">
          <w:rPr>
            <w:rStyle w:val="Hyperlink"/>
            <w:rFonts w:ascii="Arial" w:eastAsia="Times New Roman" w:hAnsi="Arial" w:cs="Arial"/>
            <w:kern w:val="0"/>
            <w:sz w:val="24"/>
            <w:szCs w:val="24"/>
            <w:lang w:eastAsia="en-GB"/>
            <w14:ligatures w14:val="none"/>
          </w:rPr>
          <w:t>https://doi.org/10.1177/00081256221107420</w:t>
        </w:r>
      </w:hyperlink>
      <w:r w:rsidRPr="00430B60">
        <w:rPr>
          <w:rFonts w:ascii="Arial" w:eastAsia="Times New Roman" w:hAnsi="Arial" w:cs="Arial"/>
          <w:kern w:val="0"/>
          <w:sz w:val="24"/>
          <w:szCs w:val="24"/>
          <w:lang w:eastAsia="en-GB"/>
          <w14:ligatures w14:val="none"/>
        </w:rPr>
        <w:t>.</w:t>
      </w:r>
    </w:p>
    <w:p w14:paraId="6A30E035" w14:textId="77777777" w:rsidR="004610BB" w:rsidRPr="00430B60" w:rsidRDefault="004610BB" w:rsidP="00430B60">
      <w:pPr>
        <w:spacing w:after="0" w:line="360" w:lineRule="auto"/>
        <w:jc w:val="both"/>
        <w:rPr>
          <w:rFonts w:ascii="Arial" w:eastAsia="Times New Roman" w:hAnsi="Arial" w:cs="Arial"/>
          <w:kern w:val="0"/>
          <w:sz w:val="24"/>
          <w:szCs w:val="24"/>
          <w:lang w:eastAsia="en-GB"/>
          <w14:ligatures w14:val="none"/>
        </w:rPr>
      </w:pPr>
    </w:p>
    <w:p w14:paraId="0F4D11A4" w14:textId="62D35B3E" w:rsidR="001B3BBE" w:rsidRPr="00430B60" w:rsidRDefault="001B3BBE"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 xml:space="preserve">Bailey, D. and De </w:t>
      </w:r>
      <w:proofErr w:type="spellStart"/>
      <w:r w:rsidRPr="00430B60">
        <w:rPr>
          <w:rFonts w:ascii="Arial" w:eastAsia="Times New Roman" w:hAnsi="Arial" w:cs="Arial"/>
          <w:kern w:val="0"/>
          <w:sz w:val="24"/>
          <w:szCs w:val="24"/>
          <w:lang w:eastAsia="en-GB"/>
          <w14:ligatures w14:val="none"/>
        </w:rPr>
        <w:t>Propris</w:t>
      </w:r>
      <w:proofErr w:type="spellEnd"/>
      <w:r w:rsidRPr="00430B60">
        <w:rPr>
          <w:rFonts w:ascii="Arial" w:eastAsia="Times New Roman" w:hAnsi="Arial" w:cs="Arial"/>
          <w:kern w:val="0"/>
          <w:sz w:val="24"/>
          <w:szCs w:val="24"/>
          <w:lang w:eastAsia="en-GB"/>
          <w14:ligatures w14:val="none"/>
        </w:rPr>
        <w:t xml:space="preserve">, L. (2017) “BREXIT AND THE UK AUTOMOTIVE INDUSTRY,” </w:t>
      </w:r>
      <w:r w:rsidRPr="00430B60">
        <w:rPr>
          <w:rFonts w:ascii="Arial" w:eastAsia="Times New Roman" w:hAnsi="Arial" w:cs="Arial"/>
          <w:i/>
          <w:iCs/>
          <w:kern w:val="0"/>
          <w:sz w:val="24"/>
          <w:szCs w:val="24"/>
          <w:lang w:eastAsia="en-GB"/>
          <w14:ligatures w14:val="none"/>
        </w:rPr>
        <w:t>National Institute economic review</w:t>
      </w:r>
      <w:r w:rsidRPr="00430B60">
        <w:rPr>
          <w:rFonts w:ascii="Arial" w:eastAsia="Times New Roman" w:hAnsi="Arial" w:cs="Arial"/>
          <w:kern w:val="0"/>
          <w:sz w:val="24"/>
          <w:szCs w:val="24"/>
          <w:lang w:eastAsia="en-GB"/>
          <w14:ligatures w14:val="none"/>
        </w:rPr>
        <w:t xml:space="preserve">, 242(242), pp. R51–R59. Available at: </w:t>
      </w:r>
      <w:hyperlink r:id="rId11" w:history="1">
        <w:r w:rsidRPr="00430B60">
          <w:rPr>
            <w:rStyle w:val="Hyperlink"/>
            <w:rFonts w:ascii="Arial" w:eastAsia="Times New Roman" w:hAnsi="Arial" w:cs="Arial"/>
            <w:kern w:val="0"/>
            <w:sz w:val="24"/>
            <w:szCs w:val="24"/>
            <w:lang w:eastAsia="en-GB"/>
            <w14:ligatures w14:val="none"/>
          </w:rPr>
          <w:t>https://doi.org/10.1177/00279</w:t>
        </w:r>
        <w:r w:rsidRPr="00430B60">
          <w:rPr>
            <w:rStyle w:val="Hyperlink"/>
            <w:rFonts w:ascii="Arial" w:eastAsia="Times New Roman" w:hAnsi="Arial" w:cs="Arial"/>
            <w:kern w:val="0"/>
            <w:sz w:val="24"/>
            <w:szCs w:val="24"/>
            <w:lang w:eastAsia="en-GB"/>
            <w14:ligatures w14:val="none"/>
          </w:rPr>
          <w:t>5</w:t>
        </w:r>
        <w:r w:rsidRPr="00430B60">
          <w:rPr>
            <w:rStyle w:val="Hyperlink"/>
            <w:rFonts w:ascii="Arial" w:eastAsia="Times New Roman" w:hAnsi="Arial" w:cs="Arial"/>
            <w:kern w:val="0"/>
            <w:sz w:val="24"/>
            <w:szCs w:val="24"/>
            <w:lang w:eastAsia="en-GB"/>
            <w14:ligatures w14:val="none"/>
          </w:rPr>
          <w:t>011724200114</w:t>
        </w:r>
      </w:hyperlink>
      <w:r w:rsidRPr="00430B60">
        <w:rPr>
          <w:rFonts w:ascii="Arial" w:eastAsia="Times New Roman" w:hAnsi="Arial" w:cs="Arial"/>
          <w:kern w:val="0"/>
          <w:sz w:val="24"/>
          <w:szCs w:val="24"/>
          <w:lang w:eastAsia="en-GB"/>
          <w14:ligatures w14:val="none"/>
        </w:rPr>
        <w:t>.</w:t>
      </w:r>
    </w:p>
    <w:p w14:paraId="2B3F73F2" w14:textId="77777777" w:rsidR="001B3BBE" w:rsidRPr="00430B60" w:rsidRDefault="001B3BBE" w:rsidP="00430B60">
      <w:pPr>
        <w:spacing w:after="0" w:line="360" w:lineRule="auto"/>
        <w:jc w:val="both"/>
        <w:rPr>
          <w:rFonts w:ascii="Arial" w:eastAsia="Times New Roman" w:hAnsi="Arial" w:cs="Arial"/>
          <w:kern w:val="0"/>
          <w:sz w:val="24"/>
          <w:szCs w:val="24"/>
          <w:lang w:eastAsia="en-GB"/>
          <w14:ligatures w14:val="none"/>
        </w:rPr>
      </w:pPr>
    </w:p>
    <w:p w14:paraId="4563DA64" w14:textId="77777777" w:rsidR="00176E28" w:rsidRPr="00430B60" w:rsidRDefault="00176E28"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 xml:space="preserve">Barney, J.B. and Hesterly, W.S. (2019) </w:t>
      </w:r>
      <w:r w:rsidRPr="00430B60">
        <w:rPr>
          <w:rFonts w:ascii="Arial" w:eastAsia="Times New Roman" w:hAnsi="Arial" w:cs="Arial"/>
          <w:i/>
          <w:iCs/>
          <w:kern w:val="0"/>
          <w:sz w:val="24"/>
          <w:szCs w:val="24"/>
          <w:lang w:eastAsia="en-GB"/>
          <w14:ligatures w14:val="none"/>
        </w:rPr>
        <w:t xml:space="preserve">Strategic management and competitive </w:t>
      </w:r>
      <w:proofErr w:type="gramStart"/>
      <w:r w:rsidRPr="00430B60">
        <w:rPr>
          <w:rFonts w:ascii="Arial" w:eastAsia="Times New Roman" w:hAnsi="Arial" w:cs="Arial"/>
          <w:i/>
          <w:iCs/>
          <w:kern w:val="0"/>
          <w:sz w:val="24"/>
          <w:szCs w:val="24"/>
          <w:lang w:eastAsia="en-GB"/>
          <w14:ligatures w14:val="none"/>
        </w:rPr>
        <w:t>advantage :</w:t>
      </w:r>
      <w:proofErr w:type="gramEnd"/>
      <w:r w:rsidRPr="00430B60">
        <w:rPr>
          <w:rFonts w:ascii="Arial" w:eastAsia="Times New Roman" w:hAnsi="Arial" w:cs="Arial"/>
          <w:i/>
          <w:iCs/>
          <w:kern w:val="0"/>
          <w:sz w:val="24"/>
          <w:szCs w:val="24"/>
          <w:lang w:eastAsia="en-GB"/>
          <w14:ligatures w14:val="none"/>
        </w:rPr>
        <w:t xml:space="preserve"> concepts and cases</w:t>
      </w:r>
      <w:r w:rsidRPr="00430B60">
        <w:rPr>
          <w:rFonts w:ascii="Arial" w:eastAsia="Times New Roman" w:hAnsi="Arial" w:cs="Arial"/>
          <w:kern w:val="0"/>
          <w:sz w:val="24"/>
          <w:szCs w:val="24"/>
          <w:lang w:eastAsia="en-GB"/>
          <w14:ligatures w14:val="none"/>
        </w:rPr>
        <w:t xml:space="preserve">. Sixth </w:t>
      </w:r>
      <w:proofErr w:type="gramStart"/>
      <w:r w:rsidRPr="00430B60">
        <w:rPr>
          <w:rFonts w:ascii="Arial" w:eastAsia="Times New Roman" w:hAnsi="Arial" w:cs="Arial"/>
          <w:kern w:val="0"/>
          <w:sz w:val="24"/>
          <w:szCs w:val="24"/>
          <w:lang w:eastAsia="en-GB"/>
          <w14:ligatures w14:val="none"/>
        </w:rPr>
        <w:t>edition ;</w:t>
      </w:r>
      <w:proofErr w:type="gramEnd"/>
      <w:r w:rsidRPr="00430B60">
        <w:rPr>
          <w:rFonts w:ascii="Arial" w:eastAsia="Times New Roman" w:hAnsi="Arial" w:cs="Arial"/>
          <w:kern w:val="0"/>
          <w:sz w:val="24"/>
          <w:szCs w:val="24"/>
          <w:lang w:eastAsia="en-GB"/>
          <w14:ligatures w14:val="none"/>
        </w:rPr>
        <w:t xml:space="preserve"> Global edition. Harlow, England: Pearson Education Limited.</w:t>
      </w:r>
    </w:p>
    <w:p w14:paraId="45E0B6E7" w14:textId="77777777" w:rsidR="00176E28" w:rsidRPr="00430B60" w:rsidRDefault="00176E28" w:rsidP="00430B60">
      <w:pPr>
        <w:spacing w:after="0" w:line="360" w:lineRule="auto"/>
        <w:jc w:val="both"/>
        <w:rPr>
          <w:rFonts w:ascii="Arial" w:eastAsia="Times New Roman" w:hAnsi="Arial" w:cs="Arial"/>
          <w:kern w:val="0"/>
          <w:sz w:val="24"/>
          <w:szCs w:val="24"/>
          <w:lang w:eastAsia="en-GB"/>
          <w14:ligatures w14:val="none"/>
        </w:rPr>
      </w:pPr>
    </w:p>
    <w:p w14:paraId="4ED537FF" w14:textId="62DFADBE" w:rsidR="00176E28" w:rsidRPr="00430B60" w:rsidRDefault="00176E28"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Department for Transport (2023) </w:t>
      </w:r>
      <w:r w:rsidRPr="00430B60">
        <w:rPr>
          <w:rFonts w:ascii="Arial" w:eastAsia="Times New Roman" w:hAnsi="Arial" w:cs="Arial"/>
          <w:i/>
          <w:iCs/>
          <w:kern w:val="0"/>
          <w:sz w:val="24"/>
          <w:szCs w:val="24"/>
          <w:lang w:eastAsia="en-GB"/>
          <w14:ligatures w14:val="none"/>
        </w:rPr>
        <w:t>A zero emission vehicle (ZEV) mandate and CO2 emissions regulation for new cars and vans in the UK</w:t>
      </w:r>
      <w:r w:rsidRPr="00430B60">
        <w:rPr>
          <w:rFonts w:ascii="Arial" w:eastAsia="Times New Roman" w:hAnsi="Arial" w:cs="Arial"/>
          <w:kern w:val="0"/>
          <w:sz w:val="24"/>
          <w:szCs w:val="24"/>
          <w:lang w:eastAsia="en-GB"/>
          <w14:ligatures w14:val="none"/>
        </w:rPr>
        <w:t>, </w:t>
      </w:r>
      <w:r w:rsidRPr="00430B60">
        <w:rPr>
          <w:rFonts w:ascii="Arial" w:eastAsia="Times New Roman" w:hAnsi="Arial" w:cs="Arial"/>
          <w:i/>
          <w:iCs/>
          <w:kern w:val="0"/>
          <w:sz w:val="24"/>
          <w:szCs w:val="24"/>
          <w:lang w:eastAsia="en-GB"/>
          <w14:ligatures w14:val="none"/>
        </w:rPr>
        <w:t>GOV.UK</w:t>
      </w:r>
      <w:r w:rsidRPr="00430B60">
        <w:rPr>
          <w:rFonts w:ascii="Arial" w:eastAsia="Times New Roman" w:hAnsi="Arial" w:cs="Arial"/>
          <w:kern w:val="0"/>
          <w:sz w:val="24"/>
          <w:szCs w:val="24"/>
          <w:lang w:eastAsia="en-GB"/>
          <w14:ligatures w14:val="none"/>
        </w:rPr>
        <w:t xml:space="preserve">. Available at: </w:t>
      </w:r>
      <w:hyperlink r:id="rId12" w:history="1">
        <w:r w:rsidRPr="00430B60">
          <w:rPr>
            <w:rStyle w:val="Hyperlink"/>
            <w:rFonts w:ascii="Arial" w:eastAsia="Times New Roman" w:hAnsi="Arial" w:cs="Arial"/>
            <w:kern w:val="0"/>
            <w:sz w:val="24"/>
            <w:szCs w:val="24"/>
            <w:lang w:eastAsia="en-GB"/>
            <w14:ligatures w14:val="none"/>
          </w:rPr>
          <w:t>https://www.gov.uk/government/consultations/a-zero-emission-vehicle-zev-mandate-and-co2-emissions-regulation-for-new-cars-and-vans-in-the-uk.</w:t>
        </w:r>
      </w:hyperlink>
    </w:p>
    <w:p w14:paraId="507B46B5" w14:textId="0A1A39DA" w:rsidR="00995A54" w:rsidRDefault="00176E28" w:rsidP="00430B60">
      <w:pPr>
        <w:spacing w:after="0" w:line="360" w:lineRule="auto"/>
        <w:jc w:val="both"/>
        <w:rPr>
          <w:rFonts w:ascii="Arial" w:eastAsia="Times New Roman" w:hAnsi="Arial" w:cs="Arial"/>
          <w:kern w:val="0"/>
          <w:sz w:val="24"/>
          <w:szCs w:val="24"/>
          <w:lang w:eastAsia="en-GB"/>
          <w14:ligatures w14:val="none"/>
        </w:rPr>
      </w:pPr>
      <w:proofErr w:type="gramStart"/>
      <w:r w:rsidRPr="00430B60">
        <w:rPr>
          <w:rFonts w:ascii="Arial" w:eastAsia="Times New Roman" w:hAnsi="Arial" w:cs="Arial"/>
          <w:kern w:val="0"/>
          <w:sz w:val="24"/>
          <w:szCs w:val="24"/>
          <w:lang w:eastAsia="en-GB"/>
          <w14:ligatures w14:val="none"/>
        </w:rPr>
        <w:t>‌</w:t>
      </w:r>
      <w:r w:rsidR="00995A54" w:rsidRPr="00430B60">
        <w:rPr>
          <w:rFonts w:ascii="Arial" w:eastAsia="Times New Roman" w:hAnsi="Arial" w:cs="Arial"/>
          <w:kern w:val="0"/>
          <w:sz w:val="24"/>
          <w:szCs w:val="24"/>
          <w:lang w:eastAsia="en-GB"/>
          <w14:ligatures w14:val="none"/>
        </w:rPr>
        <w:t>(</w:t>
      </w:r>
      <w:proofErr w:type="gramEnd"/>
      <w:r w:rsidR="00995A54" w:rsidRPr="00430B60">
        <w:rPr>
          <w:rFonts w:ascii="Arial" w:eastAsia="Times New Roman" w:hAnsi="Arial" w:cs="Arial"/>
          <w:kern w:val="0"/>
          <w:sz w:val="24"/>
          <w:szCs w:val="24"/>
          <w:lang w:eastAsia="en-GB"/>
          <w14:ligatures w14:val="none"/>
        </w:rPr>
        <w:t xml:space="preserve">Accessed: 19 March </w:t>
      </w:r>
      <w:proofErr w:type="gramStart"/>
      <w:r w:rsidR="00995A54" w:rsidRPr="00430B60">
        <w:rPr>
          <w:rFonts w:ascii="Arial" w:eastAsia="Times New Roman" w:hAnsi="Arial" w:cs="Arial"/>
          <w:kern w:val="0"/>
          <w:sz w:val="24"/>
          <w:szCs w:val="24"/>
          <w:lang w:eastAsia="en-GB"/>
          <w14:ligatures w14:val="none"/>
        </w:rPr>
        <w:t>2026 )</w:t>
      </w:r>
      <w:proofErr w:type="gramEnd"/>
      <w:r w:rsidR="00995A54" w:rsidRPr="00430B60">
        <w:rPr>
          <w:rFonts w:ascii="Arial" w:eastAsia="Times New Roman" w:hAnsi="Arial" w:cs="Arial"/>
          <w:kern w:val="0"/>
          <w:sz w:val="24"/>
          <w:szCs w:val="24"/>
          <w:lang w:eastAsia="en-GB"/>
          <w14:ligatures w14:val="none"/>
        </w:rPr>
        <w:t>.</w:t>
      </w:r>
    </w:p>
    <w:p w14:paraId="72956EF8" w14:textId="77777777" w:rsidR="00073623" w:rsidRPr="00430B60" w:rsidRDefault="00073623" w:rsidP="00430B60">
      <w:pPr>
        <w:spacing w:after="0" w:line="360" w:lineRule="auto"/>
        <w:jc w:val="both"/>
        <w:rPr>
          <w:rFonts w:ascii="Arial" w:eastAsia="Times New Roman" w:hAnsi="Arial" w:cs="Arial"/>
          <w:kern w:val="0"/>
          <w:sz w:val="24"/>
          <w:szCs w:val="24"/>
          <w:lang w:eastAsia="en-GB"/>
          <w14:ligatures w14:val="none"/>
        </w:rPr>
      </w:pPr>
    </w:p>
    <w:p w14:paraId="280BC93B" w14:textId="53BDD2A4" w:rsidR="00CA3150" w:rsidRDefault="00CA3150"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 xml:space="preserve">Gouveia, S. </w:t>
      </w:r>
      <w:r w:rsidRPr="00430B60">
        <w:rPr>
          <w:rFonts w:ascii="Arial" w:eastAsia="Times New Roman" w:hAnsi="Arial" w:cs="Arial"/>
          <w:i/>
          <w:iCs/>
          <w:kern w:val="0"/>
          <w:sz w:val="24"/>
          <w:szCs w:val="24"/>
          <w:lang w:eastAsia="en-GB"/>
          <w14:ligatures w14:val="none"/>
        </w:rPr>
        <w:t>et al.</w:t>
      </w:r>
      <w:r w:rsidRPr="00430B60">
        <w:rPr>
          <w:rFonts w:ascii="Arial" w:eastAsia="Times New Roman" w:hAnsi="Arial" w:cs="Arial"/>
          <w:kern w:val="0"/>
          <w:sz w:val="24"/>
          <w:szCs w:val="24"/>
          <w:lang w:eastAsia="en-GB"/>
          <w14:ligatures w14:val="none"/>
        </w:rPr>
        <w:t xml:space="preserve"> (2024) “Electrifying Strategic Management: Leveraging Electric Vehicles for Sustainable Value </w:t>
      </w:r>
      <w:proofErr w:type="gramStart"/>
      <w:r w:rsidRPr="00430B60">
        <w:rPr>
          <w:rFonts w:ascii="Arial" w:eastAsia="Times New Roman" w:hAnsi="Arial" w:cs="Arial"/>
          <w:kern w:val="0"/>
          <w:sz w:val="24"/>
          <w:szCs w:val="24"/>
          <w:lang w:eastAsia="en-GB"/>
          <w14:ligatures w14:val="none"/>
        </w:rPr>
        <w:t>Creation?,</w:t>
      </w:r>
      <w:proofErr w:type="gramEnd"/>
      <w:r w:rsidRPr="00430B60">
        <w:rPr>
          <w:rFonts w:ascii="Arial" w:eastAsia="Times New Roman" w:hAnsi="Arial" w:cs="Arial"/>
          <w:kern w:val="0"/>
          <w:sz w:val="24"/>
          <w:szCs w:val="24"/>
          <w:lang w:eastAsia="en-GB"/>
          <w14:ligatures w14:val="none"/>
        </w:rPr>
        <w:t xml:space="preserve">” </w:t>
      </w:r>
      <w:r w:rsidRPr="00430B60">
        <w:rPr>
          <w:rFonts w:ascii="Arial" w:eastAsia="Times New Roman" w:hAnsi="Arial" w:cs="Arial"/>
          <w:i/>
          <w:iCs/>
          <w:kern w:val="0"/>
          <w:sz w:val="24"/>
          <w:szCs w:val="24"/>
          <w:lang w:eastAsia="en-GB"/>
          <w14:ligatures w14:val="none"/>
        </w:rPr>
        <w:t>Energies (Basel)</w:t>
      </w:r>
      <w:r w:rsidRPr="00430B60">
        <w:rPr>
          <w:rFonts w:ascii="Arial" w:eastAsia="Times New Roman" w:hAnsi="Arial" w:cs="Arial"/>
          <w:kern w:val="0"/>
          <w:sz w:val="24"/>
          <w:szCs w:val="24"/>
          <w:lang w:eastAsia="en-GB"/>
          <w14:ligatures w14:val="none"/>
        </w:rPr>
        <w:t xml:space="preserve">, 17(18), p. 4581. Available at: </w:t>
      </w:r>
      <w:hyperlink r:id="rId13" w:history="1">
        <w:r w:rsidR="00073623" w:rsidRPr="00307A68">
          <w:rPr>
            <w:rStyle w:val="Hyperlink"/>
            <w:rFonts w:ascii="Arial" w:eastAsia="Times New Roman" w:hAnsi="Arial" w:cs="Arial"/>
            <w:kern w:val="0"/>
            <w:sz w:val="24"/>
            <w:szCs w:val="24"/>
            <w:lang w:eastAsia="en-GB"/>
            <w14:ligatures w14:val="none"/>
          </w:rPr>
          <w:t>https://doi.org/10.3390/en17184581</w:t>
        </w:r>
      </w:hyperlink>
      <w:r w:rsidRPr="00430B60">
        <w:rPr>
          <w:rFonts w:ascii="Arial" w:eastAsia="Times New Roman" w:hAnsi="Arial" w:cs="Arial"/>
          <w:kern w:val="0"/>
          <w:sz w:val="24"/>
          <w:szCs w:val="24"/>
          <w:lang w:eastAsia="en-GB"/>
          <w14:ligatures w14:val="none"/>
        </w:rPr>
        <w:t>.</w:t>
      </w:r>
    </w:p>
    <w:p w14:paraId="45FDA4A3" w14:textId="77777777" w:rsidR="00073623" w:rsidRPr="00430B60" w:rsidRDefault="00073623" w:rsidP="00430B60">
      <w:pPr>
        <w:spacing w:after="0" w:line="360" w:lineRule="auto"/>
        <w:jc w:val="both"/>
        <w:rPr>
          <w:rFonts w:ascii="Arial" w:eastAsia="Times New Roman" w:hAnsi="Arial" w:cs="Arial"/>
          <w:kern w:val="0"/>
          <w:sz w:val="24"/>
          <w:szCs w:val="24"/>
          <w:lang w:eastAsia="en-GB"/>
          <w14:ligatures w14:val="none"/>
        </w:rPr>
      </w:pPr>
    </w:p>
    <w:p w14:paraId="22AEA474" w14:textId="4F9601B6" w:rsidR="001D4946" w:rsidRDefault="001D4946"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Grant, R.M. (2021) </w:t>
      </w:r>
      <w:r w:rsidRPr="00430B60">
        <w:rPr>
          <w:rFonts w:ascii="Arial" w:eastAsia="Times New Roman" w:hAnsi="Arial" w:cs="Arial"/>
          <w:i/>
          <w:iCs/>
          <w:kern w:val="0"/>
          <w:sz w:val="24"/>
          <w:szCs w:val="24"/>
          <w:lang w:eastAsia="en-GB"/>
          <w14:ligatures w14:val="none"/>
        </w:rPr>
        <w:t>Contemporary strategy analysis. </w:t>
      </w:r>
      <w:r w:rsidRPr="00430B60">
        <w:rPr>
          <w:rFonts w:ascii="Arial" w:eastAsia="Times New Roman" w:hAnsi="Arial" w:cs="Arial"/>
          <w:kern w:val="0"/>
          <w:sz w:val="24"/>
          <w:szCs w:val="24"/>
          <w:lang w:eastAsia="en-GB"/>
          <w14:ligatures w14:val="none"/>
        </w:rPr>
        <w:t>John Wiley &amp; Sons.</w:t>
      </w:r>
    </w:p>
    <w:p w14:paraId="5689C64E" w14:textId="77777777" w:rsidR="00073623" w:rsidRPr="00430B60" w:rsidRDefault="00073623" w:rsidP="00430B60">
      <w:pPr>
        <w:spacing w:after="0" w:line="360" w:lineRule="auto"/>
        <w:jc w:val="both"/>
        <w:rPr>
          <w:rFonts w:ascii="Arial" w:eastAsia="Times New Roman" w:hAnsi="Arial" w:cs="Arial"/>
          <w:kern w:val="0"/>
          <w:sz w:val="24"/>
          <w:szCs w:val="24"/>
          <w:lang w:eastAsia="en-GB"/>
          <w14:ligatures w14:val="none"/>
        </w:rPr>
      </w:pPr>
    </w:p>
    <w:p w14:paraId="04655C5A" w14:textId="412DB3A8" w:rsidR="00995A54" w:rsidRPr="00430B60" w:rsidRDefault="00076237"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ACEBAIL</w:t>
      </w:r>
      <w:r w:rsidR="00995A54" w:rsidRPr="00430B60">
        <w:rPr>
          <w:rFonts w:ascii="Arial" w:eastAsia="Times New Roman" w:hAnsi="Arial" w:cs="Arial"/>
          <w:kern w:val="0"/>
          <w:sz w:val="24"/>
          <w:szCs w:val="24"/>
          <w:lang w:eastAsia="en-GB"/>
          <w14:ligatures w14:val="none"/>
        </w:rPr>
        <w:t xml:space="preserve"> G., Whittington, R., Scholes, K., Angwin, D. and </w:t>
      </w:r>
      <w:proofErr w:type="spellStart"/>
      <w:r w:rsidR="00995A54" w:rsidRPr="00430B60">
        <w:rPr>
          <w:rFonts w:ascii="Arial" w:eastAsia="Times New Roman" w:hAnsi="Arial" w:cs="Arial"/>
          <w:kern w:val="0"/>
          <w:sz w:val="24"/>
          <w:szCs w:val="24"/>
          <w:lang w:eastAsia="en-GB"/>
          <w14:ligatures w14:val="none"/>
        </w:rPr>
        <w:t>Regnér</w:t>
      </w:r>
      <w:proofErr w:type="spellEnd"/>
      <w:r w:rsidR="00995A54" w:rsidRPr="00430B60">
        <w:rPr>
          <w:rFonts w:ascii="Arial" w:eastAsia="Times New Roman" w:hAnsi="Arial" w:cs="Arial"/>
          <w:kern w:val="0"/>
          <w:sz w:val="24"/>
          <w:szCs w:val="24"/>
          <w:lang w:eastAsia="en-GB"/>
          <w14:ligatures w14:val="none"/>
        </w:rPr>
        <w:t>, P. (2023) Exploring Strategy: Text and Cases. 13th ed. Harlow: Pearson Education Limited.</w:t>
      </w:r>
    </w:p>
    <w:p w14:paraId="788C2ACE" w14:textId="4C058995" w:rsidR="00A12800" w:rsidRPr="00430B60" w:rsidRDefault="00A12800"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lastRenderedPageBreak/>
        <w:t xml:space="preserve">de Sousa, G.C. and Castañeda-Ayarza, J.A. (2022) 'PESTEL analysis and the macro-environmental factors that influence the development of the electric and hybrid vehicles industry in </w:t>
      </w:r>
      <w:proofErr w:type="spellStart"/>
      <w:r w:rsidRPr="00430B60">
        <w:rPr>
          <w:rFonts w:ascii="Arial" w:eastAsia="Times New Roman" w:hAnsi="Arial" w:cs="Arial"/>
          <w:kern w:val="0"/>
          <w:sz w:val="24"/>
          <w:szCs w:val="24"/>
          <w:lang w:eastAsia="en-GB"/>
          <w14:ligatures w14:val="none"/>
        </w:rPr>
        <w:t>brazil</w:t>
      </w:r>
      <w:proofErr w:type="spellEnd"/>
      <w:r w:rsidRPr="00430B60">
        <w:rPr>
          <w:rFonts w:ascii="Arial" w:eastAsia="Times New Roman" w:hAnsi="Arial" w:cs="Arial"/>
          <w:kern w:val="0"/>
          <w:sz w:val="24"/>
          <w:szCs w:val="24"/>
          <w:lang w:eastAsia="en-GB"/>
          <w14:ligatures w14:val="none"/>
        </w:rPr>
        <w:t>', </w:t>
      </w:r>
      <w:r w:rsidRPr="00430B60">
        <w:rPr>
          <w:rFonts w:ascii="Arial" w:eastAsia="Times New Roman" w:hAnsi="Arial" w:cs="Arial"/>
          <w:i/>
          <w:iCs/>
          <w:kern w:val="0"/>
          <w:sz w:val="24"/>
          <w:szCs w:val="24"/>
          <w:lang w:eastAsia="en-GB"/>
          <w14:ligatures w14:val="none"/>
        </w:rPr>
        <w:t>Case Studies on Transport Policy,</w:t>
      </w:r>
      <w:r w:rsidRPr="00430B60">
        <w:rPr>
          <w:rFonts w:ascii="Arial" w:eastAsia="Times New Roman" w:hAnsi="Arial" w:cs="Arial"/>
          <w:kern w:val="0"/>
          <w:sz w:val="24"/>
          <w:szCs w:val="24"/>
          <w:lang w:eastAsia="en-GB"/>
          <w14:ligatures w14:val="none"/>
        </w:rPr>
        <w:t> 10(1), pp. 686–699. Available at: </w:t>
      </w:r>
      <w:hyperlink r:id="rId14" w:tgtFrame="_blank" w:history="1">
        <w:r w:rsidRPr="00430B60">
          <w:rPr>
            <w:rStyle w:val="Hyperlink"/>
            <w:rFonts w:ascii="Arial" w:eastAsia="Times New Roman" w:hAnsi="Arial" w:cs="Arial"/>
            <w:kern w:val="0"/>
            <w:sz w:val="24"/>
            <w:szCs w:val="24"/>
            <w:lang w:eastAsia="en-GB"/>
            <w14:ligatures w14:val="none"/>
          </w:rPr>
          <w:t>https://doi.org/10.1016/j.cstp.2022.01.030</w:t>
        </w:r>
      </w:hyperlink>
      <w:r w:rsidRPr="00430B60">
        <w:rPr>
          <w:rFonts w:ascii="Arial" w:eastAsia="Times New Roman" w:hAnsi="Arial" w:cs="Arial"/>
          <w:kern w:val="0"/>
          <w:sz w:val="24"/>
          <w:szCs w:val="24"/>
          <w:lang w:eastAsia="en-GB"/>
          <w14:ligatures w14:val="none"/>
        </w:rPr>
        <w:t>.</w:t>
      </w:r>
    </w:p>
    <w:p w14:paraId="6B8C31E8" w14:textId="77777777" w:rsidR="002662B0" w:rsidRPr="00430B60" w:rsidRDefault="002662B0" w:rsidP="00430B60">
      <w:pPr>
        <w:spacing w:after="0" w:line="360" w:lineRule="auto"/>
        <w:jc w:val="both"/>
        <w:rPr>
          <w:rFonts w:ascii="Arial" w:eastAsia="Times New Roman" w:hAnsi="Arial" w:cs="Arial"/>
          <w:kern w:val="0"/>
          <w:sz w:val="24"/>
          <w:szCs w:val="24"/>
          <w:highlight w:val="yellow"/>
          <w:lang w:eastAsia="en-GB"/>
          <w14:ligatures w14:val="none"/>
        </w:rPr>
      </w:pPr>
    </w:p>
    <w:p w14:paraId="435D73FA" w14:textId="34CEB1EA" w:rsidR="00995A54" w:rsidRDefault="00995A54"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 xml:space="preserve">Nissan Global (2024) Integrated Report 2024. Available at: </w:t>
      </w:r>
      <w:hyperlink r:id="rId15" w:tgtFrame="_blank" w:history="1">
        <w:r w:rsidRPr="00430B60">
          <w:rPr>
            <w:rFonts w:ascii="Arial" w:eastAsia="Times New Roman" w:hAnsi="Arial" w:cs="Arial"/>
            <w:color w:val="0000FF"/>
            <w:kern w:val="0"/>
            <w:sz w:val="24"/>
            <w:szCs w:val="24"/>
            <w:u w:val="single"/>
            <w:lang w:eastAsia="en-GB"/>
            <w14:ligatures w14:val="none"/>
          </w:rPr>
          <w:t>https://www.nissan-global.com/EN/IR/INTEGRATED_REPORT/ASSETS/PDF/IR24_E_All.pdf</w:t>
        </w:r>
      </w:hyperlink>
      <w:r w:rsidRPr="00430B60">
        <w:rPr>
          <w:rFonts w:ascii="Arial" w:eastAsia="Times New Roman" w:hAnsi="Arial" w:cs="Arial"/>
          <w:kern w:val="0"/>
          <w:sz w:val="24"/>
          <w:szCs w:val="24"/>
          <w:lang w:eastAsia="en-GB"/>
          <w14:ligatures w14:val="none"/>
        </w:rPr>
        <w:t xml:space="preserve"> (Accessed: 19 March 2026 ).</w:t>
      </w:r>
    </w:p>
    <w:p w14:paraId="59D33FBA" w14:textId="77777777" w:rsidR="00073623" w:rsidRPr="00430B60" w:rsidRDefault="00073623" w:rsidP="00430B60">
      <w:pPr>
        <w:spacing w:after="0" w:line="360" w:lineRule="auto"/>
        <w:jc w:val="both"/>
        <w:rPr>
          <w:rFonts w:ascii="Arial" w:eastAsia="Times New Roman" w:hAnsi="Arial" w:cs="Arial"/>
          <w:kern w:val="0"/>
          <w:sz w:val="24"/>
          <w:szCs w:val="24"/>
          <w:lang w:eastAsia="en-GB"/>
          <w14:ligatures w14:val="none"/>
        </w:rPr>
      </w:pPr>
    </w:p>
    <w:p w14:paraId="733707FF" w14:textId="71324251" w:rsidR="00995A54" w:rsidRDefault="00995A54"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 xml:space="preserve">OICA (2025) World Vehicle Production Statistics 2024. International Organization of Motor Vehicle Manufacturers. Available at: </w:t>
      </w:r>
      <w:hyperlink r:id="rId16" w:history="1">
        <w:r w:rsidR="00157D61" w:rsidRPr="00430B60">
          <w:rPr>
            <w:rStyle w:val="Hyperlink"/>
            <w:rFonts w:ascii="Arial" w:eastAsia="Times New Roman" w:hAnsi="Arial" w:cs="Arial"/>
            <w:kern w:val="0"/>
            <w:sz w:val="24"/>
            <w:szCs w:val="24"/>
            <w:lang w:eastAsia="en-GB"/>
            <w14:ligatures w14:val="none"/>
          </w:rPr>
          <w:t>https://oica.net/</w:t>
        </w:r>
      </w:hyperlink>
      <w:r w:rsidRPr="00430B60">
        <w:rPr>
          <w:rFonts w:ascii="Arial" w:eastAsia="Times New Roman" w:hAnsi="Arial" w:cs="Arial"/>
          <w:kern w:val="0"/>
          <w:sz w:val="24"/>
          <w:szCs w:val="24"/>
          <w:lang w:eastAsia="en-GB"/>
          <w14:ligatures w14:val="none"/>
        </w:rPr>
        <w:t xml:space="preserve"> (Accessed: 19 March </w:t>
      </w:r>
      <w:r w:rsidR="00620A5F" w:rsidRPr="00430B60">
        <w:rPr>
          <w:rFonts w:ascii="Arial" w:eastAsia="Times New Roman" w:hAnsi="Arial" w:cs="Arial"/>
          <w:kern w:val="0"/>
          <w:sz w:val="24"/>
          <w:szCs w:val="24"/>
          <w:lang w:eastAsia="en-GB"/>
          <w14:ligatures w14:val="none"/>
        </w:rPr>
        <w:t>2026)</w:t>
      </w:r>
      <w:r w:rsidRPr="00430B60">
        <w:rPr>
          <w:rFonts w:ascii="Arial" w:eastAsia="Times New Roman" w:hAnsi="Arial" w:cs="Arial"/>
          <w:kern w:val="0"/>
          <w:sz w:val="24"/>
          <w:szCs w:val="24"/>
          <w:lang w:eastAsia="en-GB"/>
          <w14:ligatures w14:val="none"/>
        </w:rPr>
        <w:t>.</w:t>
      </w:r>
    </w:p>
    <w:p w14:paraId="06468593" w14:textId="77777777" w:rsidR="00073623" w:rsidRPr="00430B60" w:rsidRDefault="00073623" w:rsidP="00430B60">
      <w:pPr>
        <w:spacing w:after="0" w:line="360" w:lineRule="auto"/>
        <w:jc w:val="both"/>
        <w:rPr>
          <w:rFonts w:ascii="Arial" w:eastAsia="Times New Roman" w:hAnsi="Arial" w:cs="Arial"/>
          <w:kern w:val="0"/>
          <w:sz w:val="24"/>
          <w:szCs w:val="24"/>
          <w:lang w:eastAsia="en-GB"/>
          <w14:ligatures w14:val="none"/>
        </w:rPr>
      </w:pPr>
    </w:p>
    <w:p w14:paraId="6494C341" w14:textId="295AAC48" w:rsidR="00B6043D" w:rsidRDefault="00A177CC" w:rsidP="00430B60">
      <w:pPr>
        <w:spacing w:after="0" w:line="360" w:lineRule="auto"/>
        <w:jc w:val="both"/>
        <w:rPr>
          <w:rFonts w:ascii="Arial" w:eastAsia="Times New Roman" w:hAnsi="Arial" w:cs="Arial"/>
          <w:kern w:val="0"/>
          <w:sz w:val="24"/>
          <w:szCs w:val="24"/>
          <w:lang w:eastAsia="en-GB"/>
          <w14:ligatures w14:val="none"/>
        </w:rPr>
      </w:pPr>
      <w:proofErr w:type="spellStart"/>
      <w:r w:rsidRPr="00430B60">
        <w:rPr>
          <w:rFonts w:ascii="Arial" w:eastAsia="Times New Roman" w:hAnsi="Arial" w:cs="Arial"/>
          <w:kern w:val="0"/>
          <w:sz w:val="24"/>
          <w:szCs w:val="24"/>
          <w:lang w:eastAsia="en-GB"/>
          <w14:ligatures w14:val="none"/>
        </w:rPr>
        <w:t>Rísquez</w:t>
      </w:r>
      <w:proofErr w:type="spellEnd"/>
      <w:r w:rsidRPr="00430B60">
        <w:rPr>
          <w:rFonts w:ascii="Arial" w:eastAsia="Times New Roman" w:hAnsi="Arial" w:cs="Arial"/>
          <w:kern w:val="0"/>
          <w:sz w:val="24"/>
          <w:szCs w:val="24"/>
          <w:lang w:eastAsia="en-GB"/>
          <w14:ligatures w14:val="none"/>
        </w:rPr>
        <w:t xml:space="preserve"> Ramos, M. and Ruiz-Gálvez, M.E. (2024) 'The transformation of the automotive industry toward electrification and its impact on global value chains: Inter-plant competition, employment, and supply chains', </w:t>
      </w:r>
      <w:r w:rsidRPr="00430B60">
        <w:rPr>
          <w:rFonts w:ascii="Arial" w:eastAsia="Times New Roman" w:hAnsi="Arial" w:cs="Arial"/>
          <w:i/>
          <w:iCs/>
          <w:kern w:val="0"/>
          <w:sz w:val="24"/>
          <w:szCs w:val="24"/>
          <w:lang w:eastAsia="en-GB"/>
          <w14:ligatures w14:val="none"/>
        </w:rPr>
        <w:t>European Research on Management and Business Economics,</w:t>
      </w:r>
      <w:r w:rsidRPr="00430B60">
        <w:rPr>
          <w:rFonts w:ascii="Arial" w:eastAsia="Times New Roman" w:hAnsi="Arial" w:cs="Arial"/>
          <w:kern w:val="0"/>
          <w:sz w:val="24"/>
          <w:szCs w:val="24"/>
          <w:lang w:eastAsia="en-GB"/>
          <w14:ligatures w14:val="none"/>
        </w:rPr>
        <w:t> 30(1), pp. 1–12. Available at: </w:t>
      </w:r>
      <w:hyperlink r:id="rId17" w:tgtFrame="_blank" w:history="1">
        <w:r w:rsidRPr="00430B60">
          <w:rPr>
            <w:rStyle w:val="Hyperlink"/>
            <w:rFonts w:ascii="Arial" w:eastAsia="Times New Roman" w:hAnsi="Arial" w:cs="Arial"/>
            <w:kern w:val="0"/>
            <w:sz w:val="24"/>
            <w:szCs w:val="24"/>
            <w:lang w:eastAsia="en-GB"/>
            <w14:ligatures w14:val="none"/>
          </w:rPr>
          <w:t>https://doi.org/10.1016/j.iedeen.2024.100242</w:t>
        </w:r>
      </w:hyperlink>
      <w:r w:rsidRPr="00430B60">
        <w:rPr>
          <w:rFonts w:ascii="Arial" w:eastAsia="Times New Roman" w:hAnsi="Arial" w:cs="Arial"/>
          <w:kern w:val="0"/>
          <w:sz w:val="24"/>
          <w:szCs w:val="24"/>
          <w:lang w:eastAsia="en-GB"/>
          <w14:ligatures w14:val="none"/>
        </w:rPr>
        <w:t>.</w:t>
      </w:r>
    </w:p>
    <w:p w14:paraId="549BE391" w14:textId="77777777" w:rsidR="00073623" w:rsidRPr="00430B60" w:rsidRDefault="00073623" w:rsidP="00430B60">
      <w:pPr>
        <w:spacing w:after="0" w:line="360" w:lineRule="auto"/>
        <w:jc w:val="both"/>
        <w:rPr>
          <w:rFonts w:ascii="Arial" w:eastAsia="Times New Roman" w:hAnsi="Arial" w:cs="Arial"/>
          <w:kern w:val="0"/>
          <w:sz w:val="24"/>
          <w:szCs w:val="24"/>
          <w:lang w:eastAsia="en-GB"/>
          <w14:ligatures w14:val="none"/>
        </w:rPr>
      </w:pPr>
    </w:p>
    <w:p w14:paraId="332E9F96" w14:textId="7A0D2C77" w:rsidR="00F66433" w:rsidRDefault="00F66433"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Ravi, S.S. and Aziz, M. (2022) 'Utilization of electric vehicles for vehicle-to-grid services: Progress and perspectives', </w:t>
      </w:r>
      <w:r w:rsidRPr="00430B60">
        <w:rPr>
          <w:rFonts w:ascii="Arial" w:eastAsia="Times New Roman" w:hAnsi="Arial" w:cs="Arial"/>
          <w:i/>
          <w:iCs/>
          <w:kern w:val="0"/>
          <w:sz w:val="24"/>
          <w:szCs w:val="24"/>
          <w:lang w:eastAsia="en-GB"/>
          <w14:ligatures w14:val="none"/>
        </w:rPr>
        <w:t>Energies,</w:t>
      </w:r>
      <w:r w:rsidRPr="00430B60">
        <w:rPr>
          <w:rFonts w:ascii="Arial" w:eastAsia="Times New Roman" w:hAnsi="Arial" w:cs="Arial"/>
          <w:kern w:val="0"/>
          <w:sz w:val="24"/>
          <w:szCs w:val="24"/>
          <w:lang w:eastAsia="en-GB"/>
          <w14:ligatures w14:val="none"/>
        </w:rPr>
        <w:t> 15(2), pp. 589. Available at: </w:t>
      </w:r>
      <w:hyperlink r:id="rId18" w:tgtFrame="_blank" w:history="1">
        <w:r w:rsidRPr="00430B60">
          <w:rPr>
            <w:rStyle w:val="Hyperlink"/>
            <w:rFonts w:ascii="Arial" w:eastAsia="Times New Roman" w:hAnsi="Arial" w:cs="Arial"/>
            <w:kern w:val="0"/>
            <w:sz w:val="24"/>
            <w:szCs w:val="24"/>
            <w:lang w:eastAsia="en-GB"/>
            <w14:ligatures w14:val="none"/>
          </w:rPr>
          <w:t>https://doi.org/10.3390/en15020589</w:t>
        </w:r>
      </w:hyperlink>
      <w:r w:rsidRPr="00430B60">
        <w:rPr>
          <w:rFonts w:ascii="Arial" w:eastAsia="Times New Roman" w:hAnsi="Arial" w:cs="Arial"/>
          <w:kern w:val="0"/>
          <w:sz w:val="24"/>
          <w:szCs w:val="24"/>
          <w:lang w:eastAsia="en-GB"/>
          <w14:ligatures w14:val="none"/>
        </w:rPr>
        <w:t>.</w:t>
      </w:r>
    </w:p>
    <w:p w14:paraId="7DC97469" w14:textId="77777777" w:rsidR="00073623" w:rsidRPr="00430B60" w:rsidRDefault="00073623" w:rsidP="00430B60">
      <w:pPr>
        <w:spacing w:after="0" w:line="360" w:lineRule="auto"/>
        <w:jc w:val="both"/>
        <w:rPr>
          <w:rFonts w:ascii="Arial" w:eastAsia="Times New Roman" w:hAnsi="Arial" w:cs="Arial"/>
          <w:kern w:val="0"/>
          <w:sz w:val="24"/>
          <w:szCs w:val="24"/>
          <w:lang w:eastAsia="en-GB"/>
          <w14:ligatures w14:val="none"/>
        </w:rPr>
      </w:pPr>
    </w:p>
    <w:p w14:paraId="7C3D83C2" w14:textId="172B6111" w:rsidR="00D43FAC" w:rsidRDefault="00C6340A"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 xml:space="preserve">Shon, M., Kim, J. and Kim, H. (2026) 'Transforming the automotive industry: Defining, clustering, and efficiency analysis of the next-generation automotive ecosystem', </w:t>
      </w:r>
      <w:proofErr w:type="spellStart"/>
      <w:r w:rsidRPr="00430B60">
        <w:rPr>
          <w:rFonts w:ascii="Arial" w:eastAsia="Times New Roman" w:hAnsi="Arial" w:cs="Arial"/>
          <w:kern w:val="0"/>
          <w:sz w:val="24"/>
          <w:szCs w:val="24"/>
          <w:lang w:eastAsia="en-GB"/>
          <w14:ligatures w14:val="none"/>
        </w:rPr>
        <w:t>PloS</w:t>
      </w:r>
      <w:proofErr w:type="spellEnd"/>
      <w:r w:rsidRPr="00430B60">
        <w:rPr>
          <w:rFonts w:ascii="Arial" w:eastAsia="Times New Roman" w:hAnsi="Arial" w:cs="Arial"/>
          <w:kern w:val="0"/>
          <w:sz w:val="24"/>
          <w:szCs w:val="24"/>
          <w:lang w:eastAsia="en-GB"/>
          <w14:ligatures w14:val="none"/>
        </w:rPr>
        <w:t xml:space="preserve"> One,21(2),pp.e0343135.Availableat: </w:t>
      </w:r>
      <w:hyperlink r:id="rId19" w:history="1">
        <w:r w:rsidR="00D43FAC" w:rsidRPr="00430B60">
          <w:rPr>
            <w:rStyle w:val="Hyperlink"/>
            <w:rFonts w:ascii="Arial" w:eastAsia="Times New Roman" w:hAnsi="Arial" w:cs="Arial"/>
            <w:kern w:val="0"/>
            <w:sz w:val="24"/>
            <w:szCs w:val="24"/>
            <w:lang w:eastAsia="en-GB"/>
            <w14:ligatures w14:val="none"/>
          </w:rPr>
          <w:t>https://doi.org/10.1371/journal.pone.0343135</w:t>
        </w:r>
      </w:hyperlink>
      <w:r w:rsidRPr="00430B60">
        <w:rPr>
          <w:rFonts w:ascii="Arial" w:eastAsia="Times New Roman" w:hAnsi="Arial" w:cs="Arial"/>
          <w:kern w:val="0"/>
          <w:sz w:val="24"/>
          <w:szCs w:val="24"/>
          <w:lang w:eastAsia="en-GB"/>
          <w14:ligatures w14:val="none"/>
        </w:rPr>
        <w:t>.</w:t>
      </w:r>
    </w:p>
    <w:p w14:paraId="41C40DC5" w14:textId="77777777" w:rsidR="00073623" w:rsidRPr="00430B60" w:rsidRDefault="00073623" w:rsidP="00430B60">
      <w:pPr>
        <w:spacing w:after="0" w:line="360" w:lineRule="auto"/>
        <w:jc w:val="both"/>
        <w:rPr>
          <w:rFonts w:ascii="Arial" w:eastAsia="Times New Roman" w:hAnsi="Arial" w:cs="Arial"/>
          <w:kern w:val="0"/>
          <w:sz w:val="24"/>
          <w:szCs w:val="24"/>
          <w:lang w:eastAsia="en-GB"/>
          <w14:ligatures w14:val="none"/>
        </w:rPr>
      </w:pPr>
    </w:p>
    <w:p w14:paraId="016A3472" w14:textId="3E1E2EDB" w:rsidR="00995A54" w:rsidRPr="00430B60" w:rsidRDefault="00995A54"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SMMT (202</w:t>
      </w:r>
      <w:r w:rsidR="00847B96" w:rsidRPr="00430B60">
        <w:rPr>
          <w:rFonts w:ascii="Arial" w:eastAsia="Times New Roman" w:hAnsi="Arial" w:cs="Arial"/>
          <w:kern w:val="0"/>
          <w:sz w:val="24"/>
          <w:szCs w:val="24"/>
          <w:lang w:eastAsia="en-GB"/>
          <w14:ligatures w14:val="none"/>
        </w:rPr>
        <w:t>6</w:t>
      </w:r>
      <w:r w:rsidRPr="00430B60">
        <w:rPr>
          <w:rFonts w:ascii="Arial" w:eastAsia="Times New Roman" w:hAnsi="Arial" w:cs="Arial"/>
          <w:kern w:val="0"/>
          <w:sz w:val="24"/>
          <w:szCs w:val="24"/>
          <w:lang w:eastAsia="en-GB"/>
          <w14:ligatures w14:val="none"/>
        </w:rPr>
        <w:t>) SMMT Motor Industry Facts 202</w:t>
      </w:r>
      <w:r w:rsidR="00E3692E" w:rsidRPr="00430B60">
        <w:rPr>
          <w:rFonts w:ascii="Arial" w:eastAsia="Times New Roman" w:hAnsi="Arial" w:cs="Arial"/>
          <w:kern w:val="0"/>
          <w:sz w:val="24"/>
          <w:szCs w:val="24"/>
          <w:lang w:eastAsia="en-GB"/>
          <w14:ligatures w14:val="none"/>
        </w:rPr>
        <w:t>6</w:t>
      </w:r>
      <w:r w:rsidRPr="00430B60">
        <w:rPr>
          <w:rFonts w:ascii="Arial" w:eastAsia="Times New Roman" w:hAnsi="Arial" w:cs="Arial"/>
          <w:kern w:val="0"/>
          <w:sz w:val="24"/>
          <w:szCs w:val="24"/>
          <w:lang w:eastAsia="en-GB"/>
          <w14:ligatures w14:val="none"/>
        </w:rPr>
        <w:t xml:space="preserve">. Society of Motor Manufacturers and Traders. Available at: </w:t>
      </w:r>
      <w:r w:rsidR="00847B96" w:rsidRPr="00430B60">
        <w:rPr>
          <w:rFonts w:ascii="Arial" w:hAnsi="Arial" w:cs="Arial"/>
          <w:color w:val="215E99" w:themeColor="text2" w:themeTint="BF"/>
          <w:sz w:val="24"/>
          <w:szCs w:val="24"/>
        </w:rPr>
        <w:t>https://smmtweb.lon1.cdn.digitaloceanspaces.com/wp-content/uploads/2026/02/SMMT-FACTS-2026-FINAL.pdf</w:t>
      </w:r>
      <w:r w:rsidRPr="00430B60">
        <w:rPr>
          <w:rFonts w:ascii="Arial" w:eastAsia="Times New Roman" w:hAnsi="Arial" w:cs="Arial"/>
          <w:color w:val="215E99" w:themeColor="text2" w:themeTint="BF"/>
          <w:kern w:val="0"/>
          <w:sz w:val="24"/>
          <w:szCs w:val="24"/>
          <w:lang w:eastAsia="en-GB"/>
          <w14:ligatures w14:val="none"/>
        </w:rPr>
        <w:t xml:space="preserve"> </w:t>
      </w:r>
      <w:r w:rsidRPr="00430B60">
        <w:rPr>
          <w:rFonts w:ascii="Arial" w:eastAsia="Times New Roman" w:hAnsi="Arial" w:cs="Arial"/>
          <w:kern w:val="0"/>
          <w:sz w:val="24"/>
          <w:szCs w:val="24"/>
          <w:lang w:eastAsia="en-GB"/>
          <w14:ligatures w14:val="none"/>
        </w:rPr>
        <w:t xml:space="preserve">(Accessed: 19 March </w:t>
      </w:r>
      <w:proofErr w:type="gramStart"/>
      <w:r w:rsidRPr="00430B60">
        <w:rPr>
          <w:rFonts w:ascii="Arial" w:eastAsia="Times New Roman" w:hAnsi="Arial" w:cs="Arial"/>
          <w:kern w:val="0"/>
          <w:sz w:val="24"/>
          <w:szCs w:val="24"/>
          <w:lang w:eastAsia="en-GB"/>
          <w14:ligatures w14:val="none"/>
        </w:rPr>
        <w:t>2026 )</w:t>
      </w:r>
      <w:proofErr w:type="gramEnd"/>
      <w:r w:rsidRPr="00430B60">
        <w:rPr>
          <w:rFonts w:ascii="Arial" w:eastAsia="Times New Roman" w:hAnsi="Arial" w:cs="Arial"/>
          <w:kern w:val="0"/>
          <w:sz w:val="24"/>
          <w:szCs w:val="24"/>
          <w:lang w:eastAsia="en-GB"/>
          <w14:ligatures w14:val="none"/>
        </w:rPr>
        <w:t>.</w:t>
      </w:r>
    </w:p>
    <w:p w14:paraId="626AA937" w14:textId="77777777" w:rsidR="00995A54" w:rsidRPr="00430B60" w:rsidRDefault="00995A54" w:rsidP="00430B60">
      <w:pPr>
        <w:spacing w:after="0" w:line="360" w:lineRule="auto"/>
        <w:jc w:val="both"/>
        <w:rPr>
          <w:rFonts w:ascii="Arial" w:eastAsia="Times New Roman" w:hAnsi="Arial" w:cs="Arial"/>
          <w:kern w:val="0"/>
          <w:sz w:val="24"/>
          <w:szCs w:val="24"/>
          <w:lang w:eastAsia="en-GB"/>
          <w14:ligatures w14:val="none"/>
        </w:rPr>
      </w:pPr>
      <w:r w:rsidRPr="00430B60">
        <w:rPr>
          <w:rFonts w:ascii="Arial" w:eastAsia="Times New Roman" w:hAnsi="Arial" w:cs="Arial"/>
          <w:kern w:val="0"/>
          <w:sz w:val="24"/>
          <w:szCs w:val="24"/>
          <w:lang w:eastAsia="en-GB"/>
          <w14:ligatures w14:val="none"/>
        </w:rPr>
        <w:t xml:space="preserve">UK Government (2025) Nissan launches £450m next-generation LEAF in major vote of confidence in UK's Industrial Strategy. Department for Business and Trade. Available at: </w:t>
      </w:r>
      <w:hyperlink r:id="rId20" w:tgtFrame="_blank" w:history="1">
        <w:r w:rsidRPr="00430B60">
          <w:rPr>
            <w:rFonts w:ascii="Arial" w:eastAsia="Times New Roman" w:hAnsi="Arial" w:cs="Arial"/>
            <w:color w:val="0000FF"/>
            <w:kern w:val="0"/>
            <w:sz w:val="24"/>
            <w:szCs w:val="24"/>
            <w:u w:val="single"/>
            <w:lang w:eastAsia="en-GB"/>
            <w14:ligatures w14:val="none"/>
          </w:rPr>
          <w:t>https://www.gov.uk/government/news/nissan-launches-450m-next-</w:t>
        </w:r>
        <w:r w:rsidRPr="00430B60">
          <w:rPr>
            <w:rFonts w:ascii="Arial" w:eastAsia="Times New Roman" w:hAnsi="Arial" w:cs="Arial"/>
            <w:color w:val="0000FF"/>
            <w:kern w:val="0"/>
            <w:sz w:val="24"/>
            <w:szCs w:val="24"/>
            <w:u w:val="single"/>
            <w:lang w:eastAsia="en-GB"/>
            <w14:ligatures w14:val="none"/>
          </w:rPr>
          <w:lastRenderedPageBreak/>
          <w:t>generation-leafin-major-vote-of-confidence-in-uks-industrial-strategy</w:t>
        </w:r>
      </w:hyperlink>
      <w:r w:rsidRPr="00430B60">
        <w:rPr>
          <w:rFonts w:ascii="Arial" w:eastAsia="Times New Roman" w:hAnsi="Arial" w:cs="Arial"/>
          <w:kern w:val="0"/>
          <w:sz w:val="24"/>
          <w:szCs w:val="24"/>
          <w:lang w:eastAsia="en-GB"/>
          <w14:ligatures w14:val="none"/>
        </w:rPr>
        <w:t xml:space="preserve"> (Accessed: 19 March 2026 ).</w:t>
      </w:r>
    </w:p>
    <w:p w14:paraId="3C80E418" w14:textId="77777777" w:rsidR="00121CB7" w:rsidRDefault="00121CB7"/>
    <w:p w14:paraId="189C8B30" w14:textId="77777777" w:rsidR="00121CB7" w:rsidRDefault="00121CB7"/>
    <w:sectPr w:rsidR="00121C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54AB9"/>
    <w:multiLevelType w:val="hybridMultilevel"/>
    <w:tmpl w:val="D602AC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90101C"/>
    <w:multiLevelType w:val="multilevel"/>
    <w:tmpl w:val="594405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1F275A8"/>
    <w:multiLevelType w:val="hybridMultilevel"/>
    <w:tmpl w:val="E0162DF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2F4107B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A2128E8"/>
    <w:multiLevelType w:val="multilevel"/>
    <w:tmpl w:val="ED5EE278"/>
    <w:lvl w:ilvl="0">
      <w:start w:val="1"/>
      <w:numFmt w:val="decimal"/>
      <w:pStyle w:val="Heading1"/>
      <w:lvlText w:val="%1"/>
      <w:lvlJc w:val="left"/>
      <w:pPr>
        <w:ind w:left="432" w:hanging="432"/>
      </w:pPr>
      <w:rPr>
        <w:rFonts w:hint="default"/>
      </w:rPr>
    </w:lvl>
    <w:lvl w:ilvl="1">
      <w:start w:val="1"/>
      <w:numFmt w:val="none"/>
      <w:lvlText w:val="2.3"/>
      <w:lvlJc w:val="left"/>
      <w:pPr>
        <w:ind w:left="360" w:hanging="360"/>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5" w15:restartNumberingAfterBreak="0">
    <w:nsid w:val="5A3D2D20"/>
    <w:multiLevelType w:val="multilevel"/>
    <w:tmpl w:val="EC1467F8"/>
    <w:lvl w:ilvl="0">
      <w:start w:val="1"/>
      <w:numFmt w:val="decimal"/>
      <w:lvlText w:val="%1."/>
      <w:lvlJc w:val="left"/>
      <w:pPr>
        <w:ind w:left="720" w:hanging="360"/>
      </w:pPr>
    </w:lvl>
    <w:lvl w:ilvl="1">
      <w:start w:val="1"/>
      <w:numFmt w:val="decimal"/>
      <w:isLgl/>
      <w:lvlText w:val="%1.%2"/>
      <w:lvlJc w:val="left"/>
      <w:pPr>
        <w:ind w:left="840" w:hanging="480"/>
      </w:pPr>
      <w:rPr>
        <w:rFonts w:asciiTheme="majorHAnsi" w:eastAsiaTheme="majorEastAsia" w:hAnsiTheme="majorHAnsi" w:cstheme="majorBidi" w:hint="default"/>
        <w:b w:val="0"/>
        <w:sz w:val="32"/>
      </w:rPr>
    </w:lvl>
    <w:lvl w:ilvl="2">
      <w:start w:val="1"/>
      <w:numFmt w:val="decimal"/>
      <w:isLgl/>
      <w:lvlText w:val="%1.%2.%3"/>
      <w:lvlJc w:val="left"/>
      <w:pPr>
        <w:ind w:left="1080" w:hanging="720"/>
      </w:pPr>
      <w:rPr>
        <w:rFonts w:asciiTheme="majorHAnsi" w:eastAsiaTheme="majorEastAsia" w:hAnsiTheme="majorHAnsi" w:cstheme="majorBidi" w:hint="default"/>
        <w:b w:val="0"/>
        <w:sz w:val="32"/>
      </w:rPr>
    </w:lvl>
    <w:lvl w:ilvl="3">
      <w:start w:val="1"/>
      <w:numFmt w:val="decimal"/>
      <w:isLgl/>
      <w:lvlText w:val="%1.%2.%3.%4"/>
      <w:lvlJc w:val="left"/>
      <w:pPr>
        <w:ind w:left="1080" w:hanging="720"/>
      </w:pPr>
      <w:rPr>
        <w:rFonts w:asciiTheme="majorHAnsi" w:eastAsiaTheme="majorEastAsia" w:hAnsiTheme="majorHAnsi" w:cstheme="majorBidi" w:hint="default"/>
        <w:b w:val="0"/>
        <w:sz w:val="32"/>
      </w:rPr>
    </w:lvl>
    <w:lvl w:ilvl="4">
      <w:start w:val="1"/>
      <w:numFmt w:val="decimal"/>
      <w:isLgl/>
      <w:lvlText w:val="%1.%2.%3.%4.%5"/>
      <w:lvlJc w:val="left"/>
      <w:pPr>
        <w:ind w:left="1440" w:hanging="1080"/>
      </w:pPr>
      <w:rPr>
        <w:rFonts w:asciiTheme="majorHAnsi" w:eastAsiaTheme="majorEastAsia" w:hAnsiTheme="majorHAnsi" w:cstheme="majorBidi" w:hint="default"/>
        <w:b w:val="0"/>
        <w:sz w:val="32"/>
      </w:rPr>
    </w:lvl>
    <w:lvl w:ilvl="5">
      <w:start w:val="1"/>
      <w:numFmt w:val="decimal"/>
      <w:isLgl/>
      <w:lvlText w:val="%1.%2.%3.%4.%5.%6"/>
      <w:lvlJc w:val="left"/>
      <w:pPr>
        <w:ind w:left="1440" w:hanging="1080"/>
      </w:pPr>
      <w:rPr>
        <w:rFonts w:asciiTheme="majorHAnsi" w:eastAsiaTheme="majorEastAsia" w:hAnsiTheme="majorHAnsi" w:cstheme="majorBidi" w:hint="default"/>
        <w:b w:val="0"/>
        <w:sz w:val="32"/>
      </w:rPr>
    </w:lvl>
    <w:lvl w:ilvl="6">
      <w:start w:val="1"/>
      <w:numFmt w:val="decimal"/>
      <w:isLgl/>
      <w:lvlText w:val="%1.%2.%3.%4.%5.%6.%7"/>
      <w:lvlJc w:val="left"/>
      <w:pPr>
        <w:ind w:left="1800" w:hanging="1440"/>
      </w:pPr>
      <w:rPr>
        <w:rFonts w:asciiTheme="majorHAnsi" w:eastAsiaTheme="majorEastAsia" w:hAnsiTheme="majorHAnsi" w:cstheme="majorBidi" w:hint="default"/>
        <w:b w:val="0"/>
        <w:sz w:val="32"/>
      </w:rPr>
    </w:lvl>
    <w:lvl w:ilvl="7">
      <w:start w:val="1"/>
      <w:numFmt w:val="decimal"/>
      <w:isLgl/>
      <w:lvlText w:val="%1.%2.%3.%4.%5.%6.%7.%8"/>
      <w:lvlJc w:val="left"/>
      <w:pPr>
        <w:ind w:left="1800" w:hanging="1440"/>
      </w:pPr>
      <w:rPr>
        <w:rFonts w:asciiTheme="majorHAnsi" w:eastAsiaTheme="majorEastAsia" w:hAnsiTheme="majorHAnsi" w:cstheme="majorBidi" w:hint="default"/>
        <w:b w:val="0"/>
        <w:sz w:val="32"/>
      </w:rPr>
    </w:lvl>
    <w:lvl w:ilvl="8">
      <w:start w:val="1"/>
      <w:numFmt w:val="decimal"/>
      <w:isLgl/>
      <w:lvlText w:val="%1.%2.%3.%4.%5.%6.%7.%8.%9"/>
      <w:lvlJc w:val="left"/>
      <w:pPr>
        <w:ind w:left="2160" w:hanging="1800"/>
      </w:pPr>
      <w:rPr>
        <w:rFonts w:asciiTheme="majorHAnsi" w:eastAsiaTheme="majorEastAsia" w:hAnsiTheme="majorHAnsi" w:cstheme="majorBidi" w:hint="default"/>
        <w:b w:val="0"/>
        <w:sz w:val="32"/>
      </w:rPr>
    </w:lvl>
  </w:abstractNum>
  <w:abstractNum w:abstractNumId="6" w15:restartNumberingAfterBreak="0">
    <w:nsid w:val="6D872A4E"/>
    <w:multiLevelType w:val="multilevel"/>
    <w:tmpl w:val="1DB03C06"/>
    <w:lvl w:ilvl="0">
      <w:start w:val="1"/>
      <w:numFmt w:val="decimal"/>
      <w:lvlText w:val="%1."/>
      <w:lvlJc w:val="left"/>
      <w:pPr>
        <w:ind w:left="720" w:hanging="360"/>
      </w:pPr>
      <w:rPr>
        <w:rFonts w:hint="default"/>
      </w:rPr>
    </w:lvl>
    <w:lvl w:ilvl="1">
      <w:start w:val="1"/>
      <w:numFmt w:val="none"/>
      <w:isLgl/>
      <w:lvlText w:val="2.2"/>
      <w:lvlJc w:val="left"/>
      <w:pPr>
        <w:ind w:left="750" w:hanging="480"/>
      </w:pPr>
      <w:rPr>
        <w:rFonts w:asciiTheme="majorHAnsi" w:eastAsiaTheme="majorEastAsia" w:hAnsiTheme="majorHAnsi" w:cstheme="majorBidi" w:hint="default"/>
        <w:b w:val="0"/>
        <w:sz w:val="32"/>
      </w:rPr>
    </w:lvl>
    <w:lvl w:ilvl="2">
      <w:start w:val="1"/>
      <w:numFmt w:val="decimal"/>
      <w:isLgl/>
      <w:lvlText w:val="%1.%2.%3"/>
      <w:lvlJc w:val="left"/>
      <w:pPr>
        <w:ind w:left="1080" w:hanging="720"/>
      </w:pPr>
      <w:rPr>
        <w:rFonts w:asciiTheme="majorHAnsi" w:eastAsiaTheme="majorEastAsia" w:hAnsiTheme="majorHAnsi" w:cstheme="majorBidi" w:hint="default"/>
        <w:b w:val="0"/>
        <w:sz w:val="32"/>
      </w:rPr>
    </w:lvl>
    <w:lvl w:ilvl="3">
      <w:start w:val="1"/>
      <w:numFmt w:val="decimal"/>
      <w:isLgl/>
      <w:lvlText w:val="%1.%2.%3.%4"/>
      <w:lvlJc w:val="left"/>
      <w:pPr>
        <w:ind w:left="1080" w:hanging="720"/>
      </w:pPr>
      <w:rPr>
        <w:rFonts w:asciiTheme="majorHAnsi" w:eastAsiaTheme="majorEastAsia" w:hAnsiTheme="majorHAnsi" w:cstheme="majorBidi" w:hint="default"/>
        <w:b w:val="0"/>
        <w:sz w:val="32"/>
      </w:rPr>
    </w:lvl>
    <w:lvl w:ilvl="4">
      <w:start w:val="1"/>
      <w:numFmt w:val="decimal"/>
      <w:isLgl/>
      <w:lvlText w:val="%1.%2.%3.%4.%5"/>
      <w:lvlJc w:val="left"/>
      <w:pPr>
        <w:ind w:left="1440" w:hanging="1080"/>
      </w:pPr>
      <w:rPr>
        <w:rFonts w:asciiTheme="majorHAnsi" w:eastAsiaTheme="majorEastAsia" w:hAnsiTheme="majorHAnsi" w:cstheme="majorBidi" w:hint="default"/>
        <w:b w:val="0"/>
        <w:sz w:val="32"/>
      </w:rPr>
    </w:lvl>
    <w:lvl w:ilvl="5">
      <w:start w:val="1"/>
      <w:numFmt w:val="decimal"/>
      <w:isLgl/>
      <w:lvlText w:val="%1.%2.%3.%4.%5.%6"/>
      <w:lvlJc w:val="left"/>
      <w:pPr>
        <w:ind w:left="1440" w:hanging="1080"/>
      </w:pPr>
      <w:rPr>
        <w:rFonts w:asciiTheme="majorHAnsi" w:eastAsiaTheme="majorEastAsia" w:hAnsiTheme="majorHAnsi" w:cstheme="majorBidi" w:hint="default"/>
        <w:b w:val="0"/>
        <w:sz w:val="32"/>
      </w:rPr>
    </w:lvl>
    <w:lvl w:ilvl="6">
      <w:start w:val="1"/>
      <w:numFmt w:val="decimal"/>
      <w:isLgl/>
      <w:lvlText w:val="%1.%2.%3.%4.%5.%6.%7"/>
      <w:lvlJc w:val="left"/>
      <w:pPr>
        <w:ind w:left="1800" w:hanging="1440"/>
      </w:pPr>
      <w:rPr>
        <w:rFonts w:asciiTheme="majorHAnsi" w:eastAsiaTheme="majorEastAsia" w:hAnsiTheme="majorHAnsi" w:cstheme="majorBidi" w:hint="default"/>
        <w:b w:val="0"/>
        <w:sz w:val="32"/>
      </w:rPr>
    </w:lvl>
    <w:lvl w:ilvl="7">
      <w:start w:val="1"/>
      <w:numFmt w:val="decimal"/>
      <w:isLgl/>
      <w:lvlText w:val="%1.%2.%3.%4.%5.%6.%7.%8"/>
      <w:lvlJc w:val="left"/>
      <w:pPr>
        <w:ind w:left="1800" w:hanging="1440"/>
      </w:pPr>
      <w:rPr>
        <w:rFonts w:asciiTheme="majorHAnsi" w:eastAsiaTheme="majorEastAsia" w:hAnsiTheme="majorHAnsi" w:cstheme="majorBidi" w:hint="default"/>
        <w:b w:val="0"/>
        <w:sz w:val="32"/>
      </w:rPr>
    </w:lvl>
    <w:lvl w:ilvl="8">
      <w:start w:val="1"/>
      <w:numFmt w:val="decimal"/>
      <w:isLgl/>
      <w:lvlText w:val="%1.%2.%3.%4.%5.%6.%7.%8.%9"/>
      <w:lvlJc w:val="left"/>
      <w:pPr>
        <w:ind w:left="2160" w:hanging="1800"/>
      </w:pPr>
      <w:rPr>
        <w:rFonts w:asciiTheme="majorHAnsi" w:eastAsiaTheme="majorEastAsia" w:hAnsiTheme="majorHAnsi" w:cstheme="majorBidi" w:hint="default"/>
        <w:b w:val="0"/>
        <w:sz w:val="32"/>
      </w:rPr>
    </w:lvl>
  </w:abstractNum>
  <w:num w:numId="1" w16cid:durableId="1789080508">
    <w:abstractNumId w:val="6"/>
  </w:num>
  <w:num w:numId="2" w16cid:durableId="374693754">
    <w:abstractNumId w:val="0"/>
  </w:num>
  <w:num w:numId="3" w16cid:durableId="2133860928">
    <w:abstractNumId w:val="3"/>
  </w:num>
  <w:num w:numId="4" w16cid:durableId="447283718">
    <w:abstractNumId w:val="5"/>
  </w:num>
  <w:num w:numId="5" w16cid:durableId="386497624">
    <w:abstractNumId w:val="2"/>
  </w:num>
  <w:num w:numId="6" w16cid:durableId="530386073">
    <w:abstractNumId w:val="1"/>
  </w:num>
  <w:num w:numId="7" w16cid:durableId="1276405017">
    <w:abstractNumId w:val="4"/>
  </w:num>
  <w:num w:numId="8" w16cid:durableId="424687183">
    <w:abstractNumId w:val="4"/>
  </w:num>
  <w:num w:numId="9" w16cid:durableId="1846822614">
    <w:abstractNumId w:val="4"/>
  </w:num>
  <w:num w:numId="10" w16cid:durableId="41263173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CB7"/>
    <w:rsid w:val="0005662D"/>
    <w:rsid w:val="00065605"/>
    <w:rsid w:val="00073623"/>
    <w:rsid w:val="00076237"/>
    <w:rsid w:val="000A22CA"/>
    <w:rsid w:val="00121CB7"/>
    <w:rsid w:val="00157D61"/>
    <w:rsid w:val="00176E28"/>
    <w:rsid w:val="001B3BBE"/>
    <w:rsid w:val="001D3811"/>
    <w:rsid w:val="001D4946"/>
    <w:rsid w:val="0023346E"/>
    <w:rsid w:val="00256C92"/>
    <w:rsid w:val="002662B0"/>
    <w:rsid w:val="00273190"/>
    <w:rsid w:val="002D0EF9"/>
    <w:rsid w:val="0031772F"/>
    <w:rsid w:val="00331EB6"/>
    <w:rsid w:val="00395B45"/>
    <w:rsid w:val="00396814"/>
    <w:rsid w:val="003C663C"/>
    <w:rsid w:val="00430B60"/>
    <w:rsid w:val="004610BB"/>
    <w:rsid w:val="00475EDB"/>
    <w:rsid w:val="004C4FE8"/>
    <w:rsid w:val="0051600F"/>
    <w:rsid w:val="0057692D"/>
    <w:rsid w:val="00620A5F"/>
    <w:rsid w:val="00620E17"/>
    <w:rsid w:val="00661F78"/>
    <w:rsid w:val="00682536"/>
    <w:rsid w:val="00683BBC"/>
    <w:rsid w:val="006A0501"/>
    <w:rsid w:val="00751D49"/>
    <w:rsid w:val="007D1566"/>
    <w:rsid w:val="0080675D"/>
    <w:rsid w:val="00827A97"/>
    <w:rsid w:val="008423A8"/>
    <w:rsid w:val="00847B96"/>
    <w:rsid w:val="00894417"/>
    <w:rsid w:val="008A67A4"/>
    <w:rsid w:val="008B2C07"/>
    <w:rsid w:val="008E5541"/>
    <w:rsid w:val="00995A54"/>
    <w:rsid w:val="009A2FE5"/>
    <w:rsid w:val="009C743F"/>
    <w:rsid w:val="00A12800"/>
    <w:rsid w:val="00A177CC"/>
    <w:rsid w:val="00A22447"/>
    <w:rsid w:val="00A44273"/>
    <w:rsid w:val="00A46BA9"/>
    <w:rsid w:val="00AC5E2E"/>
    <w:rsid w:val="00B102D3"/>
    <w:rsid w:val="00B3308C"/>
    <w:rsid w:val="00B6043D"/>
    <w:rsid w:val="00B7393D"/>
    <w:rsid w:val="00B91D86"/>
    <w:rsid w:val="00BB1117"/>
    <w:rsid w:val="00BF196D"/>
    <w:rsid w:val="00C6340A"/>
    <w:rsid w:val="00C70C3C"/>
    <w:rsid w:val="00C750B0"/>
    <w:rsid w:val="00C94CC1"/>
    <w:rsid w:val="00CA3150"/>
    <w:rsid w:val="00CA6D55"/>
    <w:rsid w:val="00D43FAC"/>
    <w:rsid w:val="00DD0EC7"/>
    <w:rsid w:val="00DE6CC3"/>
    <w:rsid w:val="00DF17DD"/>
    <w:rsid w:val="00E27A9A"/>
    <w:rsid w:val="00E3692E"/>
    <w:rsid w:val="00E54A89"/>
    <w:rsid w:val="00E611F7"/>
    <w:rsid w:val="00E61AF6"/>
    <w:rsid w:val="00EE2C5F"/>
    <w:rsid w:val="00EF27B3"/>
    <w:rsid w:val="00F0033E"/>
    <w:rsid w:val="00F31E35"/>
    <w:rsid w:val="00F66433"/>
    <w:rsid w:val="00F735FE"/>
    <w:rsid w:val="00F800DE"/>
    <w:rsid w:val="00FA0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3B0C4"/>
  <w15:chartTrackingRefBased/>
  <w15:docId w15:val="{D21A0862-9E86-41EC-8DD9-CB3738CCA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CB7"/>
    <w:pPr>
      <w:keepNext/>
      <w:keepLines/>
      <w:numPr>
        <w:numId w:val="8"/>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1C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21CB7"/>
    <w:pPr>
      <w:keepNext/>
      <w:keepLines/>
      <w:numPr>
        <w:ilvl w:val="2"/>
        <w:numId w:val="8"/>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1CB7"/>
    <w:pPr>
      <w:keepNext/>
      <w:keepLines/>
      <w:numPr>
        <w:ilvl w:val="3"/>
        <w:numId w:val="8"/>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1CB7"/>
    <w:pPr>
      <w:keepNext/>
      <w:keepLines/>
      <w:numPr>
        <w:ilvl w:val="4"/>
        <w:numId w:val="8"/>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1CB7"/>
    <w:pPr>
      <w:keepNext/>
      <w:keepLines/>
      <w:numPr>
        <w:ilvl w:val="5"/>
        <w:numId w:val="8"/>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1CB7"/>
    <w:pPr>
      <w:keepNext/>
      <w:keepLines/>
      <w:numPr>
        <w:ilvl w:val="6"/>
        <w:numId w:val="8"/>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1CB7"/>
    <w:pPr>
      <w:keepNext/>
      <w:keepLines/>
      <w:numPr>
        <w:ilvl w:val="7"/>
        <w:numId w:val="8"/>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1CB7"/>
    <w:pPr>
      <w:keepNext/>
      <w:keepLines/>
      <w:numPr>
        <w:ilvl w:val="8"/>
        <w:numId w:val="8"/>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C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1C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21C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1C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1C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1C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C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C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CB7"/>
    <w:rPr>
      <w:rFonts w:eastAsiaTheme="majorEastAsia" w:cstheme="majorBidi"/>
      <w:color w:val="272727" w:themeColor="text1" w:themeTint="D8"/>
    </w:rPr>
  </w:style>
  <w:style w:type="paragraph" w:styleId="Title">
    <w:name w:val="Title"/>
    <w:basedOn w:val="Normal"/>
    <w:next w:val="Normal"/>
    <w:link w:val="TitleChar"/>
    <w:uiPriority w:val="10"/>
    <w:qFormat/>
    <w:rsid w:val="00121C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C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C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C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CB7"/>
    <w:pPr>
      <w:spacing w:before="160"/>
      <w:jc w:val="center"/>
    </w:pPr>
    <w:rPr>
      <w:i/>
      <w:iCs/>
      <w:color w:val="404040" w:themeColor="text1" w:themeTint="BF"/>
    </w:rPr>
  </w:style>
  <w:style w:type="character" w:customStyle="1" w:styleId="QuoteChar">
    <w:name w:val="Quote Char"/>
    <w:basedOn w:val="DefaultParagraphFont"/>
    <w:link w:val="Quote"/>
    <w:uiPriority w:val="29"/>
    <w:rsid w:val="00121CB7"/>
    <w:rPr>
      <w:i/>
      <w:iCs/>
      <w:color w:val="404040" w:themeColor="text1" w:themeTint="BF"/>
    </w:rPr>
  </w:style>
  <w:style w:type="paragraph" w:styleId="ListParagraph">
    <w:name w:val="List Paragraph"/>
    <w:basedOn w:val="Normal"/>
    <w:uiPriority w:val="34"/>
    <w:qFormat/>
    <w:rsid w:val="00121CB7"/>
    <w:pPr>
      <w:ind w:left="720"/>
      <w:contextualSpacing/>
    </w:pPr>
  </w:style>
  <w:style w:type="character" w:styleId="IntenseEmphasis">
    <w:name w:val="Intense Emphasis"/>
    <w:basedOn w:val="DefaultParagraphFont"/>
    <w:uiPriority w:val="21"/>
    <w:qFormat/>
    <w:rsid w:val="00121CB7"/>
    <w:rPr>
      <w:i/>
      <w:iCs/>
      <w:color w:val="0F4761" w:themeColor="accent1" w:themeShade="BF"/>
    </w:rPr>
  </w:style>
  <w:style w:type="paragraph" w:styleId="IntenseQuote">
    <w:name w:val="Intense Quote"/>
    <w:basedOn w:val="Normal"/>
    <w:next w:val="Normal"/>
    <w:link w:val="IntenseQuoteChar"/>
    <w:uiPriority w:val="30"/>
    <w:qFormat/>
    <w:rsid w:val="00121C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1CB7"/>
    <w:rPr>
      <w:i/>
      <w:iCs/>
      <w:color w:val="0F4761" w:themeColor="accent1" w:themeShade="BF"/>
    </w:rPr>
  </w:style>
  <w:style w:type="character" w:styleId="IntenseReference">
    <w:name w:val="Intense Reference"/>
    <w:basedOn w:val="DefaultParagraphFont"/>
    <w:uiPriority w:val="32"/>
    <w:qFormat/>
    <w:rsid w:val="00121CB7"/>
    <w:rPr>
      <w:b/>
      <w:bCs/>
      <w:smallCaps/>
      <w:color w:val="0F4761" w:themeColor="accent1" w:themeShade="BF"/>
      <w:spacing w:val="5"/>
    </w:rPr>
  </w:style>
  <w:style w:type="table" w:styleId="TableGrid">
    <w:name w:val="Table Grid"/>
    <w:basedOn w:val="TableNormal"/>
    <w:uiPriority w:val="39"/>
    <w:rsid w:val="00827A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610BB"/>
    <w:rPr>
      <w:color w:val="467886" w:themeColor="hyperlink"/>
      <w:u w:val="single"/>
    </w:rPr>
  </w:style>
  <w:style w:type="character" w:styleId="UnresolvedMention">
    <w:name w:val="Unresolved Mention"/>
    <w:basedOn w:val="DefaultParagraphFont"/>
    <w:uiPriority w:val="99"/>
    <w:semiHidden/>
    <w:unhideWhenUsed/>
    <w:rsid w:val="004610BB"/>
    <w:rPr>
      <w:color w:val="605E5C"/>
      <w:shd w:val="clear" w:color="auto" w:fill="E1DFDD"/>
    </w:rPr>
  </w:style>
  <w:style w:type="character" w:styleId="FollowedHyperlink">
    <w:name w:val="FollowedHyperlink"/>
    <w:basedOn w:val="DefaultParagraphFont"/>
    <w:uiPriority w:val="99"/>
    <w:semiHidden/>
    <w:unhideWhenUsed/>
    <w:rsid w:val="00430B60"/>
    <w:rPr>
      <w:color w:val="96607D" w:themeColor="followedHyperlink"/>
      <w:u w:val="single"/>
    </w:rPr>
  </w:style>
  <w:style w:type="paragraph" w:styleId="TOCHeading">
    <w:name w:val="TOC Heading"/>
    <w:basedOn w:val="Heading1"/>
    <w:next w:val="Normal"/>
    <w:uiPriority w:val="39"/>
    <w:unhideWhenUsed/>
    <w:qFormat/>
    <w:rsid w:val="00F0033E"/>
    <w:pPr>
      <w:numPr>
        <w:numId w:val="0"/>
      </w:num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0033E"/>
    <w:pPr>
      <w:spacing w:after="100"/>
    </w:pPr>
  </w:style>
  <w:style w:type="paragraph" w:styleId="TOC2">
    <w:name w:val="toc 2"/>
    <w:basedOn w:val="Normal"/>
    <w:next w:val="Normal"/>
    <w:autoRedefine/>
    <w:uiPriority w:val="39"/>
    <w:unhideWhenUsed/>
    <w:rsid w:val="00F0033E"/>
    <w:pPr>
      <w:spacing w:after="100"/>
      <w:ind w:left="220"/>
    </w:pPr>
  </w:style>
  <w:style w:type="paragraph" w:styleId="TOC3">
    <w:name w:val="toc 3"/>
    <w:basedOn w:val="Normal"/>
    <w:next w:val="Normal"/>
    <w:autoRedefine/>
    <w:uiPriority w:val="39"/>
    <w:unhideWhenUsed/>
    <w:rsid w:val="00F0033E"/>
    <w:pPr>
      <w:spacing w:after="100"/>
      <w:ind w:left="440"/>
    </w:pPr>
  </w:style>
  <w:style w:type="paragraph" w:customStyle="1" w:styleId="MdHeading1">
    <w:name w:val="MdHeading1"/>
    <w:qFormat/>
    <w:rsid w:val="00661F78"/>
    <w:pPr>
      <w:keepNext/>
      <w:spacing w:before="480" w:after="240" w:line="240" w:lineRule="auto"/>
      <w:outlineLvl w:val="0"/>
    </w:pPr>
    <w:rPr>
      <w:rFonts w:ascii="Times New Roman" w:eastAsia="Times New Roman" w:hAnsi="Times New Roman" w:cs="Times New Roman"/>
      <w:b/>
      <w:bCs/>
      <w:kern w:val="0"/>
      <w:sz w:val="36"/>
      <w:szCs w:val="3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3390/en17184581" TargetMode="External"/><Relationship Id="rId18" Type="http://schemas.openxmlformats.org/officeDocument/2006/relationships/hyperlink" Target="https://doi.org/10.3390/en1502058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gov.uk/government/consultations/a-zero-emission-vehicle-zev-mandate-and-co2-emissions-regulation-for-new-cars-and-vans-in-the-uk" TargetMode="External"/><Relationship Id="rId17" Type="http://schemas.openxmlformats.org/officeDocument/2006/relationships/hyperlink" Target="https://doi.org/10.1016/j.iedeen.2024.100242" TargetMode="External"/><Relationship Id="rId2" Type="http://schemas.openxmlformats.org/officeDocument/2006/relationships/numbering" Target="numbering.xml"/><Relationship Id="rId16" Type="http://schemas.openxmlformats.org/officeDocument/2006/relationships/hyperlink" Target="https://oica.net/" TargetMode="External"/><Relationship Id="rId20" Type="http://schemas.openxmlformats.org/officeDocument/2006/relationships/hyperlink" Target="https://www.gov.uk/government/news/nissan-launches-450m-next-generation-leafin-major-vote-of-confidence-in-uks-industrial-strateg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77/002795011724200114" TargetMode="External"/><Relationship Id="rId5" Type="http://schemas.openxmlformats.org/officeDocument/2006/relationships/webSettings" Target="webSettings.xml"/><Relationship Id="rId15" Type="http://schemas.openxmlformats.org/officeDocument/2006/relationships/hyperlink" Target="https://www.nissan-global.com/EN/IR/INTEGRATED_REPORT/ASSETS/PDF/IR24_E_All.pdf" TargetMode="External"/><Relationship Id="rId10" Type="http://schemas.openxmlformats.org/officeDocument/2006/relationships/hyperlink" Target="https://doi.org/10.1177/00081256221107420" TargetMode="External"/><Relationship Id="rId19" Type="http://schemas.openxmlformats.org/officeDocument/2006/relationships/hyperlink" Target="https://doi.org/10.1371/journal.pone.0343135" TargetMode="External"/><Relationship Id="rId4" Type="http://schemas.openxmlformats.org/officeDocument/2006/relationships/settings" Target="settings.xml"/><Relationship Id="rId9" Type="http://schemas.openxmlformats.org/officeDocument/2006/relationships/hyperlink" Target="https://www.acea.auto/publication/economic-and-market-report-global-and-eu-auto-industry-full-year-2024/" TargetMode="External"/><Relationship Id="rId14" Type="http://schemas.openxmlformats.org/officeDocument/2006/relationships/hyperlink" Target="https://doi.org/10.1016/j.cstp.2022.01.03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DEE46D-962C-4181-A3BE-CA715BFD8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14</Pages>
  <Words>2897</Words>
  <Characters>18026</Characters>
  <Application>Microsoft Office Word</Application>
  <DocSecurity>0</DocSecurity>
  <Lines>474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cecile abuzour</dc:creator>
  <cp:keywords/>
  <dc:description/>
  <cp:lastModifiedBy>cecile abuzour</cp:lastModifiedBy>
  <cp:revision>2</cp:revision>
  <dcterms:created xsi:type="dcterms:W3CDTF">2026-03-21T20:37:00Z</dcterms:created>
  <dcterms:modified xsi:type="dcterms:W3CDTF">2026-03-21T20:37:00Z</dcterms:modified>
</cp:coreProperties>
</file>