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10D69"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329DAA70" w14:textId="77777777" w:rsidR="00AC0E68" w:rsidRPr="00914965" w:rsidRDefault="00AC0E68" w:rsidP="00AC0E68">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Student Name                     Bertha Amoah</w:t>
      </w:r>
      <w:r w:rsidRPr="00914965">
        <w:rPr>
          <w:color w:val="000000" w:themeColor="text1"/>
          <w:sz w:val="24"/>
          <w:szCs w:val="24"/>
          <w:lang w:eastAsia="ja-JP"/>
        </w:rPr>
        <w:t xml:space="preserve"> </w:t>
      </w:r>
    </w:p>
    <w:p w14:paraId="65A05504" w14:textId="77777777" w:rsidR="00AC0E68" w:rsidRPr="00914965" w:rsidRDefault="00AC0E68" w:rsidP="00AC0E68">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Student Number                 2324071</w:t>
      </w:r>
      <w:r w:rsidRPr="00914965">
        <w:rPr>
          <w:color w:val="000000" w:themeColor="text1"/>
          <w:sz w:val="24"/>
          <w:szCs w:val="24"/>
          <w:lang w:eastAsia="ja-JP"/>
        </w:rPr>
        <w:t xml:space="preserve"> </w:t>
      </w:r>
    </w:p>
    <w:p w14:paraId="52EA5B7C" w14:textId="547BBDFB" w:rsidR="00AC0E68" w:rsidRPr="00914965" w:rsidRDefault="00AC0E68" w:rsidP="00AC0E68">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Module Code                      BMHP</w:t>
      </w:r>
      <w:r w:rsidR="002E0A7D">
        <w:rPr>
          <w:b/>
          <w:bCs/>
          <w:color w:val="000000" w:themeColor="text1"/>
          <w:sz w:val="24"/>
          <w:szCs w:val="24"/>
          <w:lang w:eastAsia="ja-JP"/>
        </w:rPr>
        <w:t>6029</w:t>
      </w:r>
      <w:r w:rsidRPr="00914965">
        <w:rPr>
          <w:color w:val="000000" w:themeColor="text1"/>
          <w:sz w:val="24"/>
          <w:szCs w:val="24"/>
          <w:lang w:eastAsia="ja-JP"/>
        </w:rPr>
        <w:t xml:space="preserve"> </w:t>
      </w:r>
    </w:p>
    <w:p w14:paraId="03C48682" w14:textId="2DCA34CF" w:rsidR="00AC0E68" w:rsidRPr="00914965" w:rsidRDefault="00AC0E68" w:rsidP="00AC0E68">
      <w:pPr>
        <w:spacing w:line="720" w:lineRule="auto"/>
        <w:ind w:left="-1020" w:right="-150"/>
        <w:rPr>
          <w:rFonts w:asciiTheme="minorHAnsi" w:eastAsiaTheme="minorEastAsia" w:hAnsiTheme="minorHAnsi" w:cstheme="minorBidi"/>
          <w:b/>
          <w:bCs/>
          <w:sz w:val="24"/>
          <w:szCs w:val="24"/>
          <w:lang w:eastAsia="ja-JP"/>
        </w:rPr>
      </w:pPr>
      <w:r w:rsidRPr="00914965">
        <w:rPr>
          <w:b/>
          <w:bCs/>
          <w:color w:val="000000" w:themeColor="text1"/>
          <w:sz w:val="24"/>
          <w:szCs w:val="24"/>
          <w:lang w:eastAsia="ja-JP"/>
        </w:rPr>
        <w:t xml:space="preserve"> Module Name                     </w:t>
      </w:r>
      <w:r w:rsidR="008E46A2">
        <w:rPr>
          <w:b/>
          <w:bCs/>
          <w:color w:val="000000" w:themeColor="text1"/>
          <w:sz w:val="24"/>
          <w:szCs w:val="24"/>
          <w:lang w:eastAsia="ja-JP"/>
        </w:rPr>
        <w:t xml:space="preserve">Psychological </w:t>
      </w:r>
      <w:r w:rsidR="00FC49EA">
        <w:rPr>
          <w:b/>
          <w:bCs/>
          <w:color w:val="000000" w:themeColor="text1"/>
          <w:sz w:val="24"/>
          <w:szCs w:val="24"/>
          <w:lang w:eastAsia="ja-JP"/>
        </w:rPr>
        <w:t>Classifications and Provision</w:t>
      </w:r>
      <w:r w:rsidR="00793B93">
        <w:rPr>
          <w:b/>
          <w:bCs/>
          <w:color w:val="000000" w:themeColor="text1"/>
          <w:sz w:val="24"/>
          <w:szCs w:val="24"/>
          <w:lang w:eastAsia="ja-JP"/>
        </w:rPr>
        <w:t>s</w:t>
      </w:r>
    </w:p>
    <w:p w14:paraId="2568D044" w14:textId="6FE7DDB6" w:rsidR="00AC0E68" w:rsidRPr="00914965" w:rsidRDefault="00AC0E68" w:rsidP="00AC0E68">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Assignment Title               Component </w:t>
      </w:r>
      <w:r w:rsidRPr="007E15A4">
        <w:rPr>
          <w:b/>
          <w:bCs/>
          <w:color w:val="000000" w:themeColor="text1"/>
          <w:sz w:val="24"/>
          <w:szCs w:val="24"/>
          <w:lang w:eastAsia="ja-JP"/>
        </w:rPr>
        <w:t>2</w:t>
      </w:r>
      <w:r w:rsidRPr="00914965">
        <w:rPr>
          <w:b/>
          <w:bCs/>
          <w:color w:val="000000" w:themeColor="text1"/>
          <w:sz w:val="24"/>
          <w:szCs w:val="24"/>
          <w:lang w:eastAsia="ja-JP"/>
        </w:rPr>
        <w:t>:</w:t>
      </w:r>
      <w:r w:rsidRPr="007E15A4">
        <w:rPr>
          <w:b/>
          <w:bCs/>
          <w:color w:val="000000" w:themeColor="text1"/>
          <w:sz w:val="24"/>
          <w:szCs w:val="24"/>
          <w:lang w:eastAsia="ja-JP"/>
        </w:rPr>
        <w:t xml:space="preserve"> Written Assignment (</w:t>
      </w:r>
      <w:r>
        <w:rPr>
          <w:b/>
          <w:bCs/>
          <w:color w:val="000000" w:themeColor="text1"/>
          <w:sz w:val="24"/>
          <w:szCs w:val="24"/>
          <w:lang w:eastAsia="ja-JP"/>
        </w:rPr>
        <w:t>Report)</w:t>
      </w:r>
    </w:p>
    <w:p w14:paraId="410A8C88" w14:textId="17C652EC" w:rsidR="00AC0E68" w:rsidRPr="00914965" w:rsidRDefault="00AC0E68" w:rsidP="00AC0E68">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Lecturer’s Name                 </w:t>
      </w:r>
      <w:r w:rsidR="007A1381">
        <w:rPr>
          <w:b/>
          <w:bCs/>
          <w:color w:val="000000" w:themeColor="text1"/>
          <w:sz w:val="24"/>
          <w:szCs w:val="24"/>
          <w:lang w:eastAsia="ja-JP"/>
        </w:rPr>
        <w:t xml:space="preserve">Kennedy </w:t>
      </w:r>
      <w:proofErr w:type="spellStart"/>
      <w:r w:rsidR="007A1381">
        <w:rPr>
          <w:b/>
          <w:bCs/>
          <w:color w:val="000000" w:themeColor="text1"/>
          <w:sz w:val="24"/>
          <w:szCs w:val="24"/>
          <w:lang w:eastAsia="ja-JP"/>
        </w:rPr>
        <w:t>Obo</w:t>
      </w:r>
      <w:r w:rsidR="00C54469">
        <w:rPr>
          <w:b/>
          <w:bCs/>
          <w:color w:val="000000" w:themeColor="text1"/>
          <w:sz w:val="24"/>
          <w:szCs w:val="24"/>
          <w:lang w:eastAsia="ja-JP"/>
        </w:rPr>
        <w:t>hwemu</w:t>
      </w:r>
      <w:proofErr w:type="spellEnd"/>
    </w:p>
    <w:p w14:paraId="4CBE105A" w14:textId="3B373ABF" w:rsidR="00AC0E68" w:rsidRPr="00914965" w:rsidRDefault="00AC0E68" w:rsidP="00AC0E68">
      <w:pPr>
        <w:spacing w:line="720" w:lineRule="auto"/>
        <w:ind w:left="-1020" w:right="-150"/>
        <w:rPr>
          <w:b/>
          <w:bCs/>
          <w:color w:val="000000" w:themeColor="text1"/>
          <w:sz w:val="24"/>
          <w:szCs w:val="24"/>
          <w:lang w:eastAsia="ja-JP"/>
        </w:rPr>
      </w:pPr>
      <w:r w:rsidRPr="00914965">
        <w:rPr>
          <w:b/>
          <w:bCs/>
          <w:color w:val="000000" w:themeColor="text1"/>
          <w:sz w:val="24"/>
          <w:szCs w:val="24"/>
          <w:lang w:eastAsia="ja-JP"/>
        </w:rPr>
        <w:t xml:space="preserve"> Due Date                             </w:t>
      </w:r>
      <w:r w:rsidR="00C54469">
        <w:rPr>
          <w:b/>
          <w:bCs/>
          <w:color w:val="000000" w:themeColor="text1"/>
          <w:sz w:val="24"/>
          <w:szCs w:val="24"/>
          <w:lang w:eastAsia="ja-JP"/>
        </w:rPr>
        <w:t>29</w:t>
      </w:r>
      <w:r w:rsidRPr="007E15A4">
        <w:rPr>
          <w:b/>
          <w:bCs/>
          <w:color w:val="000000" w:themeColor="text1"/>
          <w:sz w:val="24"/>
          <w:szCs w:val="24"/>
          <w:vertAlign w:val="superscript"/>
          <w:lang w:eastAsia="ja-JP"/>
        </w:rPr>
        <w:t>th</w:t>
      </w:r>
      <w:r w:rsidRPr="007E15A4">
        <w:rPr>
          <w:b/>
          <w:bCs/>
          <w:color w:val="000000" w:themeColor="text1"/>
          <w:sz w:val="24"/>
          <w:szCs w:val="24"/>
          <w:lang w:eastAsia="ja-JP"/>
        </w:rPr>
        <w:t xml:space="preserve"> </w:t>
      </w:r>
      <w:r w:rsidR="00C54469">
        <w:rPr>
          <w:b/>
          <w:bCs/>
          <w:color w:val="000000" w:themeColor="text1"/>
          <w:sz w:val="24"/>
          <w:szCs w:val="24"/>
          <w:lang w:eastAsia="ja-JP"/>
        </w:rPr>
        <w:t xml:space="preserve">March </w:t>
      </w:r>
      <w:r w:rsidRPr="00914965">
        <w:rPr>
          <w:b/>
          <w:bCs/>
          <w:color w:val="000000" w:themeColor="text1"/>
          <w:sz w:val="24"/>
          <w:szCs w:val="24"/>
          <w:lang w:eastAsia="ja-JP"/>
        </w:rPr>
        <w:t>202</w:t>
      </w:r>
      <w:r w:rsidR="00C54469">
        <w:rPr>
          <w:b/>
          <w:bCs/>
          <w:color w:val="000000" w:themeColor="text1"/>
          <w:sz w:val="24"/>
          <w:szCs w:val="24"/>
          <w:lang w:eastAsia="ja-JP"/>
        </w:rPr>
        <w:t>6</w:t>
      </w:r>
    </w:p>
    <w:p w14:paraId="55AA288F"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4B8BB90A"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116CB745"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56EC08C1"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2945D3BE"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4D040AAE" w14:textId="77777777" w:rsidR="00D023D0" w:rsidRDefault="00D023D0" w:rsidP="00AC0E68">
      <w:pPr>
        <w:pStyle w:val="TOCHeading"/>
        <w:spacing w:line="360" w:lineRule="auto"/>
        <w:rPr>
          <w:rFonts w:ascii="Arial" w:eastAsia="Arial" w:hAnsi="Arial" w:cs="Arial"/>
          <w:color w:val="auto"/>
          <w:sz w:val="22"/>
          <w:szCs w:val="22"/>
          <w:lang w:val="en" w:eastAsia="en-IN"/>
        </w:rPr>
      </w:pPr>
    </w:p>
    <w:p w14:paraId="29B50E79"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p w14:paraId="03924E57" w14:textId="77777777" w:rsidR="00AC0E68" w:rsidRDefault="00AC0E68" w:rsidP="00AC0E68"/>
    <w:p w14:paraId="4726B2BC" w14:textId="77777777" w:rsidR="00AC0E68" w:rsidRDefault="00AC0E68" w:rsidP="00AC0E68"/>
    <w:p w14:paraId="4C6F82F9" w14:textId="77777777" w:rsidR="00AC0E68" w:rsidRPr="00AC0E68" w:rsidRDefault="00AC0E68" w:rsidP="00AC0E68"/>
    <w:p w14:paraId="68BCCCD8" w14:textId="77777777" w:rsidR="00D023D0" w:rsidRDefault="00D023D0" w:rsidP="009A0D4B">
      <w:pPr>
        <w:pStyle w:val="TOCHeading"/>
        <w:spacing w:line="360" w:lineRule="auto"/>
        <w:jc w:val="center"/>
        <w:rPr>
          <w:rFonts w:ascii="Arial" w:eastAsia="Arial" w:hAnsi="Arial" w:cs="Arial"/>
          <w:color w:val="auto"/>
          <w:sz w:val="22"/>
          <w:szCs w:val="22"/>
          <w:lang w:val="en" w:eastAsia="en-IN"/>
        </w:rPr>
      </w:pPr>
    </w:p>
    <w:sdt>
      <w:sdtPr>
        <w:rPr>
          <w:rFonts w:ascii="Arial" w:eastAsia="Arial" w:hAnsi="Arial" w:cs="Arial"/>
          <w:color w:val="auto"/>
          <w:sz w:val="22"/>
          <w:szCs w:val="22"/>
          <w:lang w:val="en" w:eastAsia="en-IN"/>
        </w:rPr>
        <w:id w:val="-1624685111"/>
        <w:docPartObj>
          <w:docPartGallery w:val="Table of Contents"/>
          <w:docPartUnique/>
        </w:docPartObj>
      </w:sdtPr>
      <w:sdtEndPr>
        <w:rPr>
          <w:b/>
          <w:bCs/>
          <w:noProof/>
        </w:rPr>
      </w:sdtEndPr>
      <w:sdtContent>
        <w:p w14:paraId="67DAB4BA" w14:textId="21F9018A" w:rsidR="009A0D4B" w:rsidRPr="009A0D4B" w:rsidRDefault="0070138D" w:rsidP="009A0D4B">
          <w:pPr>
            <w:pStyle w:val="TOCHeading"/>
            <w:spacing w:line="360" w:lineRule="auto"/>
            <w:jc w:val="center"/>
            <w:rPr>
              <w:rFonts w:ascii="Arial" w:hAnsi="Arial" w:cs="Arial"/>
              <w:b/>
              <w:color w:val="000000" w:themeColor="text1"/>
              <w:sz w:val="28"/>
              <w:szCs w:val="22"/>
              <w:u w:val="single"/>
            </w:rPr>
          </w:pPr>
          <w:r w:rsidRPr="009A0D4B">
            <w:rPr>
              <w:rFonts w:ascii="Arial" w:hAnsi="Arial" w:cs="Arial"/>
              <w:b/>
              <w:color w:val="000000" w:themeColor="text1"/>
              <w:sz w:val="28"/>
              <w:szCs w:val="22"/>
              <w:u w:val="single"/>
            </w:rPr>
            <w:t>Table of Contents</w:t>
          </w:r>
        </w:p>
        <w:p w14:paraId="4C543FCD" w14:textId="00238603" w:rsidR="00385D19" w:rsidRDefault="0070138D">
          <w:pPr>
            <w:pStyle w:val="TOC1"/>
            <w:tabs>
              <w:tab w:val="right" w:leader="dot" w:pos="9350"/>
            </w:tabs>
            <w:rPr>
              <w:rFonts w:asciiTheme="minorHAnsi" w:eastAsiaTheme="minorEastAsia" w:hAnsiTheme="minorHAnsi" w:cstheme="minorBidi"/>
              <w:noProof/>
              <w:lang w:val="en-IN"/>
            </w:rPr>
          </w:pPr>
          <w:r w:rsidRPr="009A0D4B">
            <w:rPr>
              <w:color w:val="000000" w:themeColor="text1"/>
            </w:rPr>
            <w:fldChar w:fldCharType="begin"/>
          </w:r>
          <w:r w:rsidRPr="009A0D4B">
            <w:rPr>
              <w:color w:val="000000" w:themeColor="text1"/>
            </w:rPr>
            <w:instrText xml:space="preserve"> TOC \o "1-3" \h \z \u </w:instrText>
          </w:r>
          <w:r w:rsidRPr="009A0D4B">
            <w:rPr>
              <w:color w:val="000000" w:themeColor="text1"/>
            </w:rPr>
            <w:fldChar w:fldCharType="separate"/>
          </w:r>
          <w:hyperlink w:anchor="_Toc221030760" w:history="1">
            <w:r w:rsidR="00385D19" w:rsidRPr="00450CAB">
              <w:rPr>
                <w:rStyle w:val="Hyperlink"/>
                <w:noProof/>
              </w:rPr>
              <w:t>Introduction</w:t>
            </w:r>
            <w:r w:rsidR="00385D19">
              <w:rPr>
                <w:noProof/>
                <w:webHidden/>
              </w:rPr>
              <w:tab/>
            </w:r>
            <w:r w:rsidR="00385D19">
              <w:rPr>
                <w:noProof/>
                <w:webHidden/>
              </w:rPr>
              <w:fldChar w:fldCharType="begin"/>
            </w:r>
            <w:r w:rsidR="00385D19">
              <w:rPr>
                <w:noProof/>
                <w:webHidden/>
              </w:rPr>
              <w:instrText xml:space="preserve"> PAGEREF _Toc221030760 \h </w:instrText>
            </w:r>
            <w:r w:rsidR="00385D19">
              <w:rPr>
                <w:noProof/>
                <w:webHidden/>
              </w:rPr>
            </w:r>
            <w:r w:rsidR="00385D19">
              <w:rPr>
                <w:noProof/>
                <w:webHidden/>
              </w:rPr>
              <w:fldChar w:fldCharType="separate"/>
            </w:r>
            <w:r w:rsidR="00287F13">
              <w:rPr>
                <w:noProof/>
                <w:webHidden/>
              </w:rPr>
              <w:t>3</w:t>
            </w:r>
            <w:r w:rsidR="00385D19">
              <w:rPr>
                <w:noProof/>
                <w:webHidden/>
              </w:rPr>
              <w:fldChar w:fldCharType="end"/>
            </w:r>
          </w:hyperlink>
        </w:p>
        <w:p w14:paraId="57207B74" w14:textId="7302EAB4" w:rsidR="00385D19" w:rsidRDefault="00385D19">
          <w:pPr>
            <w:pStyle w:val="TOC1"/>
            <w:tabs>
              <w:tab w:val="right" w:leader="dot" w:pos="9350"/>
            </w:tabs>
            <w:rPr>
              <w:rFonts w:asciiTheme="minorHAnsi" w:eastAsiaTheme="minorEastAsia" w:hAnsiTheme="minorHAnsi" w:cstheme="minorBidi"/>
              <w:noProof/>
              <w:lang w:val="en-IN"/>
            </w:rPr>
          </w:pPr>
          <w:hyperlink w:anchor="_Toc221030761" w:history="1">
            <w:r w:rsidRPr="00450CAB">
              <w:rPr>
                <w:rStyle w:val="Hyperlink"/>
                <w:noProof/>
              </w:rPr>
              <w:t>Classification and Diagnosis</w:t>
            </w:r>
            <w:r>
              <w:rPr>
                <w:noProof/>
                <w:webHidden/>
              </w:rPr>
              <w:tab/>
            </w:r>
            <w:r>
              <w:rPr>
                <w:noProof/>
                <w:webHidden/>
              </w:rPr>
              <w:fldChar w:fldCharType="begin"/>
            </w:r>
            <w:r>
              <w:rPr>
                <w:noProof/>
                <w:webHidden/>
              </w:rPr>
              <w:instrText xml:space="preserve"> PAGEREF _Toc221030761 \h </w:instrText>
            </w:r>
            <w:r>
              <w:rPr>
                <w:noProof/>
                <w:webHidden/>
              </w:rPr>
            </w:r>
            <w:r>
              <w:rPr>
                <w:noProof/>
                <w:webHidden/>
              </w:rPr>
              <w:fldChar w:fldCharType="separate"/>
            </w:r>
            <w:r w:rsidR="00287F13">
              <w:rPr>
                <w:noProof/>
                <w:webHidden/>
              </w:rPr>
              <w:t>3</w:t>
            </w:r>
            <w:r>
              <w:rPr>
                <w:noProof/>
                <w:webHidden/>
              </w:rPr>
              <w:fldChar w:fldCharType="end"/>
            </w:r>
          </w:hyperlink>
        </w:p>
        <w:p w14:paraId="142D0522" w14:textId="114E9D67" w:rsidR="00385D19" w:rsidRDefault="00385D19">
          <w:pPr>
            <w:pStyle w:val="TOC2"/>
            <w:tabs>
              <w:tab w:val="right" w:leader="dot" w:pos="9350"/>
            </w:tabs>
            <w:rPr>
              <w:rFonts w:asciiTheme="minorHAnsi" w:eastAsiaTheme="minorEastAsia" w:hAnsiTheme="minorHAnsi" w:cstheme="minorBidi"/>
              <w:noProof/>
              <w:lang w:val="en-IN"/>
            </w:rPr>
          </w:pPr>
          <w:hyperlink w:anchor="_Toc221030762" w:history="1">
            <w:r w:rsidRPr="00450CAB">
              <w:rPr>
                <w:rStyle w:val="Hyperlink"/>
                <w:noProof/>
              </w:rPr>
              <w:t>Main Criteria of ICD-11 Diagnostic</w:t>
            </w:r>
            <w:r>
              <w:rPr>
                <w:noProof/>
                <w:webHidden/>
              </w:rPr>
              <w:tab/>
            </w:r>
            <w:r>
              <w:rPr>
                <w:noProof/>
                <w:webHidden/>
              </w:rPr>
              <w:fldChar w:fldCharType="begin"/>
            </w:r>
            <w:r>
              <w:rPr>
                <w:noProof/>
                <w:webHidden/>
              </w:rPr>
              <w:instrText xml:space="preserve"> PAGEREF _Toc221030762 \h </w:instrText>
            </w:r>
            <w:r>
              <w:rPr>
                <w:noProof/>
                <w:webHidden/>
              </w:rPr>
            </w:r>
            <w:r>
              <w:rPr>
                <w:noProof/>
                <w:webHidden/>
              </w:rPr>
              <w:fldChar w:fldCharType="separate"/>
            </w:r>
            <w:r w:rsidR="00287F13">
              <w:rPr>
                <w:noProof/>
                <w:webHidden/>
              </w:rPr>
              <w:t>4</w:t>
            </w:r>
            <w:r>
              <w:rPr>
                <w:noProof/>
                <w:webHidden/>
              </w:rPr>
              <w:fldChar w:fldCharType="end"/>
            </w:r>
          </w:hyperlink>
        </w:p>
        <w:p w14:paraId="1E2AA3B9" w14:textId="2B03168A" w:rsidR="00385D19" w:rsidRDefault="00385D19">
          <w:pPr>
            <w:pStyle w:val="TOC2"/>
            <w:tabs>
              <w:tab w:val="right" w:leader="dot" w:pos="9350"/>
            </w:tabs>
            <w:rPr>
              <w:rFonts w:asciiTheme="minorHAnsi" w:eastAsiaTheme="minorEastAsia" w:hAnsiTheme="minorHAnsi" w:cstheme="minorBidi"/>
              <w:noProof/>
              <w:lang w:val="en-IN"/>
            </w:rPr>
          </w:pPr>
          <w:hyperlink w:anchor="_Toc221030763" w:history="1">
            <w:r w:rsidRPr="00450CAB">
              <w:rPr>
                <w:rStyle w:val="Hyperlink"/>
                <w:noProof/>
              </w:rPr>
              <w:t>Evaluating how diagnostic processes differ internationally and how these are applied in UK clinical settings</w:t>
            </w:r>
            <w:r>
              <w:rPr>
                <w:noProof/>
                <w:webHidden/>
              </w:rPr>
              <w:tab/>
            </w:r>
            <w:r>
              <w:rPr>
                <w:noProof/>
                <w:webHidden/>
              </w:rPr>
              <w:fldChar w:fldCharType="begin"/>
            </w:r>
            <w:r>
              <w:rPr>
                <w:noProof/>
                <w:webHidden/>
              </w:rPr>
              <w:instrText xml:space="preserve"> PAGEREF _Toc221030763 \h </w:instrText>
            </w:r>
            <w:r>
              <w:rPr>
                <w:noProof/>
                <w:webHidden/>
              </w:rPr>
            </w:r>
            <w:r>
              <w:rPr>
                <w:noProof/>
                <w:webHidden/>
              </w:rPr>
              <w:fldChar w:fldCharType="separate"/>
            </w:r>
            <w:r w:rsidR="00287F13">
              <w:rPr>
                <w:noProof/>
                <w:webHidden/>
              </w:rPr>
              <w:t>4</w:t>
            </w:r>
            <w:r>
              <w:rPr>
                <w:noProof/>
                <w:webHidden/>
              </w:rPr>
              <w:fldChar w:fldCharType="end"/>
            </w:r>
          </w:hyperlink>
        </w:p>
        <w:p w14:paraId="64D7B6CA" w14:textId="365006B3" w:rsidR="00385D19" w:rsidRDefault="00385D19">
          <w:pPr>
            <w:pStyle w:val="TOC2"/>
            <w:tabs>
              <w:tab w:val="right" w:leader="dot" w:pos="9350"/>
            </w:tabs>
            <w:rPr>
              <w:rFonts w:asciiTheme="minorHAnsi" w:eastAsiaTheme="minorEastAsia" w:hAnsiTheme="minorHAnsi" w:cstheme="minorBidi"/>
              <w:noProof/>
              <w:lang w:val="en-IN"/>
            </w:rPr>
          </w:pPr>
          <w:hyperlink w:anchor="_Toc221030764" w:history="1">
            <w:r w:rsidRPr="00450CAB">
              <w:rPr>
                <w:rStyle w:val="Hyperlink"/>
                <w:noProof/>
              </w:rPr>
              <w:t>Debates over Language</w:t>
            </w:r>
            <w:r>
              <w:rPr>
                <w:noProof/>
                <w:webHidden/>
              </w:rPr>
              <w:tab/>
            </w:r>
            <w:r>
              <w:rPr>
                <w:noProof/>
                <w:webHidden/>
              </w:rPr>
              <w:fldChar w:fldCharType="begin"/>
            </w:r>
            <w:r>
              <w:rPr>
                <w:noProof/>
                <w:webHidden/>
              </w:rPr>
              <w:instrText xml:space="preserve"> PAGEREF _Toc221030764 \h </w:instrText>
            </w:r>
            <w:r>
              <w:rPr>
                <w:noProof/>
                <w:webHidden/>
              </w:rPr>
            </w:r>
            <w:r>
              <w:rPr>
                <w:noProof/>
                <w:webHidden/>
              </w:rPr>
              <w:fldChar w:fldCharType="separate"/>
            </w:r>
            <w:r w:rsidR="00287F13">
              <w:rPr>
                <w:noProof/>
                <w:webHidden/>
              </w:rPr>
              <w:t>5</w:t>
            </w:r>
            <w:r>
              <w:rPr>
                <w:noProof/>
                <w:webHidden/>
              </w:rPr>
              <w:fldChar w:fldCharType="end"/>
            </w:r>
          </w:hyperlink>
        </w:p>
        <w:p w14:paraId="428C4145" w14:textId="6391D7FB" w:rsidR="00385D19" w:rsidRDefault="00385D19">
          <w:pPr>
            <w:pStyle w:val="TOC2"/>
            <w:tabs>
              <w:tab w:val="right" w:leader="dot" w:pos="9350"/>
            </w:tabs>
            <w:rPr>
              <w:rFonts w:asciiTheme="minorHAnsi" w:eastAsiaTheme="minorEastAsia" w:hAnsiTheme="minorHAnsi" w:cstheme="minorBidi"/>
              <w:noProof/>
              <w:lang w:val="en-IN"/>
            </w:rPr>
          </w:pPr>
          <w:hyperlink w:anchor="_Toc221030765" w:history="1">
            <w:r w:rsidRPr="00450CAB">
              <w:rPr>
                <w:rStyle w:val="Hyperlink"/>
                <w:noProof/>
              </w:rPr>
              <w:t>UK Diagnostic Challenges</w:t>
            </w:r>
            <w:r>
              <w:rPr>
                <w:noProof/>
                <w:webHidden/>
              </w:rPr>
              <w:tab/>
            </w:r>
            <w:r>
              <w:rPr>
                <w:noProof/>
                <w:webHidden/>
              </w:rPr>
              <w:fldChar w:fldCharType="begin"/>
            </w:r>
            <w:r>
              <w:rPr>
                <w:noProof/>
                <w:webHidden/>
              </w:rPr>
              <w:instrText xml:space="preserve"> PAGEREF _Toc221030765 \h </w:instrText>
            </w:r>
            <w:r>
              <w:rPr>
                <w:noProof/>
                <w:webHidden/>
              </w:rPr>
            </w:r>
            <w:r>
              <w:rPr>
                <w:noProof/>
                <w:webHidden/>
              </w:rPr>
              <w:fldChar w:fldCharType="separate"/>
            </w:r>
            <w:r w:rsidR="00287F13">
              <w:rPr>
                <w:noProof/>
                <w:webHidden/>
              </w:rPr>
              <w:t>5</w:t>
            </w:r>
            <w:r>
              <w:rPr>
                <w:noProof/>
                <w:webHidden/>
              </w:rPr>
              <w:fldChar w:fldCharType="end"/>
            </w:r>
          </w:hyperlink>
        </w:p>
        <w:p w14:paraId="19B0BE66" w14:textId="0B1CED34" w:rsidR="00385D19" w:rsidRDefault="00385D19">
          <w:pPr>
            <w:pStyle w:val="TOC1"/>
            <w:tabs>
              <w:tab w:val="right" w:leader="dot" w:pos="9350"/>
            </w:tabs>
            <w:rPr>
              <w:rFonts w:asciiTheme="minorHAnsi" w:eastAsiaTheme="minorEastAsia" w:hAnsiTheme="minorHAnsi" w:cstheme="minorBidi"/>
              <w:noProof/>
              <w:lang w:val="en-IN"/>
            </w:rPr>
          </w:pPr>
          <w:hyperlink w:anchor="_Toc221030766" w:history="1">
            <w:r w:rsidRPr="00450CAB">
              <w:rPr>
                <w:rStyle w:val="Hyperlink"/>
                <w:noProof/>
              </w:rPr>
              <w:t>Treatment Approaches</w:t>
            </w:r>
            <w:r>
              <w:rPr>
                <w:noProof/>
                <w:webHidden/>
              </w:rPr>
              <w:tab/>
            </w:r>
            <w:r>
              <w:rPr>
                <w:noProof/>
                <w:webHidden/>
              </w:rPr>
              <w:fldChar w:fldCharType="begin"/>
            </w:r>
            <w:r>
              <w:rPr>
                <w:noProof/>
                <w:webHidden/>
              </w:rPr>
              <w:instrText xml:space="preserve"> PAGEREF _Toc221030766 \h </w:instrText>
            </w:r>
            <w:r>
              <w:rPr>
                <w:noProof/>
                <w:webHidden/>
              </w:rPr>
            </w:r>
            <w:r>
              <w:rPr>
                <w:noProof/>
                <w:webHidden/>
              </w:rPr>
              <w:fldChar w:fldCharType="separate"/>
            </w:r>
            <w:r w:rsidR="00287F13">
              <w:rPr>
                <w:noProof/>
                <w:webHidden/>
              </w:rPr>
              <w:t>6</w:t>
            </w:r>
            <w:r>
              <w:rPr>
                <w:noProof/>
                <w:webHidden/>
              </w:rPr>
              <w:fldChar w:fldCharType="end"/>
            </w:r>
          </w:hyperlink>
        </w:p>
        <w:p w14:paraId="2C8509BA" w14:textId="14BBECA4" w:rsidR="00385D19" w:rsidRDefault="00385D19">
          <w:pPr>
            <w:pStyle w:val="TOC2"/>
            <w:tabs>
              <w:tab w:val="right" w:leader="dot" w:pos="9350"/>
            </w:tabs>
            <w:rPr>
              <w:rFonts w:asciiTheme="minorHAnsi" w:eastAsiaTheme="minorEastAsia" w:hAnsiTheme="minorHAnsi" w:cstheme="minorBidi"/>
              <w:noProof/>
              <w:lang w:val="en-IN"/>
            </w:rPr>
          </w:pPr>
          <w:hyperlink w:anchor="_Toc221030767" w:history="1">
            <w:r w:rsidRPr="00450CAB">
              <w:rPr>
                <w:rStyle w:val="Hyperlink"/>
                <w:noProof/>
              </w:rPr>
              <w:t>Main Treatment Options</w:t>
            </w:r>
            <w:r>
              <w:rPr>
                <w:noProof/>
                <w:webHidden/>
              </w:rPr>
              <w:tab/>
            </w:r>
            <w:r>
              <w:rPr>
                <w:noProof/>
                <w:webHidden/>
              </w:rPr>
              <w:fldChar w:fldCharType="begin"/>
            </w:r>
            <w:r>
              <w:rPr>
                <w:noProof/>
                <w:webHidden/>
              </w:rPr>
              <w:instrText xml:space="preserve"> PAGEREF _Toc221030767 \h </w:instrText>
            </w:r>
            <w:r>
              <w:rPr>
                <w:noProof/>
                <w:webHidden/>
              </w:rPr>
            </w:r>
            <w:r>
              <w:rPr>
                <w:noProof/>
                <w:webHidden/>
              </w:rPr>
              <w:fldChar w:fldCharType="separate"/>
            </w:r>
            <w:r w:rsidR="00287F13">
              <w:rPr>
                <w:noProof/>
                <w:webHidden/>
              </w:rPr>
              <w:t>6</w:t>
            </w:r>
            <w:r>
              <w:rPr>
                <w:noProof/>
                <w:webHidden/>
              </w:rPr>
              <w:fldChar w:fldCharType="end"/>
            </w:r>
          </w:hyperlink>
        </w:p>
        <w:p w14:paraId="06D2E0AB" w14:textId="581FDB5A" w:rsidR="00385D19" w:rsidRDefault="00385D19">
          <w:pPr>
            <w:pStyle w:val="TOC2"/>
            <w:tabs>
              <w:tab w:val="right" w:leader="dot" w:pos="9350"/>
            </w:tabs>
            <w:rPr>
              <w:rFonts w:asciiTheme="minorHAnsi" w:eastAsiaTheme="minorEastAsia" w:hAnsiTheme="minorHAnsi" w:cstheme="minorBidi"/>
              <w:noProof/>
              <w:lang w:val="en-IN"/>
            </w:rPr>
          </w:pPr>
          <w:hyperlink w:anchor="_Toc221030768" w:history="1">
            <w:r w:rsidRPr="00450CAB">
              <w:rPr>
                <w:rStyle w:val="Hyperlink"/>
                <w:noProof/>
              </w:rPr>
              <w:t>UK Healthcare Management and Accessibility</w:t>
            </w:r>
            <w:r>
              <w:rPr>
                <w:noProof/>
                <w:webHidden/>
              </w:rPr>
              <w:tab/>
            </w:r>
            <w:r>
              <w:rPr>
                <w:noProof/>
                <w:webHidden/>
              </w:rPr>
              <w:fldChar w:fldCharType="begin"/>
            </w:r>
            <w:r>
              <w:rPr>
                <w:noProof/>
                <w:webHidden/>
              </w:rPr>
              <w:instrText xml:space="preserve"> PAGEREF _Toc221030768 \h </w:instrText>
            </w:r>
            <w:r>
              <w:rPr>
                <w:noProof/>
                <w:webHidden/>
              </w:rPr>
            </w:r>
            <w:r>
              <w:rPr>
                <w:noProof/>
                <w:webHidden/>
              </w:rPr>
              <w:fldChar w:fldCharType="separate"/>
            </w:r>
            <w:r w:rsidR="00287F13">
              <w:rPr>
                <w:noProof/>
                <w:webHidden/>
              </w:rPr>
              <w:t>6</w:t>
            </w:r>
            <w:r>
              <w:rPr>
                <w:noProof/>
                <w:webHidden/>
              </w:rPr>
              <w:fldChar w:fldCharType="end"/>
            </w:r>
          </w:hyperlink>
        </w:p>
        <w:p w14:paraId="6301A728" w14:textId="3CB48D2D" w:rsidR="00385D19" w:rsidRDefault="00385D19">
          <w:pPr>
            <w:pStyle w:val="TOC2"/>
            <w:tabs>
              <w:tab w:val="right" w:leader="dot" w:pos="9350"/>
            </w:tabs>
            <w:rPr>
              <w:rFonts w:asciiTheme="minorHAnsi" w:eastAsiaTheme="minorEastAsia" w:hAnsiTheme="minorHAnsi" w:cstheme="minorBidi"/>
              <w:noProof/>
              <w:lang w:val="en-IN"/>
            </w:rPr>
          </w:pPr>
          <w:hyperlink w:anchor="_Toc221030769" w:history="1">
            <w:r w:rsidRPr="00450CAB">
              <w:rPr>
                <w:rStyle w:val="Hyperlink"/>
                <w:noProof/>
              </w:rPr>
              <w:t>Effectiveness and Limitations</w:t>
            </w:r>
            <w:r>
              <w:rPr>
                <w:noProof/>
                <w:webHidden/>
              </w:rPr>
              <w:tab/>
            </w:r>
            <w:r>
              <w:rPr>
                <w:noProof/>
                <w:webHidden/>
              </w:rPr>
              <w:fldChar w:fldCharType="begin"/>
            </w:r>
            <w:r>
              <w:rPr>
                <w:noProof/>
                <w:webHidden/>
              </w:rPr>
              <w:instrText xml:space="preserve"> PAGEREF _Toc221030769 \h </w:instrText>
            </w:r>
            <w:r>
              <w:rPr>
                <w:noProof/>
                <w:webHidden/>
              </w:rPr>
            </w:r>
            <w:r>
              <w:rPr>
                <w:noProof/>
                <w:webHidden/>
              </w:rPr>
              <w:fldChar w:fldCharType="separate"/>
            </w:r>
            <w:r w:rsidR="00287F13">
              <w:rPr>
                <w:noProof/>
                <w:webHidden/>
              </w:rPr>
              <w:t>6</w:t>
            </w:r>
            <w:r>
              <w:rPr>
                <w:noProof/>
                <w:webHidden/>
              </w:rPr>
              <w:fldChar w:fldCharType="end"/>
            </w:r>
          </w:hyperlink>
        </w:p>
        <w:p w14:paraId="51769BB9" w14:textId="2398A882" w:rsidR="00385D19" w:rsidRDefault="00385D19">
          <w:pPr>
            <w:pStyle w:val="TOC1"/>
            <w:tabs>
              <w:tab w:val="right" w:leader="dot" w:pos="9350"/>
            </w:tabs>
            <w:rPr>
              <w:rFonts w:asciiTheme="minorHAnsi" w:eastAsiaTheme="minorEastAsia" w:hAnsiTheme="minorHAnsi" w:cstheme="minorBidi"/>
              <w:noProof/>
              <w:lang w:val="en-IN"/>
            </w:rPr>
          </w:pPr>
          <w:hyperlink w:anchor="_Toc221030770" w:history="1">
            <w:r w:rsidRPr="00450CAB">
              <w:rPr>
                <w:rStyle w:val="Hyperlink"/>
                <w:noProof/>
                <w:lang w:val="en-GB"/>
              </w:rPr>
              <w:t>Rehabilitation &amp; Long-Term Management</w:t>
            </w:r>
            <w:r>
              <w:rPr>
                <w:noProof/>
                <w:webHidden/>
              </w:rPr>
              <w:tab/>
            </w:r>
            <w:r>
              <w:rPr>
                <w:noProof/>
                <w:webHidden/>
              </w:rPr>
              <w:fldChar w:fldCharType="begin"/>
            </w:r>
            <w:r>
              <w:rPr>
                <w:noProof/>
                <w:webHidden/>
              </w:rPr>
              <w:instrText xml:space="preserve"> PAGEREF _Toc221030770 \h </w:instrText>
            </w:r>
            <w:r>
              <w:rPr>
                <w:noProof/>
                <w:webHidden/>
              </w:rPr>
            </w:r>
            <w:r>
              <w:rPr>
                <w:noProof/>
                <w:webHidden/>
              </w:rPr>
              <w:fldChar w:fldCharType="separate"/>
            </w:r>
            <w:r w:rsidR="00287F13">
              <w:rPr>
                <w:noProof/>
                <w:webHidden/>
              </w:rPr>
              <w:t>7</w:t>
            </w:r>
            <w:r>
              <w:rPr>
                <w:noProof/>
                <w:webHidden/>
              </w:rPr>
              <w:fldChar w:fldCharType="end"/>
            </w:r>
          </w:hyperlink>
        </w:p>
        <w:p w14:paraId="4E40DB27" w14:textId="70163BCE" w:rsidR="00385D19" w:rsidRDefault="00385D19">
          <w:pPr>
            <w:pStyle w:val="TOC2"/>
            <w:tabs>
              <w:tab w:val="right" w:leader="dot" w:pos="9350"/>
            </w:tabs>
            <w:rPr>
              <w:rFonts w:asciiTheme="minorHAnsi" w:eastAsiaTheme="minorEastAsia" w:hAnsiTheme="minorHAnsi" w:cstheme="minorBidi"/>
              <w:noProof/>
              <w:lang w:val="en-IN"/>
            </w:rPr>
          </w:pPr>
          <w:hyperlink w:anchor="_Toc221030771" w:history="1">
            <w:r w:rsidRPr="00450CAB">
              <w:rPr>
                <w:rStyle w:val="Hyperlink"/>
                <w:noProof/>
                <w:lang w:val="en-GB"/>
              </w:rPr>
              <w:t>Rehabilitation strategies in ICD-11</w:t>
            </w:r>
            <w:r>
              <w:rPr>
                <w:noProof/>
                <w:webHidden/>
              </w:rPr>
              <w:tab/>
            </w:r>
            <w:r>
              <w:rPr>
                <w:noProof/>
                <w:webHidden/>
              </w:rPr>
              <w:fldChar w:fldCharType="begin"/>
            </w:r>
            <w:r>
              <w:rPr>
                <w:noProof/>
                <w:webHidden/>
              </w:rPr>
              <w:instrText xml:space="preserve"> PAGEREF _Toc221030771 \h </w:instrText>
            </w:r>
            <w:r>
              <w:rPr>
                <w:noProof/>
                <w:webHidden/>
              </w:rPr>
            </w:r>
            <w:r>
              <w:rPr>
                <w:noProof/>
                <w:webHidden/>
              </w:rPr>
              <w:fldChar w:fldCharType="separate"/>
            </w:r>
            <w:r w:rsidR="00287F13">
              <w:rPr>
                <w:noProof/>
                <w:webHidden/>
              </w:rPr>
              <w:t>7</w:t>
            </w:r>
            <w:r>
              <w:rPr>
                <w:noProof/>
                <w:webHidden/>
              </w:rPr>
              <w:fldChar w:fldCharType="end"/>
            </w:r>
          </w:hyperlink>
        </w:p>
        <w:p w14:paraId="292443EE" w14:textId="12E47D32" w:rsidR="00385D19" w:rsidRDefault="00385D19">
          <w:pPr>
            <w:pStyle w:val="TOC2"/>
            <w:tabs>
              <w:tab w:val="right" w:leader="dot" w:pos="9350"/>
            </w:tabs>
            <w:rPr>
              <w:rFonts w:asciiTheme="minorHAnsi" w:eastAsiaTheme="minorEastAsia" w:hAnsiTheme="minorHAnsi" w:cstheme="minorBidi"/>
              <w:noProof/>
              <w:lang w:val="en-IN"/>
            </w:rPr>
          </w:pPr>
          <w:hyperlink w:anchor="_Toc221030772" w:history="1">
            <w:r w:rsidRPr="00450CAB">
              <w:rPr>
                <w:rStyle w:val="Hyperlink"/>
                <w:noProof/>
                <w:lang w:val="en-GB"/>
              </w:rPr>
              <w:t>Social Intervention Challenges and Community-Based Integration</w:t>
            </w:r>
            <w:r>
              <w:rPr>
                <w:noProof/>
                <w:webHidden/>
              </w:rPr>
              <w:tab/>
            </w:r>
            <w:r>
              <w:rPr>
                <w:noProof/>
                <w:webHidden/>
              </w:rPr>
              <w:fldChar w:fldCharType="begin"/>
            </w:r>
            <w:r>
              <w:rPr>
                <w:noProof/>
                <w:webHidden/>
              </w:rPr>
              <w:instrText xml:space="preserve"> PAGEREF _Toc221030772 \h </w:instrText>
            </w:r>
            <w:r>
              <w:rPr>
                <w:noProof/>
                <w:webHidden/>
              </w:rPr>
            </w:r>
            <w:r>
              <w:rPr>
                <w:noProof/>
                <w:webHidden/>
              </w:rPr>
              <w:fldChar w:fldCharType="separate"/>
            </w:r>
            <w:r w:rsidR="00287F13">
              <w:rPr>
                <w:noProof/>
                <w:webHidden/>
              </w:rPr>
              <w:t>8</w:t>
            </w:r>
            <w:r>
              <w:rPr>
                <w:noProof/>
                <w:webHidden/>
              </w:rPr>
              <w:fldChar w:fldCharType="end"/>
            </w:r>
          </w:hyperlink>
        </w:p>
        <w:p w14:paraId="6F4ED65A" w14:textId="09231D95" w:rsidR="00385D19" w:rsidRDefault="00385D19">
          <w:pPr>
            <w:pStyle w:val="TOC1"/>
            <w:tabs>
              <w:tab w:val="right" w:leader="dot" w:pos="9350"/>
            </w:tabs>
            <w:rPr>
              <w:rFonts w:asciiTheme="minorHAnsi" w:eastAsiaTheme="minorEastAsia" w:hAnsiTheme="minorHAnsi" w:cstheme="minorBidi"/>
              <w:noProof/>
              <w:lang w:val="en-IN"/>
            </w:rPr>
          </w:pPr>
          <w:hyperlink w:anchor="_Toc221030773" w:history="1">
            <w:r w:rsidRPr="00450CAB">
              <w:rPr>
                <w:rStyle w:val="Hyperlink"/>
                <w:noProof/>
                <w:lang w:val="en-GB"/>
              </w:rPr>
              <w:t>Current Debates &amp; Emerging Issues</w:t>
            </w:r>
            <w:r>
              <w:rPr>
                <w:noProof/>
                <w:webHidden/>
              </w:rPr>
              <w:tab/>
            </w:r>
            <w:r>
              <w:rPr>
                <w:noProof/>
                <w:webHidden/>
              </w:rPr>
              <w:fldChar w:fldCharType="begin"/>
            </w:r>
            <w:r>
              <w:rPr>
                <w:noProof/>
                <w:webHidden/>
              </w:rPr>
              <w:instrText xml:space="preserve"> PAGEREF _Toc221030773 \h </w:instrText>
            </w:r>
            <w:r>
              <w:rPr>
                <w:noProof/>
                <w:webHidden/>
              </w:rPr>
            </w:r>
            <w:r>
              <w:rPr>
                <w:noProof/>
                <w:webHidden/>
              </w:rPr>
              <w:fldChar w:fldCharType="separate"/>
            </w:r>
            <w:r w:rsidR="00287F13">
              <w:rPr>
                <w:noProof/>
                <w:webHidden/>
              </w:rPr>
              <w:t>9</w:t>
            </w:r>
            <w:r>
              <w:rPr>
                <w:noProof/>
                <w:webHidden/>
              </w:rPr>
              <w:fldChar w:fldCharType="end"/>
            </w:r>
          </w:hyperlink>
        </w:p>
        <w:p w14:paraId="3E82332E" w14:textId="7CF00703" w:rsidR="00385D19" w:rsidRDefault="00385D19">
          <w:pPr>
            <w:pStyle w:val="TOC2"/>
            <w:tabs>
              <w:tab w:val="right" w:leader="dot" w:pos="9350"/>
            </w:tabs>
            <w:rPr>
              <w:rFonts w:asciiTheme="minorHAnsi" w:eastAsiaTheme="minorEastAsia" w:hAnsiTheme="minorHAnsi" w:cstheme="minorBidi"/>
              <w:noProof/>
              <w:lang w:val="en-IN"/>
            </w:rPr>
          </w:pPr>
          <w:hyperlink w:anchor="_Toc221030774" w:history="1">
            <w:r w:rsidRPr="00450CAB">
              <w:rPr>
                <w:rStyle w:val="Hyperlink"/>
                <w:noProof/>
                <w:lang w:val="en-GB"/>
              </w:rPr>
              <w:t>Major academic and clinical debates on classification and treatment</w:t>
            </w:r>
            <w:r>
              <w:rPr>
                <w:noProof/>
                <w:webHidden/>
              </w:rPr>
              <w:tab/>
            </w:r>
            <w:r>
              <w:rPr>
                <w:noProof/>
                <w:webHidden/>
              </w:rPr>
              <w:fldChar w:fldCharType="begin"/>
            </w:r>
            <w:r>
              <w:rPr>
                <w:noProof/>
                <w:webHidden/>
              </w:rPr>
              <w:instrText xml:space="preserve"> PAGEREF _Toc221030774 \h </w:instrText>
            </w:r>
            <w:r>
              <w:rPr>
                <w:noProof/>
                <w:webHidden/>
              </w:rPr>
            </w:r>
            <w:r>
              <w:rPr>
                <w:noProof/>
                <w:webHidden/>
              </w:rPr>
              <w:fldChar w:fldCharType="separate"/>
            </w:r>
            <w:r w:rsidR="00287F13">
              <w:rPr>
                <w:noProof/>
                <w:webHidden/>
              </w:rPr>
              <w:t>9</w:t>
            </w:r>
            <w:r>
              <w:rPr>
                <w:noProof/>
                <w:webHidden/>
              </w:rPr>
              <w:fldChar w:fldCharType="end"/>
            </w:r>
          </w:hyperlink>
        </w:p>
        <w:p w14:paraId="23F2488D" w14:textId="410BAFF9" w:rsidR="00385D19" w:rsidRDefault="00385D19">
          <w:pPr>
            <w:pStyle w:val="TOC2"/>
            <w:tabs>
              <w:tab w:val="right" w:leader="dot" w:pos="9350"/>
            </w:tabs>
            <w:rPr>
              <w:rFonts w:asciiTheme="minorHAnsi" w:eastAsiaTheme="minorEastAsia" w:hAnsiTheme="minorHAnsi" w:cstheme="minorBidi"/>
              <w:noProof/>
              <w:lang w:val="en-IN"/>
            </w:rPr>
          </w:pPr>
          <w:hyperlink w:anchor="_Toc221030775" w:history="1">
            <w:r w:rsidRPr="00450CAB">
              <w:rPr>
                <w:rStyle w:val="Hyperlink"/>
                <w:noProof/>
                <w:lang w:val="en-GB"/>
              </w:rPr>
              <w:t>Explore the role of neurodivergence and redefining the diagnosis framework.</w:t>
            </w:r>
            <w:r>
              <w:rPr>
                <w:noProof/>
                <w:webHidden/>
              </w:rPr>
              <w:tab/>
            </w:r>
            <w:r>
              <w:rPr>
                <w:noProof/>
                <w:webHidden/>
              </w:rPr>
              <w:fldChar w:fldCharType="begin"/>
            </w:r>
            <w:r>
              <w:rPr>
                <w:noProof/>
                <w:webHidden/>
              </w:rPr>
              <w:instrText xml:space="preserve"> PAGEREF _Toc221030775 \h </w:instrText>
            </w:r>
            <w:r>
              <w:rPr>
                <w:noProof/>
                <w:webHidden/>
              </w:rPr>
            </w:r>
            <w:r>
              <w:rPr>
                <w:noProof/>
                <w:webHidden/>
              </w:rPr>
              <w:fldChar w:fldCharType="separate"/>
            </w:r>
            <w:r w:rsidR="00287F13">
              <w:rPr>
                <w:noProof/>
                <w:webHidden/>
              </w:rPr>
              <w:t>9</w:t>
            </w:r>
            <w:r>
              <w:rPr>
                <w:noProof/>
                <w:webHidden/>
              </w:rPr>
              <w:fldChar w:fldCharType="end"/>
            </w:r>
          </w:hyperlink>
        </w:p>
        <w:p w14:paraId="20D5FEB9" w14:textId="100AE43F" w:rsidR="00385D19" w:rsidRDefault="00385D19">
          <w:pPr>
            <w:pStyle w:val="TOC2"/>
            <w:tabs>
              <w:tab w:val="right" w:leader="dot" w:pos="9350"/>
            </w:tabs>
            <w:rPr>
              <w:rFonts w:asciiTheme="minorHAnsi" w:eastAsiaTheme="minorEastAsia" w:hAnsiTheme="minorHAnsi" w:cstheme="minorBidi"/>
              <w:noProof/>
              <w:lang w:val="en-IN"/>
            </w:rPr>
          </w:pPr>
          <w:hyperlink w:anchor="_Toc221030776" w:history="1">
            <w:r w:rsidRPr="00450CAB">
              <w:rPr>
                <w:rStyle w:val="Hyperlink"/>
                <w:noProof/>
                <w:lang w:val="en-GB"/>
              </w:rPr>
              <w:t>Policy changes and their implications</w:t>
            </w:r>
            <w:r>
              <w:rPr>
                <w:noProof/>
                <w:webHidden/>
              </w:rPr>
              <w:tab/>
            </w:r>
            <w:r>
              <w:rPr>
                <w:noProof/>
                <w:webHidden/>
              </w:rPr>
              <w:fldChar w:fldCharType="begin"/>
            </w:r>
            <w:r>
              <w:rPr>
                <w:noProof/>
                <w:webHidden/>
              </w:rPr>
              <w:instrText xml:space="preserve"> PAGEREF _Toc221030776 \h </w:instrText>
            </w:r>
            <w:r>
              <w:rPr>
                <w:noProof/>
                <w:webHidden/>
              </w:rPr>
            </w:r>
            <w:r>
              <w:rPr>
                <w:noProof/>
                <w:webHidden/>
              </w:rPr>
              <w:fldChar w:fldCharType="separate"/>
            </w:r>
            <w:r w:rsidR="00287F13">
              <w:rPr>
                <w:noProof/>
                <w:webHidden/>
              </w:rPr>
              <w:t>9</w:t>
            </w:r>
            <w:r>
              <w:rPr>
                <w:noProof/>
                <w:webHidden/>
              </w:rPr>
              <w:fldChar w:fldCharType="end"/>
            </w:r>
          </w:hyperlink>
        </w:p>
        <w:p w14:paraId="4C99CD35" w14:textId="5C685C3D" w:rsidR="00385D19" w:rsidRDefault="00385D19">
          <w:pPr>
            <w:pStyle w:val="TOC1"/>
            <w:tabs>
              <w:tab w:val="right" w:leader="dot" w:pos="9350"/>
            </w:tabs>
            <w:rPr>
              <w:rFonts w:asciiTheme="minorHAnsi" w:eastAsiaTheme="minorEastAsia" w:hAnsiTheme="minorHAnsi" w:cstheme="minorBidi"/>
              <w:noProof/>
              <w:lang w:val="en-IN"/>
            </w:rPr>
          </w:pPr>
          <w:hyperlink w:anchor="_Toc221030777" w:history="1">
            <w:r w:rsidRPr="00450CAB">
              <w:rPr>
                <w:rStyle w:val="Hyperlink"/>
                <w:noProof/>
                <w:lang w:val="en-GB"/>
              </w:rPr>
              <w:t>Policy &amp; Legal Framework</w:t>
            </w:r>
            <w:r>
              <w:rPr>
                <w:noProof/>
                <w:webHidden/>
              </w:rPr>
              <w:tab/>
            </w:r>
            <w:r>
              <w:rPr>
                <w:noProof/>
                <w:webHidden/>
              </w:rPr>
              <w:fldChar w:fldCharType="begin"/>
            </w:r>
            <w:r>
              <w:rPr>
                <w:noProof/>
                <w:webHidden/>
              </w:rPr>
              <w:instrText xml:space="preserve"> PAGEREF _Toc221030777 \h </w:instrText>
            </w:r>
            <w:r>
              <w:rPr>
                <w:noProof/>
                <w:webHidden/>
              </w:rPr>
            </w:r>
            <w:r>
              <w:rPr>
                <w:noProof/>
                <w:webHidden/>
              </w:rPr>
              <w:fldChar w:fldCharType="separate"/>
            </w:r>
            <w:r w:rsidR="00287F13">
              <w:rPr>
                <w:noProof/>
                <w:webHidden/>
              </w:rPr>
              <w:t>10</w:t>
            </w:r>
            <w:r>
              <w:rPr>
                <w:noProof/>
                <w:webHidden/>
              </w:rPr>
              <w:fldChar w:fldCharType="end"/>
            </w:r>
          </w:hyperlink>
        </w:p>
        <w:p w14:paraId="43624777" w14:textId="7A95A04A" w:rsidR="00385D19" w:rsidRDefault="00385D19">
          <w:pPr>
            <w:pStyle w:val="TOC2"/>
            <w:tabs>
              <w:tab w:val="right" w:leader="dot" w:pos="9350"/>
            </w:tabs>
            <w:rPr>
              <w:rFonts w:asciiTheme="minorHAnsi" w:eastAsiaTheme="minorEastAsia" w:hAnsiTheme="minorHAnsi" w:cstheme="minorBidi"/>
              <w:noProof/>
              <w:lang w:val="en-IN"/>
            </w:rPr>
          </w:pPr>
          <w:hyperlink w:anchor="_Toc221030778" w:history="1">
            <w:r w:rsidRPr="00450CAB">
              <w:rPr>
                <w:rStyle w:val="Hyperlink"/>
                <w:noProof/>
                <w:highlight w:val="white"/>
                <w:lang w:val="en-GB"/>
              </w:rPr>
              <w:t>Legal Protections and Rights</w:t>
            </w:r>
            <w:r>
              <w:rPr>
                <w:noProof/>
                <w:webHidden/>
              </w:rPr>
              <w:tab/>
            </w:r>
            <w:r>
              <w:rPr>
                <w:noProof/>
                <w:webHidden/>
              </w:rPr>
              <w:fldChar w:fldCharType="begin"/>
            </w:r>
            <w:r>
              <w:rPr>
                <w:noProof/>
                <w:webHidden/>
              </w:rPr>
              <w:instrText xml:space="preserve"> PAGEREF _Toc221030778 \h </w:instrText>
            </w:r>
            <w:r>
              <w:rPr>
                <w:noProof/>
                <w:webHidden/>
              </w:rPr>
            </w:r>
            <w:r>
              <w:rPr>
                <w:noProof/>
                <w:webHidden/>
              </w:rPr>
              <w:fldChar w:fldCharType="separate"/>
            </w:r>
            <w:r w:rsidR="00287F13">
              <w:rPr>
                <w:noProof/>
                <w:webHidden/>
              </w:rPr>
              <w:t>10</w:t>
            </w:r>
            <w:r>
              <w:rPr>
                <w:noProof/>
                <w:webHidden/>
              </w:rPr>
              <w:fldChar w:fldCharType="end"/>
            </w:r>
          </w:hyperlink>
        </w:p>
        <w:p w14:paraId="2C5C7893" w14:textId="0C84F5A3" w:rsidR="00385D19" w:rsidRDefault="00385D19">
          <w:pPr>
            <w:pStyle w:val="TOC2"/>
            <w:tabs>
              <w:tab w:val="right" w:leader="dot" w:pos="9350"/>
            </w:tabs>
            <w:rPr>
              <w:rFonts w:asciiTheme="minorHAnsi" w:eastAsiaTheme="minorEastAsia" w:hAnsiTheme="minorHAnsi" w:cstheme="minorBidi"/>
              <w:noProof/>
              <w:lang w:val="en-IN"/>
            </w:rPr>
          </w:pPr>
          <w:hyperlink w:anchor="_Toc221030779" w:history="1">
            <w:r w:rsidRPr="00450CAB">
              <w:rPr>
                <w:rStyle w:val="Hyperlink"/>
                <w:noProof/>
                <w:highlight w:val="white"/>
                <w:lang w:val="en-GB"/>
              </w:rPr>
              <w:t>UK Policies and Service Provision</w:t>
            </w:r>
            <w:r>
              <w:rPr>
                <w:noProof/>
                <w:webHidden/>
              </w:rPr>
              <w:tab/>
            </w:r>
            <w:r>
              <w:rPr>
                <w:noProof/>
                <w:webHidden/>
              </w:rPr>
              <w:fldChar w:fldCharType="begin"/>
            </w:r>
            <w:r>
              <w:rPr>
                <w:noProof/>
                <w:webHidden/>
              </w:rPr>
              <w:instrText xml:space="preserve"> PAGEREF _Toc221030779 \h </w:instrText>
            </w:r>
            <w:r>
              <w:rPr>
                <w:noProof/>
                <w:webHidden/>
              </w:rPr>
            </w:r>
            <w:r>
              <w:rPr>
                <w:noProof/>
                <w:webHidden/>
              </w:rPr>
              <w:fldChar w:fldCharType="separate"/>
            </w:r>
            <w:r w:rsidR="00287F13">
              <w:rPr>
                <w:noProof/>
                <w:webHidden/>
              </w:rPr>
              <w:t>10</w:t>
            </w:r>
            <w:r>
              <w:rPr>
                <w:noProof/>
                <w:webHidden/>
              </w:rPr>
              <w:fldChar w:fldCharType="end"/>
            </w:r>
          </w:hyperlink>
        </w:p>
        <w:p w14:paraId="728A58CB" w14:textId="71521484" w:rsidR="00385D19" w:rsidRDefault="00385D19">
          <w:pPr>
            <w:pStyle w:val="TOC2"/>
            <w:tabs>
              <w:tab w:val="right" w:leader="dot" w:pos="9350"/>
            </w:tabs>
            <w:rPr>
              <w:rFonts w:asciiTheme="minorHAnsi" w:eastAsiaTheme="minorEastAsia" w:hAnsiTheme="minorHAnsi" w:cstheme="minorBidi"/>
              <w:noProof/>
              <w:lang w:val="en-IN"/>
            </w:rPr>
          </w:pPr>
          <w:hyperlink w:anchor="_Toc221030780" w:history="1">
            <w:r w:rsidRPr="00450CAB">
              <w:rPr>
                <w:rStyle w:val="Hyperlink"/>
                <w:noProof/>
                <w:highlight w:val="white"/>
                <w:lang w:val="en-GB"/>
              </w:rPr>
              <w:t>Ethical and Funding Considerations</w:t>
            </w:r>
            <w:r>
              <w:rPr>
                <w:noProof/>
                <w:webHidden/>
              </w:rPr>
              <w:tab/>
            </w:r>
            <w:r>
              <w:rPr>
                <w:noProof/>
                <w:webHidden/>
              </w:rPr>
              <w:fldChar w:fldCharType="begin"/>
            </w:r>
            <w:r>
              <w:rPr>
                <w:noProof/>
                <w:webHidden/>
              </w:rPr>
              <w:instrText xml:space="preserve"> PAGEREF _Toc221030780 \h </w:instrText>
            </w:r>
            <w:r>
              <w:rPr>
                <w:noProof/>
                <w:webHidden/>
              </w:rPr>
            </w:r>
            <w:r>
              <w:rPr>
                <w:noProof/>
                <w:webHidden/>
              </w:rPr>
              <w:fldChar w:fldCharType="separate"/>
            </w:r>
            <w:r w:rsidR="00287F13">
              <w:rPr>
                <w:noProof/>
                <w:webHidden/>
              </w:rPr>
              <w:t>10</w:t>
            </w:r>
            <w:r>
              <w:rPr>
                <w:noProof/>
                <w:webHidden/>
              </w:rPr>
              <w:fldChar w:fldCharType="end"/>
            </w:r>
          </w:hyperlink>
        </w:p>
        <w:p w14:paraId="407D6932" w14:textId="3A8D71E3" w:rsidR="00385D19" w:rsidRDefault="00385D19">
          <w:pPr>
            <w:pStyle w:val="TOC1"/>
            <w:tabs>
              <w:tab w:val="right" w:leader="dot" w:pos="9350"/>
            </w:tabs>
            <w:rPr>
              <w:rFonts w:asciiTheme="minorHAnsi" w:eastAsiaTheme="minorEastAsia" w:hAnsiTheme="minorHAnsi" w:cstheme="minorBidi"/>
              <w:noProof/>
              <w:lang w:val="en-IN"/>
            </w:rPr>
          </w:pPr>
          <w:hyperlink w:anchor="_Toc221030781" w:history="1">
            <w:r w:rsidRPr="00450CAB">
              <w:rPr>
                <w:rStyle w:val="Hyperlink"/>
                <w:noProof/>
                <w:lang w:val="en-GB"/>
              </w:rPr>
              <w:t>UK Data &amp; Statistical Evidence</w:t>
            </w:r>
            <w:r>
              <w:rPr>
                <w:noProof/>
                <w:webHidden/>
              </w:rPr>
              <w:tab/>
            </w:r>
            <w:r>
              <w:rPr>
                <w:noProof/>
                <w:webHidden/>
              </w:rPr>
              <w:fldChar w:fldCharType="begin"/>
            </w:r>
            <w:r>
              <w:rPr>
                <w:noProof/>
                <w:webHidden/>
              </w:rPr>
              <w:instrText xml:space="preserve"> PAGEREF _Toc221030781 \h </w:instrText>
            </w:r>
            <w:r>
              <w:rPr>
                <w:noProof/>
                <w:webHidden/>
              </w:rPr>
            </w:r>
            <w:r>
              <w:rPr>
                <w:noProof/>
                <w:webHidden/>
              </w:rPr>
              <w:fldChar w:fldCharType="separate"/>
            </w:r>
            <w:r w:rsidR="00287F13">
              <w:rPr>
                <w:noProof/>
                <w:webHidden/>
              </w:rPr>
              <w:t>11</w:t>
            </w:r>
            <w:r>
              <w:rPr>
                <w:noProof/>
                <w:webHidden/>
              </w:rPr>
              <w:fldChar w:fldCharType="end"/>
            </w:r>
          </w:hyperlink>
        </w:p>
        <w:p w14:paraId="263969F9" w14:textId="21CBC40D" w:rsidR="00385D19" w:rsidRDefault="00385D19">
          <w:pPr>
            <w:pStyle w:val="TOC1"/>
            <w:tabs>
              <w:tab w:val="right" w:leader="dot" w:pos="9350"/>
            </w:tabs>
            <w:rPr>
              <w:rFonts w:asciiTheme="minorHAnsi" w:eastAsiaTheme="minorEastAsia" w:hAnsiTheme="minorHAnsi" w:cstheme="minorBidi"/>
              <w:noProof/>
              <w:lang w:val="en-IN"/>
            </w:rPr>
          </w:pPr>
          <w:hyperlink w:anchor="_Toc221030782" w:history="1">
            <w:r w:rsidRPr="00450CAB">
              <w:rPr>
                <w:rStyle w:val="Hyperlink"/>
                <w:noProof/>
                <w:lang w:val="en-GB"/>
              </w:rPr>
              <w:t>Recommendations</w:t>
            </w:r>
            <w:r>
              <w:rPr>
                <w:noProof/>
                <w:webHidden/>
              </w:rPr>
              <w:tab/>
            </w:r>
            <w:r>
              <w:rPr>
                <w:noProof/>
                <w:webHidden/>
              </w:rPr>
              <w:fldChar w:fldCharType="begin"/>
            </w:r>
            <w:r>
              <w:rPr>
                <w:noProof/>
                <w:webHidden/>
              </w:rPr>
              <w:instrText xml:space="preserve"> PAGEREF _Toc221030782 \h </w:instrText>
            </w:r>
            <w:r>
              <w:rPr>
                <w:noProof/>
                <w:webHidden/>
              </w:rPr>
            </w:r>
            <w:r>
              <w:rPr>
                <w:noProof/>
                <w:webHidden/>
              </w:rPr>
              <w:fldChar w:fldCharType="separate"/>
            </w:r>
            <w:r w:rsidR="00287F13">
              <w:rPr>
                <w:noProof/>
                <w:webHidden/>
              </w:rPr>
              <w:t>12</w:t>
            </w:r>
            <w:r>
              <w:rPr>
                <w:noProof/>
                <w:webHidden/>
              </w:rPr>
              <w:fldChar w:fldCharType="end"/>
            </w:r>
          </w:hyperlink>
        </w:p>
        <w:p w14:paraId="03A341E3" w14:textId="7C55191A" w:rsidR="00385D19" w:rsidRDefault="00385D19">
          <w:pPr>
            <w:pStyle w:val="TOC1"/>
            <w:tabs>
              <w:tab w:val="right" w:leader="dot" w:pos="9350"/>
            </w:tabs>
            <w:rPr>
              <w:rFonts w:asciiTheme="minorHAnsi" w:eastAsiaTheme="minorEastAsia" w:hAnsiTheme="minorHAnsi" w:cstheme="minorBidi"/>
              <w:noProof/>
              <w:lang w:val="en-IN"/>
            </w:rPr>
          </w:pPr>
          <w:hyperlink w:anchor="_Toc221030783" w:history="1">
            <w:r w:rsidRPr="00450CAB">
              <w:rPr>
                <w:rStyle w:val="Hyperlink"/>
                <w:noProof/>
                <w:lang w:val="en-GB"/>
              </w:rPr>
              <w:t>Conclusion</w:t>
            </w:r>
            <w:r>
              <w:rPr>
                <w:noProof/>
                <w:webHidden/>
              </w:rPr>
              <w:tab/>
            </w:r>
            <w:r>
              <w:rPr>
                <w:noProof/>
                <w:webHidden/>
              </w:rPr>
              <w:fldChar w:fldCharType="begin"/>
            </w:r>
            <w:r>
              <w:rPr>
                <w:noProof/>
                <w:webHidden/>
              </w:rPr>
              <w:instrText xml:space="preserve"> PAGEREF _Toc221030783 \h </w:instrText>
            </w:r>
            <w:r>
              <w:rPr>
                <w:noProof/>
                <w:webHidden/>
              </w:rPr>
            </w:r>
            <w:r>
              <w:rPr>
                <w:noProof/>
                <w:webHidden/>
              </w:rPr>
              <w:fldChar w:fldCharType="separate"/>
            </w:r>
            <w:r w:rsidR="00287F13">
              <w:rPr>
                <w:noProof/>
                <w:webHidden/>
              </w:rPr>
              <w:t>13</w:t>
            </w:r>
            <w:r>
              <w:rPr>
                <w:noProof/>
                <w:webHidden/>
              </w:rPr>
              <w:fldChar w:fldCharType="end"/>
            </w:r>
          </w:hyperlink>
        </w:p>
        <w:p w14:paraId="29235F6F" w14:textId="48CFC942" w:rsidR="00385D19" w:rsidRDefault="00385D19">
          <w:pPr>
            <w:pStyle w:val="TOC1"/>
            <w:tabs>
              <w:tab w:val="right" w:leader="dot" w:pos="9350"/>
            </w:tabs>
            <w:rPr>
              <w:rFonts w:asciiTheme="minorHAnsi" w:eastAsiaTheme="minorEastAsia" w:hAnsiTheme="minorHAnsi" w:cstheme="minorBidi"/>
              <w:noProof/>
              <w:lang w:val="en-IN"/>
            </w:rPr>
          </w:pPr>
          <w:hyperlink w:anchor="_Toc221030784" w:history="1">
            <w:r w:rsidRPr="00450CAB">
              <w:rPr>
                <w:rStyle w:val="Hyperlink"/>
                <w:noProof/>
                <w:lang w:val="en-GB"/>
              </w:rPr>
              <w:t>Reference List</w:t>
            </w:r>
            <w:r>
              <w:rPr>
                <w:noProof/>
                <w:webHidden/>
              </w:rPr>
              <w:tab/>
            </w:r>
            <w:r>
              <w:rPr>
                <w:noProof/>
                <w:webHidden/>
              </w:rPr>
              <w:fldChar w:fldCharType="begin"/>
            </w:r>
            <w:r>
              <w:rPr>
                <w:noProof/>
                <w:webHidden/>
              </w:rPr>
              <w:instrText xml:space="preserve"> PAGEREF _Toc221030784 \h </w:instrText>
            </w:r>
            <w:r>
              <w:rPr>
                <w:noProof/>
                <w:webHidden/>
              </w:rPr>
            </w:r>
            <w:r>
              <w:rPr>
                <w:noProof/>
                <w:webHidden/>
              </w:rPr>
              <w:fldChar w:fldCharType="separate"/>
            </w:r>
            <w:r w:rsidR="00287F13">
              <w:rPr>
                <w:noProof/>
                <w:webHidden/>
              </w:rPr>
              <w:t>14</w:t>
            </w:r>
            <w:r>
              <w:rPr>
                <w:noProof/>
                <w:webHidden/>
              </w:rPr>
              <w:fldChar w:fldCharType="end"/>
            </w:r>
          </w:hyperlink>
        </w:p>
        <w:p w14:paraId="4D10E11E" w14:textId="77777777" w:rsidR="009A0D4B" w:rsidRDefault="0070138D" w:rsidP="009A0D4B">
          <w:pPr>
            <w:spacing w:line="360" w:lineRule="auto"/>
            <w:jc w:val="both"/>
          </w:pPr>
          <w:r w:rsidRPr="009A0D4B">
            <w:rPr>
              <w:b/>
              <w:bCs/>
              <w:noProof/>
              <w:color w:val="000000" w:themeColor="text1"/>
            </w:rPr>
            <w:fldChar w:fldCharType="end"/>
          </w:r>
        </w:p>
      </w:sdtContent>
    </w:sdt>
    <w:p w14:paraId="1B9913CB" w14:textId="77777777" w:rsidR="00CB41B7" w:rsidRPr="009A0D4B" w:rsidRDefault="0070138D" w:rsidP="009A0D4B">
      <w:pPr>
        <w:spacing w:line="480" w:lineRule="auto"/>
        <w:jc w:val="both"/>
        <w:rPr>
          <w:bCs/>
          <w:color w:val="000000" w:themeColor="text1"/>
          <w:sz w:val="32"/>
          <w:szCs w:val="32"/>
          <w:lang w:val="en-GB"/>
        </w:rPr>
      </w:pPr>
      <w:r w:rsidRPr="009A0D4B">
        <w:rPr>
          <w:color w:val="000000" w:themeColor="text1"/>
          <w:lang w:val="en-GB"/>
        </w:rPr>
        <w:br w:type="page"/>
      </w:r>
    </w:p>
    <w:p w14:paraId="5A9908B1" w14:textId="77777777" w:rsidR="0079063C" w:rsidRDefault="0079063C" w:rsidP="0079063C">
      <w:pPr>
        <w:pStyle w:val="Heading1"/>
        <w:rPr>
          <w:sz w:val="24"/>
          <w:szCs w:val="24"/>
        </w:rPr>
      </w:pPr>
      <w:bookmarkStart w:id="0" w:name="_Toc221030760"/>
      <w:r w:rsidRPr="00D023D0">
        <w:rPr>
          <w:sz w:val="24"/>
          <w:szCs w:val="24"/>
        </w:rPr>
        <w:lastRenderedPageBreak/>
        <w:t>Introduction</w:t>
      </w:r>
      <w:bookmarkEnd w:id="0"/>
      <w:r w:rsidRPr="00D023D0">
        <w:rPr>
          <w:sz w:val="24"/>
          <w:szCs w:val="24"/>
        </w:rPr>
        <w:t xml:space="preserve"> </w:t>
      </w:r>
    </w:p>
    <w:p w14:paraId="73EB01C6" w14:textId="77777777" w:rsidR="009D5190" w:rsidRPr="009D5190" w:rsidRDefault="009D5190" w:rsidP="009D5190">
      <w:pPr>
        <w:pStyle w:val="NormalWeb"/>
        <w:spacing w:line="360" w:lineRule="auto"/>
        <w:jc w:val="both"/>
        <w:rPr>
          <w:rFonts w:ascii="Arial" w:hAnsi="Arial" w:cs="Arial"/>
          <w:sz w:val="22"/>
          <w:szCs w:val="22"/>
        </w:rPr>
      </w:pPr>
      <w:r w:rsidRPr="009D5190">
        <w:rPr>
          <w:rFonts w:ascii="Arial" w:hAnsi="Arial" w:cs="Arial"/>
          <w:sz w:val="22"/>
          <w:szCs w:val="22"/>
        </w:rPr>
        <w:t>Elimination disorders are characterised by inappropriate urination or defecation in children beyond the expected developmental age. These conditions primarily affect young children and can be distressing for both the child and their family, with significant implications for daily functioning and psychosocial wellbeing. In the preschool age group, the prevalence of selective elimination difficulties in the UK is estimated to be approximately 0.2%, with rates declining as children grow older.</w:t>
      </w:r>
    </w:p>
    <w:p w14:paraId="19B0114D" w14:textId="77777777" w:rsidR="009D5190" w:rsidRPr="009D5190" w:rsidRDefault="009D5190" w:rsidP="009D5190">
      <w:pPr>
        <w:pStyle w:val="NormalWeb"/>
        <w:spacing w:line="360" w:lineRule="auto"/>
        <w:jc w:val="both"/>
        <w:rPr>
          <w:rFonts w:ascii="Arial" w:hAnsi="Arial" w:cs="Arial"/>
          <w:sz w:val="22"/>
          <w:szCs w:val="22"/>
        </w:rPr>
      </w:pPr>
      <w:r w:rsidRPr="009D5190">
        <w:rPr>
          <w:rFonts w:ascii="Arial" w:hAnsi="Arial" w:cs="Arial"/>
          <w:sz w:val="22"/>
          <w:szCs w:val="22"/>
        </w:rPr>
        <w:t xml:space="preserve">According to guidance from the </w:t>
      </w:r>
      <w:r w:rsidRPr="009D5190">
        <w:rPr>
          <w:rStyle w:val="whitespace-normal"/>
          <w:rFonts w:ascii="Arial" w:hAnsi="Arial" w:cs="Arial"/>
          <w:sz w:val="22"/>
          <w:szCs w:val="22"/>
        </w:rPr>
        <w:t>NHS</w:t>
      </w:r>
      <w:r w:rsidRPr="009D5190">
        <w:rPr>
          <w:rFonts w:ascii="Arial" w:hAnsi="Arial" w:cs="Arial"/>
          <w:sz w:val="22"/>
          <w:szCs w:val="22"/>
        </w:rPr>
        <w:t xml:space="preserve"> and the </w:t>
      </w:r>
      <w:r w:rsidRPr="009D5190">
        <w:rPr>
          <w:rStyle w:val="whitespace-normal"/>
          <w:rFonts w:ascii="Arial" w:hAnsi="Arial" w:cs="Arial"/>
          <w:sz w:val="22"/>
          <w:szCs w:val="22"/>
        </w:rPr>
        <w:t>National Institute for Health and Care Excellence</w:t>
      </w:r>
      <w:r w:rsidRPr="009D5190">
        <w:rPr>
          <w:rFonts w:ascii="Arial" w:hAnsi="Arial" w:cs="Arial"/>
          <w:sz w:val="22"/>
          <w:szCs w:val="22"/>
        </w:rPr>
        <w:t xml:space="preserve"> (NICE), structured assessment and management pathways are recommended, particularly in cases such as nocturnal enuresis (bedwetting) in children and young people under 19 years of age (Clothier, 2022).</w:t>
      </w:r>
    </w:p>
    <w:p w14:paraId="7580B110" w14:textId="452DD765" w:rsidR="00391524" w:rsidRPr="00DB7D81" w:rsidRDefault="009D5190" w:rsidP="00DB7D81">
      <w:pPr>
        <w:pStyle w:val="NormalWeb"/>
        <w:spacing w:line="360" w:lineRule="auto"/>
        <w:jc w:val="both"/>
        <w:rPr>
          <w:rFonts w:ascii="Arial" w:hAnsi="Arial" w:cs="Arial"/>
          <w:sz w:val="22"/>
          <w:szCs w:val="22"/>
        </w:rPr>
      </w:pPr>
      <w:r w:rsidRPr="009D5190">
        <w:rPr>
          <w:rFonts w:ascii="Arial" w:hAnsi="Arial" w:cs="Arial"/>
          <w:sz w:val="22"/>
          <w:szCs w:val="22"/>
        </w:rPr>
        <w:t xml:space="preserve">This report will examine elimination disorders through the lens of the </w:t>
      </w:r>
      <w:r w:rsidRPr="009D5190">
        <w:rPr>
          <w:rStyle w:val="whitespace-normal"/>
          <w:rFonts w:ascii="Arial" w:hAnsi="Arial" w:cs="Arial"/>
          <w:sz w:val="22"/>
          <w:szCs w:val="22"/>
        </w:rPr>
        <w:t>International Classification of Diseases 11th Revision</w:t>
      </w:r>
      <w:r w:rsidRPr="009D5190">
        <w:rPr>
          <w:rFonts w:ascii="Arial" w:hAnsi="Arial" w:cs="Arial"/>
          <w:sz w:val="22"/>
          <w:szCs w:val="22"/>
        </w:rPr>
        <w:t xml:space="preserve"> (ICD-11), exploring classification, diagnosis, treatment, rehabilitation approaches, contemporary debates, links with neurodivergence, and recommendations for practice and policy development.</w:t>
      </w:r>
    </w:p>
    <w:p w14:paraId="6A2D2B04" w14:textId="77777777" w:rsidR="0079063C" w:rsidRDefault="0079063C" w:rsidP="0079063C">
      <w:pPr>
        <w:pStyle w:val="Heading1"/>
        <w:rPr>
          <w:sz w:val="24"/>
          <w:szCs w:val="24"/>
        </w:rPr>
      </w:pPr>
      <w:bookmarkStart w:id="1" w:name="_Toc221030761"/>
      <w:r w:rsidRPr="00D023D0">
        <w:rPr>
          <w:sz w:val="24"/>
          <w:szCs w:val="24"/>
        </w:rPr>
        <w:t>Classification and Diagnosis</w:t>
      </w:r>
      <w:bookmarkEnd w:id="1"/>
      <w:r w:rsidRPr="00D023D0">
        <w:rPr>
          <w:sz w:val="24"/>
          <w:szCs w:val="24"/>
        </w:rPr>
        <w:t xml:space="preserve"> </w:t>
      </w:r>
    </w:p>
    <w:p w14:paraId="781B474B" w14:textId="77777777" w:rsidR="00BA4591" w:rsidRPr="00DB7D81" w:rsidRDefault="00BA4591" w:rsidP="00DB7D81">
      <w:pPr>
        <w:pStyle w:val="NormalWeb"/>
        <w:spacing w:line="360" w:lineRule="auto"/>
        <w:jc w:val="both"/>
        <w:rPr>
          <w:rFonts w:ascii="Arial" w:hAnsi="Arial" w:cs="Arial"/>
          <w:sz w:val="22"/>
          <w:szCs w:val="22"/>
        </w:rPr>
      </w:pPr>
      <w:r w:rsidRPr="00DB7D81">
        <w:rPr>
          <w:rFonts w:ascii="Arial" w:hAnsi="Arial" w:cs="Arial"/>
          <w:sz w:val="22"/>
          <w:szCs w:val="22"/>
        </w:rPr>
        <w:t xml:space="preserve">Within the </w:t>
      </w:r>
      <w:r w:rsidRPr="00DB7D81">
        <w:rPr>
          <w:rStyle w:val="whitespace-normal"/>
          <w:rFonts w:ascii="Arial" w:hAnsi="Arial" w:cs="Arial"/>
          <w:sz w:val="22"/>
          <w:szCs w:val="22"/>
        </w:rPr>
        <w:t>International Classification of Diseases 11th Revision</w:t>
      </w:r>
      <w:r w:rsidRPr="00DB7D81">
        <w:rPr>
          <w:rFonts w:ascii="Arial" w:hAnsi="Arial" w:cs="Arial"/>
          <w:sz w:val="22"/>
          <w:szCs w:val="22"/>
        </w:rPr>
        <w:t xml:space="preserve"> (ICD-11), Elimination Disorders are classified under category 6C0 within Mental, Behavioural or Neurodevelopmental Disorders. This category includes the subcodes Enuresis (6C00), Encopresis (6C01), and the unspecified subcategory 6C0Z (iccpp.org, 2025).</w:t>
      </w:r>
    </w:p>
    <w:p w14:paraId="498AF378" w14:textId="77777777" w:rsidR="00BA4591" w:rsidRPr="00DB7D81" w:rsidRDefault="00BA4591" w:rsidP="00DB7D81">
      <w:pPr>
        <w:pStyle w:val="NormalWeb"/>
        <w:spacing w:line="360" w:lineRule="auto"/>
        <w:jc w:val="both"/>
        <w:rPr>
          <w:rFonts w:ascii="Arial" w:hAnsi="Arial" w:cs="Arial"/>
          <w:sz w:val="22"/>
          <w:szCs w:val="22"/>
        </w:rPr>
      </w:pPr>
      <w:r w:rsidRPr="00DB7D81">
        <w:rPr>
          <w:rFonts w:ascii="Arial" w:hAnsi="Arial" w:cs="Arial"/>
          <w:sz w:val="22"/>
          <w:szCs w:val="22"/>
        </w:rPr>
        <w:t>Diagnostic criteria require recurrent inappropriate voiding of urine or faeces beyond the developmental stage at which continence is typically expected—usually over 5 years of age for enuresis and over 4 years of age for encopresis. Importantly, the diagnosis can only be made in the absence of an identifiable underlying medical or neurological condition, such as anatomical abnormalities or neurogenic dysfunction.</w:t>
      </w:r>
    </w:p>
    <w:p w14:paraId="1A8D62D6" w14:textId="77777777" w:rsidR="00907A18" w:rsidRPr="00907A18" w:rsidRDefault="00907A18" w:rsidP="00907A18"/>
    <w:p w14:paraId="38453010" w14:textId="77777777" w:rsidR="005A0C1E" w:rsidRDefault="005A0C1E" w:rsidP="0079063C">
      <w:pPr>
        <w:spacing w:line="360" w:lineRule="auto"/>
        <w:jc w:val="both"/>
      </w:pPr>
    </w:p>
    <w:p w14:paraId="447C1A79" w14:textId="77777777" w:rsidR="005A0C1E" w:rsidRPr="0079063C" w:rsidRDefault="005A0C1E" w:rsidP="0079063C">
      <w:pPr>
        <w:spacing w:line="360" w:lineRule="auto"/>
        <w:jc w:val="both"/>
      </w:pPr>
    </w:p>
    <w:p w14:paraId="4F6A843C" w14:textId="77777777" w:rsidR="006249AE" w:rsidRPr="006249AE" w:rsidRDefault="007B458D" w:rsidP="006249AE">
      <w:pPr>
        <w:spacing w:before="100" w:beforeAutospacing="1" w:after="100" w:afterAutospacing="1" w:line="360" w:lineRule="auto"/>
        <w:jc w:val="both"/>
        <w:outlineLvl w:val="2"/>
        <w:rPr>
          <w:rFonts w:eastAsia="Times New Roman"/>
          <w:b/>
          <w:bCs/>
          <w:sz w:val="24"/>
          <w:szCs w:val="24"/>
          <w:lang w:val="en-GB" w:eastAsia="en-GB"/>
        </w:rPr>
      </w:pPr>
      <w:bookmarkStart w:id="2" w:name="_Toc221030762"/>
      <w:r w:rsidRPr="007B458D">
        <w:rPr>
          <w:rFonts w:eastAsia="Times New Roman"/>
          <w:b/>
          <w:bCs/>
          <w:sz w:val="24"/>
          <w:szCs w:val="24"/>
          <w:lang w:val="en-GB" w:eastAsia="en-GB"/>
        </w:rPr>
        <w:lastRenderedPageBreak/>
        <w:t>Main Diagnostic Criteria under ICD-11</w:t>
      </w:r>
    </w:p>
    <w:p w14:paraId="20F946B2" w14:textId="5F36ABD2" w:rsidR="007B458D" w:rsidRPr="007B458D" w:rsidRDefault="007B458D" w:rsidP="006249AE">
      <w:pPr>
        <w:spacing w:before="100" w:beforeAutospacing="1" w:after="100" w:afterAutospacing="1" w:line="360" w:lineRule="auto"/>
        <w:jc w:val="both"/>
        <w:outlineLvl w:val="2"/>
        <w:rPr>
          <w:rFonts w:eastAsia="Times New Roman"/>
          <w:b/>
          <w:bCs/>
          <w:lang w:val="en-GB" w:eastAsia="en-GB"/>
        </w:rPr>
      </w:pPr>
      <w:r w:rsidRPr="007B458D">
        <w:rPr>
          <w:rFonts w:eastAsia="Times New Roman"/>
          <w:lang w:val="en-GB" w:eastAsia="en-GB"/>
        </w:rPr>
        <w:t>Under the International Classification of Diseases 11th Revision (ICD-11), the principal elimination disorders are defined as follows:</w:t>
      </w:r>
    </w:p>
    <w:p w14:paraId="1619E66B" w14:textId="77777777" w:rsidR="007B458D" w:rsidRPr="007B458D" w:rsidRDefault="007B458D" w:rsidP="006249AE">
      <w:pPr>
        <w:numPr>
          <w:ilvl w:val="0"/>
          <w:numId w:val="3"/>
        </w:numPr>
        <w:spacing w:before="100" w:beforeAutospacing="1" w:after="100" w:afterAutospacing="1" w:line="360" w:lineRule="auto"/>
        <w:jc w:val="both"/>
        <w:rPr>
          <w:rFonts w:eastAsia="Times New Roman"/>
          <w:lang w:val="en-GB" w:eastAsia="en-GB"/>
        </w:rPr>
      </w:pPr>
      <w:r w:rsidRPr="007B458D">
        <w:rPr>
          <w:rFonts w:eastAsia="Times New Roman"/>
          <w:b/>
          <w:bCs/>
          <w:lang w:val="en-GB" w:eastAsia="en-GB"/>
        </w:rPr>
        <w:t>Enuresis (6C00):</w:t>
      </w:r>
      <w:r w:rsidRPr="007B458D">
        <w:rPr>
          <w:rFonts w:eastAsia="Times New Roman"/>
          <w:lang w:val="en-GB" w:eastAsia="en-GB"/>
        </w:rPr>
        <w:t xml:space="preserve"> Recurrent, intermittent voiding of urine into clothing or bedding, occurring during the day and/or night, beyond the expected age of continence (Robles et al., 2022).</w:t>
      </w:r>
    </w:p>
    <w:p w14:paraId="7AA962D8" w14:textId="77777777" w:rsidR="007B458D" w:rsidRPr="007B458D" w:rsidRDefault="007B458D" w:rsidP="006249AE">
      <w:pPr>
        <w:numPr>
          <w:ilvl w:val="0"/>
          <w:numId w:val="3"/>
        </w:numPr>
        <w:spacing w:before="100" w:beforeAutospacing="1" w:after="100" w:afterAutospacing="1" w:line="360" w:lineRule="auto"/>
        <w:jc w:val="both"/>
        <w:rPr>
          <w:rFonts w:eastAsia="Times New Roman"/>
          <w:lang w:val="en-GB" w:eastAsia="en-GB"/>
        </w:rPr>
      </w:pPr>
      <w:r w:rsidRPr="007B458D">
        <w:rPr>
          <w:rFonts w:eastAsia="Times New Roman"/>
          <w:b/>
          <w:bCs/>
          <w:lang w:val="en-GB" w:eastAsia="en-GB"/>
        </w:rPr>
        <w:t>Encopresis (6C01):</w:t>
      </w:r>
      <w:r w:rsidRPr="007B458D">
        <w:rPr>
          <w:rFonts w:eastAsia="Times New Roman"/>
          <w:lang w:val="en-GB" w:eastAsia="en-GB"/>
        </w:rPr>
        <w:t xml:space="preserve"> Repeated passage of faeces in inappropriate places (e.g., clothing or on the floor) over a period of several months, beyond the developmental stage at which bowel control is expected.</w:t>
      </w:r>
    </w:p>
    <w:p w14:paraId="565302BF" w14:textId="698A4D94" w:rsidR="007B458D" w:rsidRPr="006249AE" w:rsidRDefault="007B458D" w:rsidP="006249AE">
      <w:pPr>
        <w:spacing w:before="100" w:beforeAutospacing="1" w:after="100" w:afterAutospacing="1" w:line="360" w:lineRule="auto"/>
        <w:jc w:val="both"/>
        <w:rPr>
          <w:rFonts w:eastAsia="Times New Roman"/>
          <w:lang w:val="en-GB" w:eastAsia="en-GB"/>
        </w:rPr>
      </w:pPr>
      <w:r w:rsidRPr="007B458D">
        <w:rPr>
          <w:rFonts w:eastAsia="Times New Roman"/>
          <w:lang w:val="en-GB" w:eastAsia="en-GB"/>
        </w:rPr>
        <w:t>In contrast, guidance from the National Institute for Health and Care Excellence (NICE), such as Clinical Guideline 111 on nocturnal enuresis, focuses primarily on clinical management rather than psychiatric classification. NICE guidelines describe the presentation and management of bedwetting in children and young people without necessarily requiring a formal psychiatric diagnosis. The emphasis is placed on practical, evidence-based care pathways applicable in both primary and secondary care settings.</w:t>
      </w:r>
    </w:p>
    <w:p w14:paraId="3A52659A" w14:textId="15E00B59" w:rsidR="0079063C" w:rsidRDefault="0079063C" w:rsidP="0079063C">
      <w:pPr>
        <w:pStyle w:val="Heading2"/>
        <w:rPr>
          <w:i w:val="0"/>
          <w:iCs/>
          <w:sz w:val="24"/>
          <w:szCs w:val="24"/>
        </w:rPr>
      </w:pPr>
      <w:bookmarkStart w:id="3" w:name="_Toc221030763"/>
      <w:bookmarkEnd w:id="2"/>
      <w:r w:rsidRPr="00D023D0">
        <w:rPr>
          <w:i w:val="0"/>
          <w:iCs/>
          <w:sz w:val="24"/>
          <w:szCs w:val="24"/>
        </w:rPr>
        <w:t>Evaluating how diagnostic processes differ internationally and how these are applied in UK clinical settings</w:t>
      </w:r>
      <w:bookmarkEnd w:id="3"/>
      <w:r w:rsidR="006C5CFD">
        <w:rPr>
          <w:i w:val="0"/>
          <w:iCs/>
          <w:sz w:val="24"/>
          <w:szCs w:val="24"/>
        </w:rPr>
        <w:t>.</w:t>
      </w:r>
    </w:p>
    <w:p w14:paraId="47FCF07B" w14:textId="77777777" w:rsidR="0085464A" w:rsidRPr="0082516B" w:rsidRDefault="0085464A" w:rsidP="0082516B">
      <w:pPr>
        <w:pStyle w:val="NormalWeb"/>
        <w:spacing w:line="360" w:lineRule="auto"/>
        <w:jc w:val="both"/>
        <w:rPr>
          <w:rFonts w:ascii="Arial" w:hAnsi="Arial" w:cs="Arial"/>
          <w:sz w:val="22"/>
          <w:szCs w:val="22"/>
        </w:rPr>
      </w:pPr>
      <w:r w:rsidRPr="0082516B">
        <w:rPr>
          <w:rFonts w:ascii="Arial" w:hAnsi="Arial" w:cs="Arial"/>
          <w:sz w:val="22"/>
          <w:szCs w:val="22"/>
        </w:rPr>
        <w:t xml:space="preserve">Internationally, both the </w:t>
      </w:r>
      <w:r w:rsidRPr="0082516B">
        <w:rPr>
          <w:rStyle w:val="whitespace-normal"/>
          <w:rFonts w:ascii="Arial" w:hAnsi="Arial" w:cs="Arial"/>
          <w:sz w:val="22"/>
          <w:szCs w:val="22"/>
        </w:rPr>
        <w:t>Diagnostic and Statistical Manual of Mental Disorders Fifth Edition</w:t>
      </w:r>
      <w:r w:rsidRPr="0082516B">
        <w:rPr>
          <w:rFonts w:ascii="Arial" w:hAnsi="Arial" w:cs="Arial"/>
          <w:sz w:val="22"/>
          <w:szCs w:val="22"/>
        </w:rPr>
        <w:t xml:space="preserve"> (DSM-5) and the </w:t>
      </w:r>
      <w:r w:rsidRPr="0082516B">
        <w:rPr>
          <w:rStyle w:val="whitespace-normal"/>
          <w:rFonts w:ascii="Arial" w:hAnsi="Arial" w:cs="Arial"/>
          <w:sz w:val="22"/>
          <w:szCs w:val="22"/>
        </w:rPr>
        <w:t>International Classification of Diseases 11th Revision</w:t>
      </w:r>
      <w:r w:rsidRPr="0082516B">
        <w:rPr>
          <w:rFonts w:ascii="Arial" w:hAnsi="Arial" w:cs="Arial"/>
          <w:sz w:val="22"/>
          <w:szCs w:val="22"/>
        </w:rPr>
        <w:t xml:space="preserve"> (ICD-11) apply similar developmental thresholds for the diagnosis of elimination disorders; however, differences exist in symptom frequency requirements and subtype specifications (Vincenzo, 2023). For example, DSM-5 typically includes explicit frequency criteria, such as enuresis occurring at least twice per week for three consecutive months. In contrast, ICD-11 adopts a broader and more clinically flexible descriptive approach, without always specifying rigid numerical thresholds.</w:t>
      </w:r>
    </w:p>
    <w:p w14:paraId="4DA289AE" w14:textId="77777777" w:rsidR="0085464A" w:rsidRPr="0082516B" w:rsidRDefault="0085464A" w:rsidP="0082516B">
      <w:pPr>
        <w:pStyle w:val="NormalWeb"/>
        <w:spacing w:line="360" w:lineRule="auto"/>
        <w:jc w:val="both"/>
        <w:rPr>
          <w:rFonts w:ascii="Arial" w:hAnsi="Arial" w:cs="Arial"/>
          <w:sz w:val="22"/>
          <w:szCs w:val="22"/>
        </w:rPr>
      </w:pPr>
      <w:r w:rsidRPr="0082516B">
        <w:rPr>
          <w:rFonts w:ascii="Arial" w:hAnsi="Arial" w:cs="Arial"/>
          <w:sz w:val="22"/>
          <w:szCs w:val="22"/>
        </w:rPr>
        <w:t xml:space="preserve">In UK clinical practice, diagnosis generally begins in primary care under GP supervision. Assessment is based on medical history, developmental evaluation, and analysis of symptom patterns before referral to paediatric or specialist services when appropriate. Guidance from the </w:t>
      </w:r>
      <w:r w:rsidRPr="0082516B">
        <w:rPr>
          <w:rStyle w:val="whitespace-normal"/>
          <w:rFonts w:ascii="Arial" w:hAnsi="Arial" w:cs="Arial"/>
          <w:sz w:val="22"/>
          <w:szCs w:val="22"/>
        </w:rPr>
        <w:t>National Institute for Health and Care Excellence</w:t>
      </w:r>
      <w:r w:rsidRPr="0082516B">
        <w:rPr>
          <w:rFonts w:ascii="Arial" w:hAnsi="Arial" w:cs="Arial"/>
          <w:sz w:val="22"/>
          <w:szCs w:val="22"/>
        </w:rPr>
        <w:t xml:space="preserve"> supports this clinical pathway, focusing on </w:t>
      </w:r>
      <w:r w:rsidRPr="0082516B">
        <w:rPr>
          <w:rFonts w:ascii="Arial" w:hAnsi="Arial" w:cs="Arial"/>
          <w:sz w:val="22"/>
          <w:szCs w:val="22"/>
        </w:rPr>
        <w:lastRenderedPageBreak/>
        <w:t xml:space="preserve">practical management strategies rather than requiring formal psychiatric classification for treatment within the </w:t>
      </w:r>
      <w:r w:rsidRPr="0082516B">
        <w:rPr>
          <w:rStyle w:val="whitespace-normal"/>
          <w:rFonts w:ascii="Arial" w:hAnsi="Arial" w:cs="Arial"/>
          <w:sz w:val="22"/>
          <w:szCs w:val="22"/>
        </w:rPr>
        <w:t>NHS</w:t>
      </w:r>
      <w:r w:rsidRPr="0082516B">
        <w:rPr>
          <w:rFonts w:ascii="Arial" w:hAnsi="Arial" w:cs="Arial"/>
          <w:sz w:val="22"/>
          <w:szCs w:val="22"/>
        </w:rPr>
        <w:t xml:space="preserve"> (2023).</w:t>
      </w:r>
    </w:p>
    <w:p w14:paraId="6F88C0BC" w14:textId="77777777" w:rsidR="0085464A" w:rsidRPr="0082516B" w:rsidRDefault="0085464A" w:rsidP="0082516B">
      <w:pPr>
        <w:pStyle w:val="NormalWeb"/>
        <w:spacing w:line="360" w:lineRule="auto"/>
        <w:jc w:val="both"/>
        <w:rPr>
          <w:rFonts w:ascii="Arial" w:hAnsi="Arial" w:cs="Arial"/>
          <w:sz w:val="22"/>
          <w:szCs w:val="22"/>
        </w:rPr>
      </w:pPr>
      <w:r w:rsidRPr="0082516B">
        <w:rPr>
          <w:rFonts w:ascii="Arial" w:hAnsi="Arial" w:cs="Arial"/>
          <w:sz w:val="22"/>
          <w:szCs w:val="22"/>
        </w:rPr>
        <w:t>This reflects the UK’s pragmatic, care-focused approach, where management can proceed based on clinical need without strict reliance on psychiatric labelling.</w:t>
      </w:r>
    </w:p>
    <w:p w14:paraId="44C56C6B" w14:textId="77777777" w:rsidR="0079063C" w:rsidRDefault="0079063C" w:rsidP="0079063C">
      <w:pPr>
        <w:pStyle w:val="Heading2"/>
        <w:rPr>
          <w:i w:val="0"/>
          <w:iCs/>
          <w:sz w:val="24"/>
          <w:szCs w:val="24"/>
        </w:rPr>
      </w:pPr>
      <w:bookmarkStart w:id="4" w:name="_Toc221030764"/>
      <w:r w:rsidRPr="00D023D0">
        <w:rPr>
          <w:i w:val="0"/>
          <w:iCs/>
          <w:sz w:val="24"/>
          <w:szCs w:val="24"/>
        </w:rPr>
        <w:t>Debates over Language</w:t>
      </w:r>
      <w:bookmarkEnd w:id="4"/>
    </w:p>
    <w:p w14:paraId="04A3A9C2" w14:textId="09C3EED4" w:rsidR="00E05245" w:rsidRPr="00E05245" w:rsidRDefault="00E05245" w:rsidP="00C16119">
      <w:pPr>
        <w:spacing w:line="360" w:lineRule="auto"/>
        <w:jc w:val="both"/>
      </w:pPr>
      <w:r>
        <w:t xml:space="preserve">The term </w:t>
      </w:r>
      <w:r>
        <w:rPr>
          <w:rStyle w:val="Emphasis"/>
        </w:rPr>
        <w:t>disorder</w:t>
      </w:r>
      <w:r>
        <w:t xml:space="preserve"> remains contested, with ongoing debate as to whether it should be conceptualized as a disorder, condition, or problem. Some clinicians and families view the label </w:t>
      </w:r>
      <w:r>
        <w:rPr>
          <w:rStyle w:val="Emphasis"/>
        </w:rPr>
        <w:t>disorder</w:t>
      </w:r>
      <w:r>
        <w:t xml:space="preserve"> as potentially stigmatizing, particularly for children experiencing elimination difficulties. Consequently, more neutral terminology is often preferred, emphasizing functionality and support needs rather than pathology. In clinical practice within the </w:t>
      </w:r>
      <w:r>
        <w:rPr>
          <w:rStyle w:val="whitespace-normal"/>
        </w:rPr>
        <w:t>United Kingdom</w:t>
      </w:r>
      <w:r>
        <w:t xml:space="preserve">, terms such as </w:t>
      </w:r>
      <w:r w:rsidRPr="008D2A40">
        <w:rPr>
          <w:rStyle w:val="Emphasis"/>
          <w:i w:val="0"/>
          <w:iCs w:val="0"/>
        </w:rPr>
        <w:t>bedwetting</w:t>
      </w:r>
      <w:r w:rsidRPr="008D2A40">
        <w:rPr>
          <w:i/>
          <w:iCs/>
        </w:rPr>
        <w:t xml:space="preserve"> </w:t>
      </w:r>
      <w:r>
        <w:t xml:space="preserve">or </w:t>
      </w:r>
      <w:r w:rsidRPr="008D2A40">
        <w:rPr>
          <w:rStyle w:val="Emphasis"/>
          <w:i w:val="0"/>
          <w:iCs w:val="0"/>
        </w:rPr>
        <w:t>continence</w:t>
      </w:r>
      <w:r>
        <w:rPr>
          <w:rStyle w:val="Emphasis"/>
        </w:rPr>
        <w:t xml:space="preserve"> </w:t>
      </w:r>
      <w:r w:rsidRPr="008D2A40">
        <w:rPr>
          <w:rStyle w:val="Emphasis"/>
          <w:i w:val="0"/>
          <w:iCs w:val="0"/>
        </w:rPr>
        <w:t>difficulties</w:t>
      </w:r>
      <w:r>
        <w:t xml:space="preserve"> are commonly used in communication with the public and affected families to reduce stigma and promote a more supportive, needs-based approach.</w:t>
      </w:r>
    </w:p>
    <w:p w14:paraId="1223BB77" w14:textId="77777777" w:rsidR="0079063C" w:rsidRDefault="0079063C" w:rsidP="0079063C">
      <w:pPr>
        <w:pStyle w:val="Heading2"/>
        <w:rPr>
          <w:i w:val="0"/>
          <w:iCs/>
          <w:sz w:val="24"/>
          <w:szCs w:val="24"/>
        </w:rPr>
      </w:pPr>
      <w:bookmarkStart w:id="5" w:name="_Toc221030765"/>
      <w:r w:rsidRPr="00D023D0">
        <w:rPr>
          <w:i w:val="0"/>
          <w:iCs/>
          <w:sz w:val="24"/>
          <w:szCs w:val="24"/>
        </w:rPr>
        <w:t>UK Diagnostic Challenges</w:t>
      </w:r>
      <w:bookmarkEnd w:id="5"/>
    </w:p>
    <w:p w14:paraId="7AB6EB58" w14:textId="05AAD724" w:rsidR="002128ED" w:rsidRPr="002128ED" w:rsidRDefault="002128ED" w:rsidP="00D860D4">
      <w:pPr>
        <w:spacing w:line="360" w:lineRule="auto"/>
        <w:jc w:val="both"/>
      </w:pPr>
      <w:r>
        <w:t xml:space="preserve">In the UK, a significant challenge lies in the inconsistency of referral pathways and prolonged waiting times for specialist assessment, including Child and Adolescent Mental Health Services (CAMHS). Primary care often serves as the first point of contact for children presenting with </w:t>
      </w:r>
      <w:r w:rsidR="00D860D4">
        <w:t>continent</w:t>
      </w:r>
      <w:r>
        <w:t xml:space="preserve"> difficulties; however, general practitioners (GPs) may lack sufficient time or </w:t>
      </w:r>
      <w:r w:rsidR="00D860D4">
        <w:t>specialized</w:t>
      </w:r>
      <w:r>
        <w:t xml:space="preserve"> training to comprehensively assess potential comorbid psychiatric or developmental conditions. Consequently, associated emotional distress and its impact on quality of life may be underestimated or misattributed, leading to delays in thorough evaluation and timely intervention (Atherton et al., 2022).</w:t>
      </w:r>
    </w:p>
    <w:p w14:paraId="21DCA8CF" w14:textId="77777777" w:rsidR="0079063C" w:rsidRDefault="0079063C" w:rsidP="00D860D4">
      <w:pPr>
        <w:spacing w:line="360" w:lineRule="auto"/>
        <w:jc w:val="both"/>
        <w:rPr>
          <w:rFonts w:cs="Times New Roman"/>
          <w:szCs w:val="24"/>
        </w:rPr>
      </w:pPr>
      <w:r>
        <w:rPr>
          <w:rFonts w:cs="Times New Roman"/>
          <w:szCs w:val="24"/>
        </w:rPr>
        <w:br w:type="page"/>
      </w:r>
    </w:p>
    <w:p w14:paraId="2944C014" w14:textId="77777777" w:rsidR="0079063C" w:rsidRPr="00D023D0" w:rsidRDefault="0079063C" w:rsidP="0079063C">
      <w:pPr>
        <w:pStyle w:val="Heading1"/>
        <w:rPr>
          <w:b w:val="0"/>
          <w:color w:val="auto"/>
          <w:sz w:val="22"/>
          <w:szCs w:val="22"/>
        </w:rPr>
      </w:pPr>
      <w:bookmarkStart w:id="6" w:name="_Toc221030766"/>
      <w:r w:rsidRPr="00D023D0">
        <w:rPr>
          <w:color w:val="auto"/>
          <w:sz w:val="22"/>
          <w:szCs w:val="22"/>
        </w:rPr>
        <w:lastRenderedPageBreak/>
        <w:t>Treatment Approaches</w:t>
      </w:r>
      <w:bookmarkEnd w:id="6"/>
      <w:r w:rsidRPr="00D023D0">
        <w:rPr>
          <w:color w:val="auto"/>
          <w:sz w:val="22"/>
          <w:szCs w:val="22"/>
        </w:rPr>
        <w:t xml:space="preserve"> </w:t>
      </w:r>
    </w:p>
    <w:p w14:paraId="4D897F8E" w14:textId="77777777" w:rsidR="0079063C" w:rsidRDefault="0079063C" w:rsidP="0079063C">
      <w:pPr>
        <w:pStyle w:val="Heading2"/>
        <w:rPr>
          <w:color w:val="auto"/>
          <w:sz w:val="22"/>
          <w:szCs w:val="22"/>
        </w:rPr>
      </w:pPr>
      <w:bookmarkStart w:id="7" w:name="_Toc221030767"/>
      <w:r w:rsidRPr="00D023D0">
        <w:rPr>
          <w:color w:val="auto"/>
          <w:sz w:val="22"/>
          <w:szCs w:val="22"/>
        </w:rPr>
        <w:t>Main Treatment Options</w:t>
      </w:r>
      <w:bookmarkEnd w:id="7"/>
    </w:p>
    <w:p w14:paraId="5260B5DF" w14:textId="69E10B34" w:rsidR="00EC43DD" w:rsidRPr="00EC43DD" w:rsidRDefault="00EC43DD" w:rsidP="0073594B">
      <w:pPr>
        <w:spacing w:line="360" w:lineRule="auto"/>
        <w:jc w:val="both"/>
      </w:pPr>
      <w:r>
        <w:t xml:space="preserve">Primary treatment modalities for elimination disorders in the United Kingdom, particularly nocturnal enuresis, encompass both </w:t>
      </w:r>
      <w:r w:rsidR="00445EF1">
        <w:t>behavioral</w:t>
      </w:r>
      <w:r>
        <w:t xml:space="preserve"> and pharmacological approaches. NICE guidelines recommend initial interventions including education, lifestyle modification (fluid regulation, toileting routines, and positive reinforcement), and enuresis alarms to condition responses to bladder fullness (Peate, 2024). Pharmacological treatment primarily involves desmopressin, a synthetic antidiuretic that reduces nocturnal urine production (</w:t>
      </w:r>
      <w:proofErr w:type="spellStart"/>
      <w:r>
        <w:t>Hajebrahimi</w:t>
      </w:r>
      <w:proofErr w:type="spellEnd"/>
      <w:r>
        <w:t xml:space="preserve"> et al., 2024). It is typically prescribed for children aged seven or older when rapid improvement is required or alarm therapy proves unsuitable. Anticholinergics and imipramine may be considered in complex cases, although their use is limited due to potential adverse effects and weaker evidence. Despite these interventions, UK evidence suggests high relapse rates following medication withdrawal, with treatment success strongly influenced by adherence and family support.</w:t>
      </w:r>
    </w:p>
    <w:p w14:paraId="2EE549EA" w14:textId="77777777" w:rsidR="0079063C" w:rsidRPr="00D023D0" w:rsidRDefault="0079063C" w:rsidP="0079063C">
      <w:pPr>
        <w:pStyle w:val="Heading2"/>
        <w:rPr>
          <w:b w:val="0"/>
          <w:i w:val="0"/>
          <w:iCs/>
          <w:sz w:val="24"/>
          <w:szCs w:val="24"/>
        </w:rPr>
      </w:pPr>
      <w:bookmarkStart w:id="8" w:name="_Toc221030768"/>
      <w:r w:rsidRPr="00D023D0">
        <w:rPr>
          <w:i w:val="0"/>
          <w:iCs/>
          <w:sz w:val="24"/>
          <w:szCs w:val="24"/>
        </w:rPr>
        <w:t>UK Healthcare Management and Accessibility</w:t>
      </w:r>
      <w:bookmarkEnd w:id="8"/>
      <w:r w:rsidRPr="00D023D0">
        <w:rPr>
          <w:i w:val="0"/>
          <w:iCs/>
          <w:sz w:val="24"/>
          <w:szCs w:val="24"/>
        </w:rPr>
        <w:t xml:space="preserve"> </w:t>
      </w:r>
    </w:p>
    <w:p w14:paraId="2D5167E8" w14:textId="414BCDD2" w:rsidR="0079063C" w:rsidRPr="0079063C" w:rsidRDefault="0079063C" w:rsidP="0079063C">
      <w:pPr>
        <w:spacing w:line="360" w:lineRule="auto"/>
        <w:jc w:val="both"/>
      </w:pPr>
      <w:r w:rsidRPr="0079063C">
        <w:t>The NHS is a system where the primary care (GPs and school nursing teams) is the first line of treatment (</w:t>
      </w:r>
      <w:r w:rsidRPr="0079063C">
        <w:rPr>
          <w:shd w:val="clear" w:color="auto" w:fill="FFFFFF"/>
        </w:rPr>
        <w:t>Bi and Liu, 2023)</w:t>
      </w:r>
      <w:r w:rsidRPr="0079063C">
        <w:t xml:space="preserve">. In case of the failure of bedwetting, they are usually referred to specialist </w:t>
      </w:r>
      <w:proofErr w:type="spellStart"/>
      <w:r w:rsidR="00D023D0" w:rsidRPr="0079063C">
        <w:t>p</w:t>
      </w:r>
      <w:r w:rsidR="00323E4C">
        <w:t>a</w:t>
      </w:r>
      <w:r w:rsidR="00D023D0" w:rsidRPr="0079063C">
        <w:t>ediatric</w:t>
      </w:r>
      <w:proofErr w:type="spellEnd"/>
      <w:r w:rsidRPr="0079063C">
        <w:t xml:space="preserve"> continence services. Yet, the access differs in different places, and families can wait on the </w:t>
      </w:r>
      <w:r w:rsidR="00D023D0" w:rsidRPr="0079063C">
        <w:t>specialized</w:t>
      </w:r>
      <w:r w:rsidRPr="0079063C">
        <w:t xml:space="preserve"> assessment lines. Limited integration with mental health structures, as IAPT enuresis is typically not an IAPT issue, except in cases of comorbid emotional or </w:t>
      </w:r>
      <w:r w:rsidR="00D023D0" w:rsidRPr="0079063C">
        <w:t>behavioral</w:t>
      </w:r>
      <w:r w:rsidRPr="0079063C">
        <w:t xml:space="preserve"> issues.</w:t>
      </w:r>
    </w:p>
    <w:p w14:paraId="270BF737" w14:textId="77777777" w:rsidR="0079063C" w:rsidRPr="00D023D0" w:rsidRDefault="0079063C" w:rsidP="0079063C">
      <w:pPr>
        <w:pStyle w:val="Heading2"/>
        <w:rPr>
          <w:b w:val="0"/>
          <w:i w:val="0"/>
          <w:iCs/>
          <w:sz w:val="24"/>
          <w:szCs w:val="24"/>
        </w:rPr>
      </w:pPr>
      <w:bookmarkStart w:id="9" w:name="_Toc221030769"/>
      <w:r w:rsidRPr="00D023D0">
        <w:rPr>
          <w:i w:val="0"/>
          <w:iCs/>
          <w:sz w:val="24"/>
          <w:szCs w:val="24"/>
        </w:rPr>
        <w:t>Effectiveness and Limitations</w:t>
      </w:r>
      <w:bookmarkEnd w:id="9"/>
      <w:r w:rsidRPr="00D023D0">
        <w:rPr>
          <w:i w:val="0"/>
          <w:iCs/>
          <w:sz w:val="24"/>
          <w:szCs w:val="24"/>
        </w:rPr>
        <w:t xml:space="preserve"> </w:t>
      </w:r>
    </w:p>
    <w:p w14:paraId="1117BAD8" w14:textId="39A19CBE" w:rsidR="0079063C" w:rsidRPr="0079063C" w:rsidRDefault="00D023D0" w:rsidP="0079063C">
      <w:pPr>
        <w:spacing w:line="360" w:lineRule="auto"/>
        <w:jc w:val="both"/>
      </w:pPr>
      <w:r w:rsidRPr="0079063C">
        <w:t>Behavioral</w:t>
      </w:r>
      <w:r w:rsidR="0079063C" w:rsidRPr="0079063C">
        <w:t xml:space="preserve"> approaches (alarms) demonstrate moderate long-term success but need extensive motivation and involvement of parents, and they cannot be applied to every family. Desmopressin in pharmacological therapy has been shown to be effective in short-term reduction of wet nights in most children, but it has no curative effect on the overall developmental pathway, and there are frequent relapses upon studies being discontinued. Further, the UK prescribing policy is aimed at the judicious use of drugs in children and continuous attention and supervision of side effects, which restrict the application of comprehensive pharmacotherapy (Hepburn and Rieder, 2022).</w:t>
      </w:r>
    </w:p>
    <w:p w14:paraId="5667BD58" w14:textId="1BED1994" w:rsidR="0079063C" w:rsidRPr="0079063C" w:rsidRDefault="0079063C" w:rsidP="0079063C">
      <w:pPr>
        <w:spacing w:line="360" w:lineRule="auto"/>
        <w:jc w:val="both"/>
        <w:rPr>
          <w:lang w:val="en-GB"/>
        </w:rPr>
      </w:pPr>
      <w:r w:rsidRPr="0079063C">
        <w:lastRenderedPageBreak/>
        <w:t>The other strategies such as cognitive-</w:t>
      </w:r>
      <w:r w:rsidR="00D023D0" w:rsidRPr="0079063C">
        <w:t>behavioral</w:t>
      </w:r>
      <w:r w:rsidRPr="0079063C">
        <w:t xml:space="preserve"> distress support and encopresis continence training are less researched using the UK circumstances and they could be </w:t>
      </w:r>
      <w:r w:rsidR="00D023D0" w:rsidRPr="0079063C">
        <w:t>underutilized</w:t>
      </w:r>
      <w:r w:rsidRPr="0079063C">
        <w:t>, which reflect the gaps in service provision.</w:t>
      </w:r>
    </w:p>
    <w:p w14:paraId="440A28D1" w14:textId="2967AAF2" w:rsidR="00CB41B7" w:rsidRPr="00D023D0" w:rsidRDefault="0070138D" w:rsidP="00D023D0">
      <w:pPr>
        <w:rPr>
          <w:b/>
          <w:color w:val="000000" w:themeColor="text1"/>
          <w:sz w:val="28"/>
          <w:szCs w:val="40"/>
          <w:lang w:val="en-GB"/>
        </w:rPr>
      </w:pPr>
      <w:bookmarkStart w:id="10" w:name="_Toc221030770"/>
      <w:r w:rsidRPr="009A0D4B">
        <w:rPr>
          <w:lang w:val="en-GB"/>
        </w:rPr>
        <w:t>Rehabilitation &amp; Long-Term Management</w:t>
      </w:r>
      <w:bookmarkEnd w:id="10"/>
    </w:p>
    <w:p w14:paraId="54CCB410" w14:textId="77777777" w:rsidR="00CB41B7" w:rsidRPr="00EC5AE6" w:rsidRDefault="0070138D" w:rsidP="009A0D4B">
      <w:pPr>
        <w:pStyle w:val="Heading2"/>
        <w:rPr>
          <w:i w:val="0"/>
          <w:iCs/>
          <w:sz w:val="24"/>
          <w:szCs w:val="24"/>
          <w:lang w:val="en-GB"/>
        </w:rPr>
      </w:pPr>
      <w:bookmarkStart w:id="11" w:name="_Toc221030771"/>
      <w:r w:rsidRPr="00EC5AE6">
        <w:rPr>
          <w:i w:val="0"/>
          <w:iCs/>
          <w:sz w:val="24"/>
          <w:szCs w:val="24"/>
          <w:lang w:val="en-GB"/>
        </w:rPr>
        <w:t>Rehabilitation strategies in ICD-11</w:t>
      </w:r>
      <w:bookmarkEnd w:id="11"/>
    </w:p>
    <w:p w14:paraId="20DC78C2" w14:textId="4743961C" w:rsidR="000C418A" w:rsidRPr="000C418A" w:rsidRDefault="000C418A" w:rsidP="00EC5AE6">
      <w:pPr>
        <w:spacing w:line="360" w:lineRule="auto"/>
        <w:jc w:val="both"/>
        <w:rPr>
          <w:lang w:val="en-GB"/>
        </w:rPr>
      </w:pPr>
      <w:r>
        <w:t xml:space="preserve">In the United Kingdom, rehabilitation for children with elimination disorders is primarily delivered through the NHS and integrated services. Community continence services assist families in establishing consistent toileting routines, positive reinforcement strategies, and structured </w:t>
      </w:r>
      <w:r w:rsidR="00EC5AE6">
        <w:t>programs</w:t>
      </w:r>
      <w:r>
        <w:t xml:space="preserve"> to improve bladder and bowel management. These services aim to provide ongoing support to sustain therapeutic progress across home and school environments (Pan and Wang, 2024). Given the potential for embarrassment, anxiety, and social isolation, UK rehabilitation guidance </w:t>
      </w:r>
      <w:r w:rsidR="00EC5AE6">
        <w:t>emphasizes</w:t>
      </w:r>
      <w:r>
        <w:t xml:space="preserve"> the importance of promoting social participation, implementing toileting plans, and ensuring safe, accessible facilities to enable children’s effective engagement in daily activities.</w:t>
      </w:r>
    </w:p>
    <w:p w14:paraId="379B0D54" w14:textId="77777777" w:rsidR="00CB41B7" w:rsidRPr="009A0D4B" w:rsidRDefault="0070138D">
      <w:pPr>
        <w:shd w:val="clear" w:color="auto" w:fill="FFFFFF"/>
        <w:spacing w:line="360" w:lineRule="auto"/>
        <w:jc w:val="both"/>
        <w:rPr>
          <w:rFonts w:eastAsia="Times New Roman"/>
          <w:color w:val="000000" w:themeColor="text1"/>
          <w:sz w:val="24"/>
          <w:szCs w:val="24"/>
          <w:highlight w:val="white"/>
          <w:lang w:val="en-GB"/>
        </w:rPr>
      </w:pPr>
      <w:r w:rsidRPr="009A0D4B">
        <w:rPr>
          <w:rFonts w:eastAsia="Times New Roman"/>
          <w:noProof/>
          <w:color w:val="000000" w:themeColor="text1"/>
          <w:sz w:val="24"/>
          <w:szCs w:val="24"/>
          <w:highlight w:val="white"/>
          <w:lang w:val="en-IN"/>
        </w:rPr>
        <w:lastRenderedPageBreak/>
        <w:drawing>
          <wp:inline distT="114300" distB="114300" distL="114300" distR="114300" wp14:anchorId="4F7A07A5" wp14:editId="17843650">
            <wp:extent cx="5943600" cy="4800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4800600"/>
                    </a:xfrm>
                    <a:prstGeom prst="rect">
                      <a:avLst/>
                    </a:prstGeom>
                  </pic:spPr>
                </pic:pic>
              </a:graphicData>
            </a:graphic>
          </wp:inline>
        </w:drawing>
      </w:r>
    </w:p>
    <w:p w14:paraId="525B1F3D" w14:textId="77777777" w:rsidR="00CB41B7" w:rsidRPr="009A0D4B" w:rsidRDefault="0070138D">
      <w:pPr>
        <w:shd w:val="clear" w:color="auto" w:fill="FFFFFF"/>
        <w:spacing w:line="360" w:lineRule="auto"/>
        <w:jc w:val="center"/>
        <w:rPr>
          <w:rFonts w:eastAsia="Times New Roman"/>
          <w:b/>
          <w:bCs/>
          <w:color w:val="000000" w:themeColor="text1"/>
          <w:sz w:val="24"/>
          <w:szCs w:val="24"/>
          <w:highlight w:val="white"/>
          <w:lang w:val="en-GB"/>
        </w:rPr>
      </w:pPr>
      <w:r w:rsidRPr="009A0D4B">
        <w:rPr>
          <w:rFonts w:eastAsia="Times New Roman"/>
          <w:b/>
          <w:bCs/>
          <w:color w:val="000000" w:themeColor="text1"/>
          <w:sz w:val="24"/>
          <w:szCs w:val="24"/>
          <w:highlight w:val="white"/>
          <w:lang w:val="en-GB"/>
        </w:rPr>
        <w:t>Figure: Types and Causes of Elimination Disorders</w:t>
      </w:r>
    </w:p>
    <w:p w14:paraId="0CCA4B31" w14:textId="77777777" w:rsidR="00CB41B7" w:rsidRPr="009A0D4B" w:rsidRDefault="0070138D">
      <w:pPr>
        <w:shd w:val="clear" w:color="auto" w:fill="FFFFFF"/>
        <w:spacing w:line="360" w:lineRule="auto"/>
        <w:jc w:val="center"/>
        <w:rPr>
          <w:rFonts w:eastAsia="Times New Roman"/>
          <w:color w:val="000000" w:themeColor="text1"/>
          <w:sz w:val="24"/>
          <w:szCs w:val="24"/>
          <w:highlight w:val="white"/>
          <w:lang w:val="en-GB"/>
        </w:rPr>
      </w:pPr>
      <w:r w:rsidRPr="009A0D4B">
        <w:rPr>
          <w:rFonts w:eastAsia="Times New Roman"/>
          <w:color w:val="000000" w:themeColor="text1"/>
          <w:sz w:val="24"/>
          <w:szCs w:val="24"/>
          <w:highlight w:val="white"/>
          <w:lang w:val="en-GB"/>
        </w:rPr>
        <w:t xml:space="preserve">(Source: </w:t>
      </w:r>
      <w:proofErr w:type="spellStart"/>
      <w:r w:rsidRPr="009A0D4B">
        <w:rPr>
          <w:rFonts w:eastAsia="Times New Roman"/>
          <w:color w:val="000000" w:themeColor="text1"/>
          <w:sz w:val="24"/>
          <w:szCs w:val="24"/>
          <w:lang w:val="en-GB"/>
        </w:rPr>
        <w:t>Gravador</w:t>
      </w:r>
      <w:proofErr w:type="spellEnd"/>
      <w:r w:rsidRPr="009A0D4B">
        <w:rPr>
          <w:rFonts w:eastAsia="Times New Roman"/>
          <w:color w:val="000000" w:themeColor="text1"/>
          <w:sz w:val="24"/>
          <w:szCs w:val="24"/>
          <w:lang w:val="en-GB"/>
        </w:rPr>
        <w:t>, 2020</w:t>
      </w:r>
      <w:r w:rsidRPr="009A0D4B">
        <w:rPr>
          <w:rFonts w:eastAsia="Times New Roman"/>
          <w:color w:val="000000" w:themeColor="text1"/>
          <w:sz w:val="24"/>
          <w:szCs w:val="24"/>
          <w:highlight w:val="white"/>
          <w:lang w:val="en-GB"/>
        </w:rPr>
        <w:t>)</w:t>
      </w:r>
    </w:p>
    <w:p w14:paraId="47B35D15" w14:textId="77777777" w:rsidR="00CB41B7" w:rsidRPr="00EC5AE6" w:rsidRDefault="0070138D" w:rsidP="009A0D4B">
      <w:pPr>
        <w:pStyle w:val="Heading2"/>
        <w:rPr>
          <w:i w:val="0"/>
          <w:iCs/>
          <w:lang w:val="en-GB"/>
        </w:rPr>
      </w:pPr>
      <w:bookmarkStart w:id="12" w:name="_Toc221030772"/>
      <w:r w:rsidRPr="00EC5AE6">
        <w:rPr>
          <w:i w:val="0"/>
          <w:iCs/>
          <w:lang w:val="en-GB"/>
        </w:rPr>
        <w:t>Social Intervention Challenges and Community-Based Integration</w:t>
      </w:r>
      <w:bookmarkEnd w:id="12"/>
    </w:p>
    <w:p w14:paraId="4706D701" w14:textId="77777777" w:rsidR="00CB41B7" w:rsidRPr="009A0D4B" w:rsidRDefault="0070138D">
      <w:pPr>
        <w:shd w:val="clear" w:color="auto" w:fill="FFFFFF"/>
        <w:spacing w:line="360" w:lineRule="auto"/>
        <w:jc w:val="both"/>
        <w:rPr>
          <w:rFonts w:eastAsia="Times New Roman"/>
          <w:color w:val="000000" w:themeColor="text1"/>
          <w:szCs w:val="24"/>
          <w:lang w:val="en-GB"/>
        </w:rPr>
      </w:pPr>
      <w:r w:rsidRPr="009A0D4B">
        <w:rPr>
          <w:rFonts w:eastAsia="Times New Roman"/>
          <w:color w:val="000000" w:themeColor="text1"/>
          <w:szCs w:val="24"/>
          <w:highlight w:val="white"/>
          <w:lang w:val="en-GB"/>
        </w:rPr>
        <w:t xml:space="preserve">In the UK, compulsory treatment and detention are provided under the </w:t>
      </w:r>
      <w:r w:rsidRPr="00D023D0">
        <w:rPr>
          <w:rFonts w:eastAsia="Times New Roman"/>
          <w:color w:val="000000" w:themeColor="text1"/>
          <w:szCs w:val="24"/>
          <w:highlight w:val="white"/>
          <w:lang w:val="en-GB"/>
        </w:rPr>
        <w:t xml:space="preserve">UK Mental Health Act 1983 </w:t>
      </w:r>
      <w:r w:rsidRPr="009A0D4B">
        <w:rPr>
          <w:rFonts w:eastAsia="Times New Roman"/>
          <w:color w:val="000000" w:themeColor="text1"/>
          <w:szCs w:val="24"/>
          <w:highlight w:val="white"/>
          <w:lang w:val="en-GB"/>
        </w:rPr>
        <w:t>(amended in 2007) and are only applicable where an individual presents a severe mental illness and possesses the potential to harm others or himself (Ahmad, 2022). The NHS long-term plan offers improved access to community and mental health services among children and young people (</w:t>
      </w:r>
      <w:proofErr w:type="spellStart"/>
      <w:r w:rsidRPr="009A0D4B">
        <w:rPr>
          <w:rFonts w:eastAsia="Times New Roman"/>
          <w:color w:val="000000" w:themeColor="text1"/>
          <w:szCs w:val="24"/>
          <w:highlight w:val="white"/>
          <w:lang w:val="en-GB"/>
        </w:rPr>
        <w:t>Hualparuca</w:t>
      </w:r>
      <w:proofErr w:type="spellEnd"/>
      <w:r w:rsidRPr="009A0D4B">
        <w:rPr>
          <w:rFonts w:eastAsia="Times New Roman"/>
          <w:color w:val="000000" w:themeColor="text1"/>
          <w:szCs w:val="24"/>
          <w:highlight w:val="white"/>
          <w:lang w:val="en-GB"/>
        </w:rPr>
        <w:t>-Olivera and Palomino, 2023). This involves expanding services nearer to homes, lessening delays, and creating a service that is supportive of the needs of kids, which also benefits individuals with long-term medical problems and related emotional effects. These interventions will help to increase access to rehabilitation and long-term assistance throughout the UK.</w:t>
      </w:r>
    </w:p>
    <w:p w14:paraId="170CC9E2" w14:textId="0915CC6D" w:rsidR="00CB41B7" w:rsidRPr="00287F13" w:rsidRDefault="0079063C" w:rsidP="00D023D0">
      <w:pPr>
        <w:rPr>
          <w:b/>
          <w:bCs/>
          <w:color w:val="000000" w:themeColor="text1"/>
          <w:sz w:val="28"/>
          <w:szCs w:val="40"/>
          <w:lang w:val="en-GB"/>
        </w:rPr>
      </w:pPr>
      <w:r>
        <w:rPr>
          <w:lang w:val="en-GB"/>
        </w:rPr>
        <w:br w:type="page"/>
      </w:r>
      <w:bookmarkStart w:id="13" w:name="_Toc221030773"/>
      <w:r w:rsidR="0070138D" w:rsidRPr="00287F13">
        <w:rPr>
          <w:b/>
          <w:bCs/>
          <w:lang w:val="en-GB"/>
        </w:rPr>
        <w:lastRenderedPageBreak/>
        <w:t>Current Debates &amp; Emerging Issues</w:t>
      </w:r>
      <w:bookmarkEnd w:id="13"/>
    </w:p>
    <w:p w14:paraId="60A9AD5B" w14:textId="77777777" w:rsidR="00CB41B7" w:rsidRPr="00D023D0" w:rsidRDefault="0070138D" w:rsidP="009A0D4B">
      <w:pPr>
        <w:pStyle w:val="Heading2"/>
        <w:rPr>
          <w:i w:val="0"/>
          <w:iCs/>
          <w:sz w:val="24"/>
          <w:szCs w:val="24"/>
          <w:lang w:val="en-GB"/>
        </w:rPr>
      </w:pPr>
      <w:bookmarkStart w:id="14" w:name="_Toc221030774"/>
      <w:r w:rsidRPr="00D023D0">
        <w:rPr>
          <w:i w:val="0"/>
          <w:iCs/>
          <w:sz w:val="24"/>
          <w:szCs w:val="24"/>
          <w:lang w:val="en-GB"/>
        </w:rPr>
        <w:t>Major academic and clinical debates on classification and treatment</w:t>
      </w:r>
      <w:bookmarkEnd w:id="14"/>
    </w:p>
    <w:p w14:paraId="686C561F" w14:textId="77777777" w:rsidR="00CB41B7" w:rsidRPr="009A0D4B" w:rsidRDefault="0070138D">
      <w:pPr>
        <w:shd w:val="clear" w:color="auto" w:fill="FFFFFF"/>
        <w:spacing w:line="360" w:lineRule="auto"/>
        <w:jc w:val="both"/>
        <w:rPr>
          <w:rFonts w:eastAsia="Times New Roman"/>
          <w:color w:val="000000" w:themeColor="text1"/>
          <w:szCs w:val="24"/>
          <w:lang w:val="en-GB"/>
        </w:rPr>
      </w:pPr>
      <w:r w:rsidRPr="009A0D4B">
        <w:rPr>
          <w:rFonts w:eastAsia="Times New Roman"/>
          <w:color w:val="000000" w:themeColor="text1"/>
          <w:szCs w:val="24"/>
          <w:highlight w:val="white"/>
          <w:lang w:val="en-GB"/>
        </w:rPr>
        <w:t>It is debated in the academic literature whether ICD-11 is sufficiently able to categorise elimination disorders like enuresis and encopresis. Other recent reviews hold that the current categories of ICD-11 of the elimination disorders are not comprehensive and thus do not capture the current research findings, and as a result, are not specific enough to effectively place diagnoses to aid in planning treatment (</w:t>
      </w:r>
      <w:proofErr w:type="spellStart"/>
      <w:r w:rsidRPr="009A0D4B">
        <w:rPr>
          <w:rFonts w:eastAsia="Times New Roman"/>
          <w:color w:val="000000" w:themeColor="text1"/>
          <w:szCs w:val="24"/>
          <w:highlight w:val="white"/>
          <w:lang w:val="en-GB"/>
        </w:rPr>
        <w:t>Hualparuca</w:t>
      </w:r>
      <w:proofErr w:type="spellEnd"/>
      <w:r w:rsidRPr="009A0D4B">
        <w:rPr>
          <w:rFonts w:eastAsia="Times New Roman"/>
          <w:color w:val="000000" w:themeColor="text1"/>
          <w:szCs w:val="24"/>
          <w:highlight w:val="white"/>
          <w:lang w:val="en-GB"/>
        </w:rPr>
        <w:t xml:space="preserve">-Olivera </w:t>
      </w:r>
      <w:r w:rsidRPr="009A0D4B">
        <w:rPr>
          <w:rFonts w:eastAsia="Times New Roman"/>
          <w:i/>
          <w:iCs/>
          <w:color w:val="000000" w:themeColor="text1"/>
          <w:szCs w:val="24"/>
          <w:highlight w:val="white"/>
          <w:lang w:val="en-GB"/>
        </w:rPr>
        <w:t>et al</w:t>
      </w:r>
      <w:r w:rsidRPr="009A0D4B">
        <w:rPr>
          <w:rFonts w:eastAsia="Times New Roman"/>
          <w:color w:val="000000" w:themeColor="text1"/>
          <w:szCs w:val="24"/>
          <w:highlight w:val="white"/>
          <w:lang w:val="en-GB"/>
        </w:rPr>
        <w:t xml:space="preserve">., 2025). According to these critics, other systems, including the </w:t>
      </w:r>
      <w:r w:rsidRPr="00287F13">
        <w:rPr>
          <w:rFonts w:eastAsia="Times New Roman"/>
          <w:color w:val="000000" w:themeColor="text1"/>
          <w:szCs w:val="24"/>
          <w:highlight w:val="white"/>
          <w:lang w:val="en-GB"/>
        </w:rPr>
        <w:t>International Children's Standards of Continence Society or Rome standards</w:t>
      </w:r>
      <w:r w:rsidRPr="009A0D4B">
        <w:rPr>
          <w:rFonts w:eastAsia="Times New Roman"/>
          <w:color w:val="000000" w:themeColor="text1"/>
          <w:szCs w:val="24"/>
          <w:highlight w:val="white"/>
          <w:lang w:val="en-GB"/>
        </w:rPr>
        <w:t xml:space="preserve"> of functional bowel problems, have the potential to provide more specific guidance to different clinical presentations (nhs.uk, 2023). This controversy raises the issue that research evidence and treatment approaches can be limited unless they are accurately classified.</w:t>
      </w:r>
    </w:p>
    <w:p w14:paraId="1F30C9D7" w14:textId="77777777" w:rsidR="00CB41B7" w:rsidRPr="00D023D0" w:rsidRDefault="0070138D" w:rsidP="009A0D4B">
      <w:pPr>
        <w:pStyle w:val="Heading2"/>
        <w:rPr>
          <w:sz w:val="24"/>
          <w:szCs w:val="24"/>
          <w:lang w:val="en-GB"/>
        </w:rPr>
      </w:pPr>
      <w:bookmarkStart w:id="15" w:name="_Toc221030775"/>
      <w:r w:rsidRPr="00D023D0">
        <w:rPr>
          <w:sz w:val="24"/>
          <w:szCs w:val="24"/>
          <w:lang w:val="en-GB"/>
        </w:rPr>
        <w:t>Explore the role of neurodivergence and redefining the diagnosis framework.</w:t>
      </w:r>
      <w:bookmarkEnd w:id="15"/>
    </w:p>
    <w:p w14:paraId="2DBC0A22" w14:textId="77777777" w:rsidR="00CB41B7" w:rsidRPr="009A0D4B" w:rsidRDefault="0070138D">
      <w:pPr>
        <w:shd w:val="clear" w:color="auto" w:fill="FFFFFF"/>
        <w:spacing w:line="360" w:lineRule="auto"/>
        <w:jc w:val="both"/>
        <w:rPr>
          <w:rFonts w:eastAsia="Times New Roman"/>
          <w:color w:val="000000" w:themeColor="text1"/>
          <w:szCs w:val="24"/>
          <w:lang w:val="en-GB"/>
        </w:rPr>
      </w:pPr>
      <w:r w:rsidRPr="009A0D4B">
        <w:rPr>
          <w:rFonts w:eastAsia="Times New Roman"/>
          <w:color w:val="000000" w:themeColor="text1"/>
          <w:szCs w:val="24"/>
          <w:highlight w:val="white"/>
          <w:lang w:val="en-GB"/>
        </w:rPr>
        <w:t>There is another problem in health research in the UK, which is neurodivergence and more comprehensive definitions of mental health conditions, but it is more explicitly addressed in the context of such conditions as autism and ADHD (</w:t>
      </w:r>
      <w:proofErr w:type="spellStart"/>
      <w:r w:rsidRPr="009A0D4B">
        <w:rPr>
          <w:rFonts w:eastAsia="Times New Roman"/>
          <w:color w:val="000000" w:themeColor="text1"/>
          <w:szCs w:val="24"/>
          <w:highlight w:val="white"/>
          <w:lang w:val="en-GB"/>
        </w:rPr>
        <w:t>Gureje</w:t>
      </w:r>
      <w:proofErr w:type="spellEnd"/>
      <w:r w:rsidRPr="009A0D4B">
        <w:rPr>
          <w:rFonts w:eastAsia="Times New Roman"/>
          <w:color w:val="000000" w:themeColor="text1"/>
          <w:szCs w:val="24"/>
          <w:highlight w:val="white"/>
          <w:lang w:val="en-GB"/>
        </w:rPr>
        <w:t xml:space="preserve"> </w:t>
      </w:r>
      <w:r w:rsidRPr="009A0D4B">
        <w:rPr>
          <w:rFonts w:eastAsia="Times New Roman"/>
          <w:i/>
          <w:iCs/>
          <w:color w:val="000000" w:themeColor="text1"/>
          <w:szCs w:val="24"/>
          <w:highlight w:val="white"/>
          <w:lang w:val="en-GB"/>
        </w:rPr>
        <w:t>et al</w:t>
      </w:r>
      <w:r w:rsidRPr="009A0D4B">
        <w:rPr>
          <w:rFonts w:eastAsia="Times New Roman"/>
          <w:color w:val="000000" w:themeColor="text1"/>
          <w:szCs w:val="24"/>
          <w:highlight w:val="white"/>
          <w:lang w:val="en-GB"/>
        </w:rPr>
        <w:t>., 2025). These discussions impact broader thinking of mental health and developmental disorders classification, whereby some clinicians wonder how restrictive criteria can ignore the diverse needs of the individuals who exhibit diverse or mixed presentations.</w:t>
      </w:r>
    </w:p>
    <w:p w14:paraId="21DD89B4" w14:textId="77777777" w:rsidR="00CB41B7" w:rsidRPr="00D023D0" w:rsidRDefault="0070138D" w:rsidP="009A0D4B">
      <w:pPr>
        <w:pStyle w:val="Heading2"/>
        <w:rPr>
          <w:sz w:val="24"/>
          <w:szCs w:val="24"/>
          <w:lang w:val="en-GB"/>
        </w:rPr>
      </w:pPr>
      <w:bookmarkStart w:id="16" w:name="_Toc221030776"/>
      <w:r w:rsidRPr="00D023D0">
        <w:rPr>
          <w:sz w:val="24"/>
          <w:szCs w:val="24"/>
          <w:lang w:val="en-GB"/>
        </w:rPr>
        <w:t>Policy changes and their implications</w:t>
      </w:r>
      <w:bookmarkEnd w:id="16"/>
    </w:p>
    <w:p w14:paraId="4AF87F94" w14:textId="77777777" w:rsidR="00CB41B7" w:rsidRPr="009A0D4B" w:rsidRDefault="0070138D">
      <w:pPr>
        <w:shd w:val="clear" w:color="auto" w:fill="FFFFFF"/>
        <w:spacing w:line="360" w:lineRule="auto"/>
        <w:jc w:val="both"/>
        <w:rPr>
          <w:rFonts w:eastAsia="Times New Roman"/>
          <w:color w:val="000000" w:themeColor="text1"/>
          <w:szCs w:val="24"/>
          <w:lang w:val="en-GB"/>
        </w:rPr>
      </w:pPr>
      <w:r w:rsidRPr="009A0D4B">
        <w:rPr>
          <w:rFonts w:eastAsia="Times New Roman"/>
          <w:color w:val="000000" w:themeColor="text1"/>
          <w:szCs w:val="24"/>
          <w:highlight w:val="white"/>
          <w:lang w:val="en-GB"/>
        </w:rPr>
        <w:t xml:space="preserve">The </w:t>
      </w:r>
      <w:r w:rsidRPr="00D023D0">
        <w:rPr>
          <w:rFonts w:eastAsia="Times New Roman"/>
          <w:color w:val="000000" w:themeColor="text1"/>
          <w:szCs w:val="24"/>
          <w:highlight w:val="white"/>
          <w:lang w:val="en-GB"/>
        </w:rPr>
        <w:t>UK Equality Act 2010</w:t>
      </w:r>
      <w:r w:rsidRPr="009A0D4B">
        <w:rPr>
          <w:rFonts w:eastAsia="Times New Roman"/>
          <w:color w:val="000000" w:themeColor="text1"/>
          <w:szCs w:val="24"/>
          <w:highlight w:val="white"/>
          <w:lang w:val="en-GB"/>
        </w:rPr>
        <w:t xml:space="preserve"> has relevant implications on mental health services and workplace practice as it offers protection to those with disabilities and individuals demand reasonable adjustments in the workplace. The Act permits the legal recognition of conditions with a long-term impact on the daily functioning as a disability and reasonable adjustments to avert employment and hiring discrimination (Clark, 2025). This persistent practical systemic divide in implementing the policy means that the legal rights are not always converted into better service delivery and inclusive workplaces, and reform activists seek better guidelines on how the rights should be applied and trained in the workplace to address the various needs (nhs.uk, 2023).</w:t>
      </w:r>
    </w:p>
    <w:p w14:paraId="3A432BA8" w14:textId="77777777" w:rsidR="00CB41B7" w:rsidRPr="00D023D0" w:rsidRDefault="0070138D" w:rsidP="009A0D4B">
      <w:pPr>
        <w:pStyle w:val="Heading1"/>
        <w:rPr>
          <w:sz w:val="24"/>
          <w:szCs w:val="24"/>
          <w:lang w:val="en-GB"/>
        </w:rPr>
      </w:pPr>
      <w:bookmarkStart w:id="17" w:name="_Toc221030777"/>
      <w:r w:rsidRPr="00D023D0">
        <w:rPr>
          <w:sz w:val="24"/>
          <w:szCs w:val="24"/>
          <w:lang w:val="en-GB"/>
        </w:rPr>
        <w:lastRenderedPageBreak/>
        <w:t>Policy &amp; Legal Framework</w:t>
      </w:r>
      <w:bookmarkEnd w:id="17"/>
    </w:p>
    <w:p w14:paraId="3DEE8C2C" w14:textId="77777777" w:rsidR="00CB41B7" w:rsidRPr="00D023D0" w:rsidRDefault="0070138D" w:rsidP="009A0D4B">
      <w:pPr>
        <w:pStyle w:val="Heading2"/>
        <w:rPr>
          <w:sz w:val="24"/>
          <w:szCs w:val="24"/>
          <w:highlight w:val="white"/>
          <w:lang w:val="en-GB"/>
        </w:rPr>
      </w:pPr>
      <w:bookmarkStart w:id="18" w:name="_Toc221030778"/>
      <w:r w:rsidRPr="00D023D0">
        <w:rPr>
          <w:sz w:val="24"/>
          <w:szCs w:val="24"/>
          <w:highlight w:val="white"/>
          <w:lang w:val="en-GB"/>
        </w:rPr>
        <w:t>Legal Protections and Rights</w:t>
      </w:r>
      <w:bookmarkEnd w:id="18"/>
    </w:p>
    <w:p w14:paraId="03843A0C" w14:textId="77777777" w:rsidR="00CB41B7" w:rsidRPr="009A0D4B" w:rsidRDefault="0070138D">
      <w:p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 xml:space="preserve">In the UK, persons with health conditions such as chronic childhood conditions, such as elimination disorders that are found to impair daily life, are protected against discrimination by an umbrella disability and care law. The </w:t>
      </w:r>
      <w:r w:rsidRPr="00D023D0">
        <w:rPr>
          <w:rFonts w:eastAsia="Times New Roman"/>
          <w:color w:val="000000" w:themeColor="text1"/>
          <w:szCs w:val="24"/>
          <w:highlight w:val="white"/>
          <w:lang w:val="en-GB"/>
        </w:rPr>
        <w:t>Mental Health Act 1983</w:t>
      </w:r>
      <w:r w:rsidRPr="009A0D4B">
        <w:rPr>
          <w:rFonts w:eastAsia="Times New Roman"/>
          <w:color w:val="000000" w:themeColor="text1"/>
          <w:szCs w:val="24"/>
          <w:highlight w:val="white"/>
          <w:lang w:val="en-GB"/>
        </w:rPr>
        <w:t xml:space="preserve"> (</w:t>
      </w:r>
      <w:r w:rsidRPr="00EE3AC6">
        <w:rPr>
          <w:rFonts w:eastAsia="Times New Roman"/>
          <w:color w:val="000000" w:themeColor="text1"/>
          <w:szCs w:val="24"/>
          <w:highlight w:val="white"/>
          <w:lang w:val="en-GB"/>
        </w:rPr>
        <w:t>amended i</w:t>
      </w:r>
      <w:r w:rsidRPr="009A0D4B">
        <w:rPr>
          <w:rFonts w:eastAsia="Times New Roman"/>
          <w:i/>
          <w:iCs/>
          <w:color w:val="000000" w:themeColor="text1"/>
          <w:szCs w:val="24"/>
          <w:highlight w:val="white"/>
          <w:lang w:val="en-GB"/>
        </w:rPr>
        <w:t>n 2007</w:t>
      </w:r>
      <w:r w:rsidRPr="009A0D4B">
        <w:rPr>
          <w:rFonts w:eastAsia="Times New Roman"/>
          <w:color w:val="000000" w:themeColor="text1"/>
          <w:szCs w:val="24"/>
          <w:highlight w:val="white"/>
          <w:lang w:val="en-GB"/>
        </w:rPr>
        <w:t xml:space="preserve">) permits mandatory treatment and detention of individuals with a severe mental disorder, although this is only normally applicable in instances where there is a threat to self or others (Treml </w:t>
      </w:r>
      <w:r w:rsidRPr="009A0D4B">
        <w:rPr>
          <w:rFonts w:eastAsia="Times New Roman"/>
          <w:i/>
          <w:iCs/>
          <w:color w:val="000000" w:themeColor="text1"/>
          <w:szCs w:val="24"/>
          <w:highlight w:val="white"/>
          <w:lang w:val="en-GB"/>
        </w:rPr>
        <w:t>et al</w:t>
      </w:r>
      <w:r w:rsidRPr="009A0D4B">
        <w:rPr>
          <w:rFonts w:eastAsia="Times New Roman"/>
          <w:color w:val="000000" w:themeColor="text1"/>
          <w:szCs w:val="24"/>
          <w:highlight w:val="white"/>
          <w:lang w:val="en-GB"/>
        </w:rPr>
        <w:t xml:space="preserve">., 2024). The </w:t>
      </w:r>
      <w:r w:rsidRPr="00D023D0">
        <w:rPr>
          <w:rFonts w:eastAsia="Times New Roman"/>
          <w:color w:val="000000" w:themeColor="text1"/>
          <w:szCs w:val="24"/>
          <w:highlight w:val="white"/>
          <w:lang w:val="en-GB"/>
        </w:rPr>
        <w:t>Code of Practice</w:t>
      </w:r>
      <w:r w:rsidRPr="009A0D4B">
        <w:rPr>
          <w:rFonts w:eastAsia="Times New Roman"/>
          <w:color w:val="000000" w:themeColor="text1"/>
          <w:szCs w:val="24"/>
          <w:highlight w:val="white"/>
          <w:lang w:val="en-GB"/>
        </w:rPr>
        <w:t xml:space="preserve"> provided in the Act also stipulates that professionals treat all equally and not discriminate against them under the </w:t>
      </w:r>
      <w:r w:rsidRPr="00EE3AC6">
        <w:rPr>
          <w:rFonts w:eastAsia="Times New Roman"/>
          <w:color w:val="000000" w:themeColor="text1"/>
          <w:szCs w:val="24"/>
          <w:highlight w:val="white"/>
          <w:lang w:val="en-GB"/>
        </w:rPr>
        <w:t>Equality</w:t>
      </w:r>
      <w:r w:rsidRPr="00D023D0">
        <w:rPr>
          <w:rFonts w:eastAsia="Times New Roman"/>
          <w:i/>
          <w:iCs/>
          <w:color w:val="000000" w:themeColor="text1"/>
          <w:szCs w:val="24"/>
          <w:highlight w:val="white"/>
          <w:lang w:val="en-GB"/>
        </w:rPr>
        <w:t xml:space="preserve"> Act 2010</w:t>
      </w:r>
      <w:r w:rsidRPr="00D023D0">
        <w:rPr>
          <w:rFonts w:eastAsia="Times New Roman"/>
          <w:color w:val="000000" w:themeColor="text1"/>
          <w:szCs w:val="24"/>
          <w:highlight w:val="white"/>
          <w:lang w:val="en-GB"/>
        </w:rPr>
        <w:t>.</w:t>
      </w:r>
    </w:p>
    <w:p w14:paraId="02B38B78" w14:textId="77777777" w:rsidR="00CB41B7" w:rsidRPr="00D023D0" w:rsidRDefault="0070138D" w:rsidP="009A0D4B">
      <w:pPr>
        <w:pStyle w:val="Heading2"/>
        <w:rPr>
          <w:i w:val="0"/>
          <w:iCs/>
          <w:sz w:val="24"/>
          <w:szCs w:val="24"/>
          <w:highlight w:val="white"/>
          <w:lang w:val="en-GB"/>
        </w:rPr>
      </w:pPr>
      <w:bookmarkStart w:id="19" w:name="_Toc221030779"/>
      <w:r w:rsidRPr="00D023D0">
        <w:rPr>
          <w:i w:val="0"/>
          <w:iCs/>
          <w:sz w:val="24"/>
          <w:szCs w:val="24"/>
          <w:highlight w:val="white"/>
          <w:lang w:val="en-GB"/>
        </w:rPr>
        <w:t>UK Policies and Service Provision</w:t>
      </w:r>
      <w:bookmarkEnd w:id="19"/>
    </w:p>
    <w:p w14:paraId="3CFA3B68" w14:textId="3DC9EEF8" w:rsidR="00CB41B7" w:rsidRPr="009A0D4B" w:rsidRDefault="0070138D">
      <w:p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 xml:space="preserve">The </w:t>
      </w:r>
      <w:r w:rsidRPr="00D023D0">
        <w:rPr>
          <w:rFonts w:eastAsia="Times New Roman"/>
          <w:color w:val="000000" w:themeColor="text1"/>
          <w:szCs w:val="24"/>
          <w:highlight w:val="white"/>
          <w:lang w:val="en-GB"/>
        </w:rPr>
        <w:t>Care Act 2014</w:t>
      </w:r>
      <w:r w:rsidRPr="009A0D4B">
        <w:rPr>
          <w:rFonts w:eastAsia="Times New Roman"/>
          <w:color w:val="000000" w:themeColor="text1"/>
          <w:szCs w:val="24"/>
          <w:highlight w:val="white"/>
          <w:lang w:val="en-GB"/>
        </w:rPr>
        <w:t xml:space="preserve"> establishes the responsibilities of local authorities in England to identify needs and eligibility to care and support services, such as social care for disabled children and their families (nhs.uk, 2023). Regional social services need to </w:t>
      </w:r>
      <w:r w:rsidR="00426080" w:rsidRPr="009A0D4B">
        <w:rPr>
          <w:rFonts w:eastAsia="Times New Roman"/>
          <w:color w:val="000000" w:themeColor="text1"/>
          <w:szCs w:val="24"/>
          <w:highlight w:val="white"/>
          <w:lang w:val="en-GB"/>
        </w:rPr>
        <w:t>consider</w:t>
      </w:r>
      <w:r w:rsidRPr="009A0D4B">
        <w:rPr>
          <w:rFonts w:eastAsia="Times New Roman"/>
          <w:color w:val="000000" w:themeColor="text1"/>
          <w:szCs w:val="24"/>
          <w:highlight w:val="white"/>
          <w:lang w:val="en-GB"/>
        </w:rPr>
        <w:t xml:space="preserve"> the outcomes of personal well-being, the elimination of the </w:t>
      </w:r>
      <w:r w:rsidR="00EE3AC6" w:rsidRPr="009A0D4B">
        <w:rPr>
          <w:rFonts w:eastAsia="Times New Roman"/>
          <w:color w:val="000000" w:themeColor="text1"/>
          <w:szCs w:val="24"/>
          <w:highlight w:val="white"/>
          <w:lang w:val="en-GB"/>
        </w:rPr>
        <w:t>need’s</w:t>
      </w:r>
      <w:r w:rsidRPr="009A0D4B">
        <w:rPr>
          <w:rFonts w:eastAsia="Times New Roman"/>
          <w:color w:val="000000" w:themeColor="text1"/>
          <w:szCs w:val="24"/>
          <w:highlight w:val="white"/>
          <w:lang w:val="en-GB"/>
        </w:rPr>
        <w:t xml:space="preserve"> aggravation and individual support planning (Reed, 2023). The </w:t>
      </w:r>
      <w:r w:rsidRPr="00D023D0">
        <w:rPr>
          <w:rFonts w:eastAsia="Times New Roman"/>
          <w:color w:val="000000" w:themeColor="text1"/>
          <w:szCs w:val="24"/>
          <w:highlight w:val="white"/>
          <w:lang w:val="en-GB"/>
        </w:rPr>
        <w:t>NHS Long Term Plan</w:t>
      </w:r>
      <w:r w:rsidRPr="009A0D4B">
        <w:rPr>
          <w:rFonts w:eastAsia="Times New Roman"/>
          <w:color w:val="000000" w:themeColor="text1"/>
          <w:szCs w:val="24"/>
          <w:highlight w:val="white"/>
          <w:lang w:val="en-GB"/>
        </w:rPr>
        <w:t xml:space="preserve"> and others are policies that can increase the number of communities and mental health services, and it indirectly affects the access of children with chronic health conditions, including those with psychological effects, to holistic services and early interventions.</w:t>
      </w:r>
    </w:p>
    <w:p w14:paraId="66C5E331" w14:textId="77777777" w:rsidR="00CB41B7" w:rsidRDefault="0070138D" w:rsidP="009A0D4B">
      <w:pPr>
        <w:pStyle w:val="Heading2"/>
        <w:rPr>
          <w:i w:val="0"/>
          <w:iCs/>
          <w:sz w:val="24"/>
          <w:szCs w:val="24"/>
          <w:highlight w:val="white"/>
          <w:lang w:val="en-GB"/>
        </w:rPr>
      </w:pPr>
      <w:bookmarkStart w:id="20" w:name="_Toc221030780"/>
      <w:r w:rsidRPr="00D023D0">
        <w:rPr>
          <w:i w:val="0"/>
          <w:iCs/>
          <w:sz w:val="24"/>
          <w:szCs w:val="24"/>
          <w:highlight w:val="white"/>
          <w:lang w:val="en-GB"/>
        </w:rPr>
        <w:t>Ethical and Funding Considerations</w:t>
      </w:r>
      <w:bookmarkEnd w:id="20"/>
    </w:p>
    <w:p w14:paraId="241A0396" w14:textId="48BC6D69" w:rsidR="004519A8" w:rsidRPr="004519A8" w:rsidRDefault="00D3140D" w:rsidP="00D3140D">
      <w:pPr>
        <w:spacing w:line="360" w:lineRule="auto"/>
        <w:jc w:val="both"/>
        <w:rPr>
          <w:highlight w:val="white"/>
          <w:lang w:val="en-GB"/>
        </w:rPr>
      </w:pPr>
      <w:r>
        <w:t>Regarding</w:t>
      </w:r>
      <w:r w:rsidR="004519A8">
        <w:t xml:space="preserve"> ethical responsibilities, service provision must balance clinical necessity with respect for individual rights and dignity, avoiding undue detention or intrusive practices (</w:t>
      </w:r>
      <w:proofErr w:type="spellStart"/>
      <w:r w:rsidR="004519A8">
        <w:t>Gacka</w:t>
      </w:r>
      <w:proofErr w:type="spellEnd"/>
      <w:r w:rsidR="004519A8">
        <w:t xml:space="preserve"> et al., 2025). Although absolute expenditure on mental health services within the NHS has increased, its proportion of overall NHS funding has been </w:t>
      </w:r>
      <w:r w:rsidR="00426080">
        <w:t>criticized</w:t>
      </w:r>
      <w:r w:rsidR="004519A8">
        <w:t xml:space="preserve"> as insufficient relative to rising demand, potentially constraining timely access to care.</w:t>
      </w:r>
    </w:p>
    <w:p w14:paraId="66A3E582" w14:textId="77777777" w:rsidR="00CB41B7" w:rsidRPr="00D023D0" w:rsidRDefault="0070138D" w:rsidP="009A0D4B">
      <w:pPr>
        <w:pStyle w:val="Heading1"/>
        <w:rPr>
          <w:sz w:val="24"/>
          <w:szCs w:val="24"/>
          <w:lang w:val="en-GB"/>
        </w:rPr>
      </w:pPr>
      <w:bookmarkStart w:id="21" w:name="_Toc221030781"/>
      <w:r w:rsidRPr="00D023D0">
        <w:rPr>
          <w:sz w:val="24"/>
          <w:szCs w:val="24"/>
          <w:lang w:val="en-GB"/>
        </w:rPr>
        <w:t>UK Data &amp; Statistical Evidence</w:t>
      </w:r>
      <w:bookmarkEnd w:id="21"/>
    </w:p>
    <w:p w14:paraId="345A09C8" w14:textId="1190BD55" w:rsidR="0079063C" w:rsidRDefault="00475CD4" w:rsidP="00116436">
      <w:pPr>
        <w:spacing w:line="360" w:lineRule="auto"/>
        <w:jc w:val="both"/>
        <w:rPr>
          <w:b/>
          <w:color w:val="000000" w:themeColor="text1"/>
          <w:sz w:val="28"/>
          <w:szCs w:val="40"/>
          <w:lang w:val="en-GB"/>
        </w:rPr>
      </w:pPr>
      <w:r>
        <w:t xml:space="preserve">Nocturnal enuresis remains a notable concern among children in the United Kingdom. NICE-associated estimates suggest prevalence rates of approximately 16% at age five and 10% at age seven, declining to around 2% by late adolescence (Li et al., 2025). Additional UK continence data indicate that about 8% of children aged four to six experience frequent bedwetting, reducing </w:t>
      </w:r>
      <w:r>
        <w:lastRenderedPageBreak/>
        <w:t>to roughly 1.5% after age nine (cuh.nhs.uk, 2025). Despite this decline, access to care is constrained, as NHS mental health services report prolonged waiting times, with many young people waiting over twelve months and experiencing worsening symptoms during this period (</w:t>
      </w:r>
      <w:proofErr w:type="spellStart"/>
      <w:r>
        <w:t>Crișan</w:t>
      </w:r>
      <w:proofErr w:type="spellEnd"/>
      <w:r>
        <w:t xml:space="preserve"> et al., 2022).</w:t>
      </w:r>
      <w:r w:rsidR="0079063C">
        <w:rPr>
          <w:lang w:val="en-GB"/>
        </w:rPr>
        <w:br w:type="page"/>
      </w:r>
    </w:p>
    <w:p w14:paraId="7D35FB78" w14:textId="77777777" w:rsidR="00CB41B7" w:rsidRPr="009A0D4B" w:rsidRDefault="0070138D" w:rsidP="009A0D4B">
      <w:pPr>
        <w:pStyle w:val="Heading1"/>
        <w:rPr>
          <w:lang w:val="en-GB"/>
        </w:rPr>
      </w:pPr>
      <w:bookmarkStart w:id="22" w:name="_Toc221030782"/>
      <w:r w:rsidRPr="009A0D4B">
        <w:rPr>
          <w:lang w:val="en-GB"/>
        </w:rPr>
        <w:lastRenderedPageBreak/>
        <w:t>Recommendations</w:t>
      </w:r>
      <w:bookmarkEnd w:id="22"/>
    </w:p>
    <w:p w14:paraId="1AFD252E" w14:textId="77777777" w:rsidR="00CB41B7" w:rsidRPr="009A0D4B" w:rsidRDefault="0070138D">
      <w:p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lang w:val="en-GB"/>
        </w:rPr>
        <w:t xml:space="preserve">The </w:t>
      </w:r>
      <w:r w:rsidRPr="00D023D0">
        <w:rPr>
          <w:rFonts w:eastAsia="Times New Roman"/>
          <w:color w:val="000000" w:themeColor="text1"/>
          <w:szCs w:val="24"/>
          <w:lang w:val="en-GB"/>
        </w:rPr>
        <w:t>evidence-based recommendations</w:t>
      </w:r>
      <w:r w:rsidRPr="009A0D4B">
        <w:rPr>
          <w:rFonts w:eastAsia="Times New Roman"/>
          <w:color w:val="000000" w:themeColor="text1"/>
          <w:szCs w:val="24"/>
          <w:lang w:val="en-GB"/>
        </w:rPr>
        <w:t xml:space="preserve"> for improving the UK’s approach to elimination disorders, grounded in </w:t>
      </w:r>
      <w:r w:rsidRPr="009A0D4B">
        <w:rPr>
          <w:rFonts w:eastAsia="Times New Roman"/>
          <w:i/>
          <w:iCs/>
          <w:color w:val="000000" w:themeColor="text1"/>
          <w:szCs w:val="24"/>
          <w:lang w:val="en-GB"/>
        </w:rPr>
        <w:t>NICE</w:t>
      </w:r>
      <w:r w:rsidRPr="009A0D4B">
        <w:rPr>
          <w:rFonts w:eastAsia="Times New Roman"/>
          <w:color w:val="000000" w:themeColor="text1"/>
          <w:szCs w:val="24"/>
          <w:lang w:val="en-GB"/>
        </w:rPr>
        <w:t xml:space="preserve"> guidance, are as follows:</w:t>
      </w:r>
    </w:p>
    <w:p w14:paraId="7C880F7A" w14:textId="77777777" w:rsidR="00CB41B7" w:rsidRPr="009A0D4B" w:rsidRDefault="0070138D">
      <w:pPr>
        <w:numPr>
          <w:ilvl w:val="0"/>
          <w:numId w:val="1"/>
        </w:num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Improving access to primary care by increasing resource support for continence alarms, desmopressin, and behavioural therapy in community and school health services (Yoo-Kyung, 2023). This should be combined with regular medication reviews and family education as recommended by NICE.</w:t>
      </w:r>
    </w:p>
    <w:p w14:paraId="0AC6BD40" w14:textId="77777777" w:rsidR="00CB41B7" w:rsidRPr="009A0D4B" w:rsidRDefault="0070138D">
      <w:pPr>
        <w:numPr>
          <w:ilvl w:val="0"/>
          <w:numId w:val="1"/>
        </w:num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 xml:space="preserve">Linking psychosocial support to treatment for kids with elimination issues related to emotional and behavioural problems, by integrating </w:t>
      </w:r>
      <w:proofErr w:type="spellStart"/>
      <w:r w:rsidRPr="009A0D4B">
        <w:rPr>
          <w:rFonts w:eastAsia="Times New Roman"/>
          <w:color w:val="000000" w:themeColor="text1"/>
          <w:szCs w:val="24"/>
          <w:highlight w:val="white"/>
          <w:lang w:val="en-GB"/>
        </w:rPr>
        <w:t>pediatric</w:t>
      </w:r>
      <w:proofErr w:type="spellEnd"/>
      <w:r w:rsidRPr="009A0D4B">
        <w:rPr>
          <w:rFonts w:eastAsia="Times New Roman"/>
          <w:color w:val="000000" w:themeColor="text1"/>
          <w:szCs w:val="24"/>
          <w:highlight w:val="white"/>
          <w:lang w:val="en-GB"/>
        </w:rPr>
        <w:t xml:space="preserve"> continence services with mental health services as part of the </w:t>
      </w:r>
      <w:r w:rsidRPr="00D023D0">
        <w:rPr>
          <w:rFonts w:eastAsia="Times New Roman"/>
          <w:szCs w:val="24"/>
          <w:highlight w:val="white"/>
          <w:lang w:val="en-GB"/>
        </w:rPr>
        <w:t xml:space="preserve">NHS Long Term Plan </w:t>
      </w:r>
      <w:r w:rsidRPr="009A0D4B">
        <w:rPr>
          <w:rFonts w:eastAsia="Times New Roman"/>
          <w:color w:val="000000" w:themeColor="text1"/>
          <w:szCs w:val="24"/>
          <w:highlight w:val="white"/>
          <w:lang w:val="en-GB"/>
        </w:rPr>
        <w:t>for children and young people.</w:t>
      </w:r>
    </w:p>
    <w:p w14:paraId="0556F288" w14:textId="77777777" w:rsidR="00CB41B7" w:rsidRPr="009A0D4B" w:rsidRDefault="0070138D">
      <w:pPr>
        <w:numPr>
          <w:ilvl w:val="0"/>
          <w:numId w:val="1"/>
        </w:num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Reducing waiting times for children’s services by using targets such as those in NHS mental health standards and providing interim care while waiting for families, a strategy that has been supported by research indicating improved outcomes for kids waiting for formal care (Ahmad, 2022).</w:t>
      </w:r>
    </w:p>
    <w:p w14:paraId="73A2FA4F" w14:textId="77777777" w:rsidR="00CB41B7" w:rsidRPr="009A0D4B" w:rsidRDefault="0070138D">
      <w:pPr>
        <w:numPr>
          <w:ilvl w:val="0"/>
          <w:numId w:val="1"/>
        </w:numPr>
        <w:shd w:val="clear" w:color="auto" w:fill="FFFFFF"/>
        <w:spacing w:line="360" w:lineRule="auto"/>
        <w:jc w:val="both"/>
        <w:rPr>
          <w:rFonts w:eastAsia="Times New Roman"/>
          <w:color w:val="000000" w:themeColor="text1"/>
          <w:szCs w:val="24"/>
          <w:highlight w:val="white"/>
          <w:lang w:val="en-GB"/>
        </w:rPr>
      </w:pPr>
      <w:r w:rsidRPr="009A0D4B">
        <w:rPr>
          <w:rFonts w:eastAsia="Times New Roman"/>
          <w:color w:val="000000" w:themeColor="text1"/>
          <w:szCs w:val="24"/>
          <w:highlight w:val="white"/>
          <w:lang w:val="en-GB"/>
        </w:rPr>
        <w:t>Improving community and school support by continuing to develop mental health support teams in schools and integrating continence care into school health policies, providing kids with related distress with care outside medical settings (</w:t>
      </w:r>
      <w:proofErr w:type="spellStart"/>
      <w:r w:rsidRPr="009A0D4B">
        <w:rPr>
          <w:rFonts w:eastAsia="Times New Roman"/>
          <w:color w:val="000000" w:themeColor="text1"/>
          <w:szCs w:val="24"/>
          <w:highlight w:val="white"/>
          <w:lang w:val="en-GB"/>
        </w:rPr>
        <w:t>Azadmanjir</w:t>
      </w:r>
      <w:proofErr w:type="spellEnd"/>
      <w:r w:rsidRPr="009A0D4B">
        <w:rPr>
          <w:rFonts w:eastAsia="Times New Roman"/>
          <w:color w:val="000000" w:themeColor="text1"/>
          <w:szCs w:val="24"/>
          <w:highlight w:val="white"/>
          <w:lang w:val="en-GB"/>
        </w:rPr>
        <w:t xml:space="preserve"> </w:t>
      </w:r>
      <w:r w:rsidRPr="009A0D4B">
        <w:rPr>
          <w:rFonts w:eastAsia="Times New Roman"/>
          <w:i/>
          <w:iCs/>
          <w:color w:val="000000" w:themeColor="text1"/>
          <w:szCs w:val="24"/>
          <w:highlight w:val="white"/>
          <w:lang w:val="en-GB"/>
        </w:rPr>
        <w:t>et al</w:t>
      </w:r>
      <w:r w:rsidRPr="009A0D4B">
        <w:rPr>
          <w:rFonts w:eastAsia="Times New Roman"/>
          <w:color w:val="000000" w:themeColor="text1"/>
          <w:szCs w:val="24"/>
          <w:highlight w:val="white"/>
          <w:lang w:val="en-GB"/>
        </w:rPr>
        <w:t>., 2024).</w:t>
      </w:r>
    </w:p>
    <w:p w14:paraId="4E699DA9" w14:textId="1624D329" w:rsidR="00CB41B7" w:rsidRPr="009A0D4B" w:rsidRDefault="0070138D">
      <w:pPr>
        <w:numPr>
          <w:ilvl w:val="0"/>
          <w:numId w:val="1"/>
        </w:numPr>
        <w:shd w:val="clear" w:color="auto" w:fill="FFFFFF"/>
        <w:spacing w:line="360" w:lineRule="auto"/>
        <w:jc w:val="both"/>
        <w:rPr>
          <w:rFonts w:eastAsia="Times New Roman"/>
          <w:color w:val="000000" w:themeColor="text1"/>
          <w:sz w:val="24"/>
          <w:szCs w:val="24"/>
          <w:highlight w:val="white"/>
          <w:lang w:val="en-GB"/>
        </w:rPr>
      </w:pPr>
      <w:r w:rsidRPr="009A0D4B">
        <w:rPr>
          <w:rFonts w:eastAsia="Times New Roman"/>
          <w:color w:val="000000" w:themeColor="text1"/>
          <w:szCs w:val="24"/>
          <w:highlight w:val="white"/>
          <w:lang w:val="en-GB"/>
        </w:rPr>
        <w:t xml:space="preserve">Reviewing mental health legislation and funding arrangements by considering proposed changes to the </w:t>
      </w:r>
      <w:r w:rsidRPr="009A0D4B">
        <w:rPr>
          <w:rFonts w:eastAsia="Times New Roman"/>
          <w:i/>
          <w:iCs/>
          <w:color w:val="000000" w:themeColor="text1"/>
          <w:szCs w:val="24"/>
          <w:highlight w:val="white"/>
          <w:lang w:val="en-GB"/>
        </w:rPr>
        <w:t>Mental Health Act</w:t>
      </w:r>
      <w:r w:rsidRPr="009A0D4B">
        <w:rPr>
          <w:rFonts w:eastAsia="Times New Roman"/>
          <w:color w:val="000000" w:themeColor="text1"/>
          <w:szCs w:val="24"/>
          <w:highlight w:val="white"/>
          <w:lang w:val="en-GB"/>
        </w:rPr>
        <w:t xml:space="preserve"> to improve the protection of children’s </w:t>
      </w:r>
      <w:r w:rsidR="00175E5F" w:rsidRPr="009A0D4B">
        <w:rPr>
          <w:rFonts w:eastAsia="Times New Roman"/>
          <w:color w:val="000000" w:themeColor="text1"/>
          <w:szCs w:val="24"/>
          <w:highlight w:val="white"/>
          <w:lang w:val="en-GB"/>
        </w:rPr>
        <w:t>rights and</w:t>
      </w:r>
      <w:r w:rsidRPr="009A0D4B">
        <w:rPr>
          <w:rFonts w:eastAsia="Times New Roman"/>
          <w:color w:val="000000" w:themeColor="text1"/>
          <w:szCs w:val="24"/>
          <w:highlight w:val="white"/>
          <w:lang w:val="en-GB"/>
        </w:rPr>
        <w:t xml:space="preserve"> ensure that chronic conditions with psychological impact are included in care planning, while also ensuring long-term funding to meet the growing demand.</w:t>
      </w:r>
    </w:p>
    <w:p w14:paraId="44D24B10" w14:textId="77777777" w:rsidR="0079063C" w:rsidRDefault="0079063C">
      <w:pPr>
        <w:rPr>
          <w:b/>
          <w:color w:val="000000" w:themeColor="text1"/>
          <w:sz w:val="28"/>
          <w:szCs w:val="40"/>
          <w:lang w:val="en-GB"/>
        </w:rPr>
      </w:pPr>
      <w:r>
        <w:rPr>
          <w:lang w:val="en-GB"/>
        </w:rPr>
        <w:br w:type="page"/>
      </w:r>
    </w:p>
    <w:p w14:paraId="52968984" w14:textId="77777777" w:rsidR="00CB41B7" w:rsidRDefault="0070138D" w:rsidP="009A0D4B">
      <w:pPr>
        <w:pStyle w:val="Heading1"/>
        <w:rPr>
          <w:lang w:val="en-GB"/>
        </w:rPr>
      </w:pPr>
      <w:bookmarkStart w:id="23" w:name="_Toc221030783"/>
      <w:r w:rsidRPr="009A0D4B">
        <w:rPr>
          <w:lang w:val="en-GB"/>
        </w:rPr>
        <w:lastRenderedPageBreak/>
        <w:t>Conclusion</w:t>
      </w:r>
      <w:bookmarkEnd w:id="23"/>
    </w:p>
    <w:p w14:paraId="55423E5F" w14:textId="3E3EDE0F" w:rsidR="005B2EB5" w:rsidRDefault="005B2EB5" w:rsidP="00EA7772">
      <w:pPr>
        <w:spacing w:line="360" w:lineRule="auto"/>
        <w:jc w:val="both"/>
      </w:pPr>
      <w:r>
        <w:t xml:space="preserve">In conclusion, elimination disorders represent prevalent childhood conditions with significant implications for health, education, and social functioning. Access to continence services, family support, and early diagnosis is essential for effective recovery. Although NICE guidelines and NHS services provide structured treatment pathways, access remains uneven, with prolonged waiting times and limited specialist provision posing barriers. Future research should </w:t>
      </w:r>
      <w:r w:rsidR="00EA7772">
        <w:t>prioritize</w:t>
      </w:r>
      <w:r>
        <w:t xml:space="preserve"> improved diagnostics, mental health integration, and long-term outcomes. Continued NHS reform, legislative development, increased funding, and expanded service provision are necessary to better support affected children and families in the United Kingdom.</w:t>
      </w:r>
    </w:p>
    <w:p w14:paraId="177B37D8" w14:textId="77777777" w:rsidR="00EA7772" w:rsidRDefault="00EA7772" w:rsidP="00EA7772">
      <w:pPr>
        <w:spacing w:line="360" w:lineRule="auto"/>
        <w:jc w:val="both"/>
      </w:pPr>
    </w:p>
    <w:p w14:paraId="1C8C04C9" w14:textId="77777777" w:rsidR="00EA7772" w:rsidRDefault="00EA7772" w:rsidP="00EA7772">
      <w:pPr>
        <w:spacing w:line="360" w:lineRule="auto"/>
        <w:jc w:val="both"/>
      </w:pPr>
    </w:p>
    <w:p w14:paraId="4114B73C" w14:textId="77777777" w:rsidR="00EA7772" w:rsidRDefault="00EA7772" w:rsidP="00EA7772">
      <w:pPr>
        <w:spacing w:line="360" w:lineRule="auto"/>
        <w:jc w:val="both"/>
      </w:pPr>
    </w:p>
    <w:p w14:paraId="623FA43C" w14:textId="77777777" w:rsidR="00EA7772" w:rsidRDefault="00EA7772" w:rsidP="00EA7772">
      <w:pPr>
        <w:spacing w:line="360" w:lineRule="auto"/>
        <w:jc w:val="both"/>
      </w:pPr>
    </w:p>
    <w:p w14:paraId="0F22B62D" w14:textId="77777777" w:rsidR="00EA7772" w:rsidRDefault="00EA7772" w:rsidP="00EA7772">
      <w:pPr>
        <w:spacing w:line="360" w:lineRule="auto"/>
        <w:jc w:val="both"/>
      </w:pPr>
    </w:p>
    <w:p w14:paraId="3268BE1A" w14:textId="77777777" w:rsidR="00EA7772" w:rsidRDefault="00EA7772" w:rsidP="00EA7772">
      <w:pPr>
        <w:spacing w:line="360" w:lineRule="auto"/>
        <w:jc w:val="both"/>
      </w:pPr>
    </w:p>
    <w:p w14:paraId="31413CE7" w14:textId="77777777" w:rsidR="00EA7772" w:rsidRDefault="00EA7772" w:rsidP="00EA7772">
      <w:pPr>
        <w:spacing w:line="360" w:lineRule="auto"/>
        <w:jc w:val="both"/>
      </w:pPr>
    </w:p>
    <w:p w14:paraId="66447098" w14:textId="77777777" w:rsidR="00EA7772" w:rsidRDefault="00EA7772" w:rsidP="00EA7772">
      <w:pPr>
        <w:spacing w:line="360" w:lineRule="auto"/>
        <w:jc w:val="both"/>
      </w:pPr>
    </w:p>
    <w:p w14:paraId="3717F541" w14:textId="77777777" w:rsidR="00EA7772" w:rsidRDefault="00EA7772" w:rsidP="00EA7772">
      <w:pPr>
        <w:spacing w:line="360" w:lineRule="auto"/>
        <w:jc w:val="both"/>
      </w:pPr>
    </w:p>
    <w:p w14:paraId="087F4F3B" w14:textId="77777777" w:rsidR="00EA7772" w:rsidRDefault="00EA7772" w:rsidP="00EA7772">
      <w:pPr>
        <w:spacing w:line="360" w:lineRule="auto"/>
        <w:jc w:val="both"/>
      </w:pPr>
    </w:p>
    <w:p w14:paraId="5B583CD3" w14:textId="77777777" w:rsidR="00EA7772" w:rsidRDefault="00EA7772" w:rsidP="00EA7772">
      <w:pPr>
        <w:spacing w:line="360" w:lineRule="auto"/>
        <w:jc w:val="both"/>
      </w:pPr>
    </w:p>
    <w:p w14:paraId="788A9B5D" w14:textId="77777777" w:rsidR="00EA7772" w:rsidRDefault="00EA7772" w:rsidP="00EA7772">
      <w:pPr>
        <w:spacing w:line="360" w:lineRule="auto"/>
        <w:jc w:val="both"/>
      </w:pPr>
    </w:p>
    <w:p w14:paraId="3BA1309F" w14:textId="77777777" w:rsidR="00EA7772" w:rsidRDefault="00EA7772" w:rsidP="00EA7772">
      <w:pPr>
        <w:spacing w:line="360" w:lineRule="auto"/>
        <w:jc w:val="both"/>
      </w:pPr>
    </w:p>
    <w:p w14:paraId="48004AF4" w14:textId="77777777" w:rsidR="00EA7772" w:rsidRDefault="00EA7772" w:rsidP="00EA7772">
      <w:pPr>
        <w:spacing w:line="360" w:lineRule="auto"/>
        <w:jc w:val="both"/>
      </w:pPr>
    </w:p>
    <w:p w14:paraId="21AF06CC" w14:textId="77777777" w:rsidR="00EA7772" w:rsidRDefault="00EA7772" w:rsidP="00EA7772">
      <w:pPr>
        <w:spacing w:line="360" w:lineRule="auto"/>
        <w:jc w:val="both"/>
      </w:pPr>
    </w:p>
    <w:p w14:paraId="653E60E0" w14:textId="77777777" w:rsidR="00EA7772" w:rsidRDefault="00EA7772" w:rsidP="00EA7772">
      <w:pPr>
        <w:spacing w:line="360" w:lineRule="auto"/>
        <w:jc w:val="both"/>
      </w:pPr>
    </w:p>
    <w:p w14:paraId="55A46289" w14:textId="77777777" w:rsidR="00EA7772" w:rsidRDefault="00EA7772" w:rsidP="00EA7772">
      <w:pPr>
        <w:spacing w:line="360" w:lineRule="auto"/>
        <w:jc w:val="both"/>
      </w:pPr>
    </w:p>
    <w:p w14:paraId="311C685F" w14:textId="77777777" w:rsidR="00EA7772" w:rsidRDefault="00EA7772" w:rsidP="00EA7772">
      <w:pPr>
        <w:spacing w:line="360" w:lineRule="auto"/>
        <w:jc w:val="both"/>
      </w:pPr>
    </w:p>
    <w:p w14:paraId="22EA3402" w14:textId="77777777" w:rsidR="00EA7772" w:rsidRPr="005B2EB5" w:rsidRDefault="00EA7772" w:rsidP="00EA7772">
      <w:pPr>
        <w:spacing w:line="360" w:lineRule="auto"/>
        <w:jc w:val="both"/>
        <w:rPr>
          <w:lang w:val="en-GB"/>
        </w:rPr>
      </w:pPr>
    </w:p>
    <w:p w14:paraId="1BEE9A6A" w14:textId="77777777" w:rsidR="00CB41B7" w:rsidRPr="009A0D4B" w:rsidRDefault="0070138D" w:rsidP="009A0D4B">
      <w:pPr>
        <w:pStyle w:val="Heading1"/>
        <w:rPr>
          <w:lang w:val="en-GB"/>
        </w:rPr>
      </w:pPr>
      <w:bookmarkStart w:id="24" w:name="_Toc221030784"/>
      <w:r w:rsidRPr="009A0D4B">
        <w:rPr>
          <w:lang w:val="en-GB"/>
        </w:rPr>
        <w:lastRenderedPageBreak/>
        <w:t>Reference List</w:t>
      </w:r>
      <w:bookmarkEnd w:id="24"/>
    </w:p>
    <w:p w14:paraId="2BA6A249"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Ahmad (2022). </w:t>
      </w:r>
      <w:r w:rsidRPr="0079063C">
        <w:rPr>
          <w:rFonts w:eastAsia="Times New Roman"/>
          <w:i/>
          <w:iCs/>
          <w:color w:val="000000" w:themeColor="text1"/>
          <w:szCs w:val="24"/>
          <w:lang w:val="en-GB"/>
        </w:rPr>
        <w:t>ICD-11 Criteria for Elimination Disorders (Enuresis 6C00)</w:t>
      </w:r>
      <w:r w:rsidRPr="0079063C">
        <w:rPr>
          <w:rFonts w:eastAsia="Times New Roman"/>
          <w:color w:val="000000" w:themeColor="text1"/>
          <w:szCs w:val="24"/>
          <w:lang w:val="en-GB"/>
        </w:rPr>
        <w:t>. [online] Mrcpsych.uk. Available at: https://www.mrcpsych.uk/2022/05/icd-11-criteria-for-elimination.html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32AC9E54" w14:textId="77777777" w:rsidR="0079063C" w:rsidRPr="0079063C" w:rsidRDefault="0079063C" w:rsidP="0079063C">
      <w:pPr>
        <w:spacing w:line="360" w:lineRule="auto"/>
        <w:jc w:val="both"/>
      </w:pPr>
      <w:r w:rsidRPr="0079063C">
        <w:rPr>
          <w:shd w:val="clear" w:color="auto" w:fill="FFFFFF"/>
        </w:rPr>
        <w:t xml:space="preserve">Atherton, G., </w:t>
      </w:r>
      <w:proofErr w:type="spellStart"/>
      <w:r w:rsidRPr="0079063C">
        <w:rPr>
          <w:shd w:val="clear" w:color="auto" w:fill="FFFFFF"/>
        </w:rPr>
        <w:t>Edisbury</w:t>
      </w:r>
      <w:proofErr w:type="spellEnd"/>
      <w:r w:rsidRPr="0079063C">
        <w:rPr>
          <w:shd w:val="clear" w:color="auto" w:fill="FFFFFF"/>
        </w:rPr>
        <w:t>, E., Piovesan, A. and Cross, L. (</w:t>
      </w:r>
      <w:proofErr w:type="gramStart"/>
      <w:r w:rsidRPr="0079063C">
        <w:rPr>
          <w:shd w:val="clear" w:color="auto" w:fill="FFFFFF"/>
        </w:rPr>
        <w:t>2022) ‘</w:t>
      </w:r>
      <w:proofErr w:type="gramEnd"/>
      <w:r w:rsidRPr="0079063C">
        <w:rPr>
          <w:shd w:val="clear" w:color="auto" w:fill="FFFFFF"/>
        </w:rPr>
        <w:t>Autism through the ages: A mixed methods approach to understanding how age and age of diagnosis affect quality of life.’ </w:t>
      </w:r>
      <w:r w:rsidRPr="0079063C">
        <w:rPr>
          <w:i/>
          <w:iCs/>
          <w:shd w:val="clear" w:color="auto" w:fill="FFFFFF"/>
        </w:rPr>
        <w:t>Journal of Autism and Developmental Disorders</w:t>
      </w:r>
      <w:r w:rsidRPr="0079063C">
        <w:rPr>
          <w:shd w:val="clear" w:color="auto" w:fill="FFFFFF"/>
        </w:rPr>
        <w:t>, </w:t>
      </w:r>
      <w:r w:rsidRPr="0079063C">
        <w:rPr>
          <w:i/>
          <w:iCs/>
          <w:shd w:val="clear" w:color="auto" w:fill="FFFFFF"/>
        </w:rPr>
        <w:t>52</w:t>
      </w:r>
      <w:r w:rsidRPr="0079063C">
        <w:rPr>
          <w:shd w:val="clear" w:color="auto" w:fill="FFFFFF"/>
        </w:rPr>
        <w:t>(8), pp.3639-3654.</w:t>
      </w:r>
      <w:r w:rsidRPr="0079063C">
        <w:t xml:space="preserve"> Available at: </w:t>
      </w:r>
      <w:hyperlink r:id="rId9" w:history="1">
        <w:r w:rsidRPr="0079063C">
          <w:rPr>
            <w:rStyle w:val="Hyperlink"/>
            <w:shd w:val="clear" w:color="auto" w:fill="FFFFFF"/>
          </w:rPr>
          <w:t>https://doi.org/10.1007/s10803-021-05235-x</w:t>
        </w:r>
      </w:hyperlink>
      <w:r w:rsidRPr="0079063C">
        <w:rPr>
          <w:color w:val="222222"/>
          <w:shd w:val="clear" w:color="auto" w:fill="FFFFFF"/>
        </w:rPr>
        <w:t xml:space="preserve"> </w:t>
      </w:r>
    </w:p>
    <w:p w14:paraId="2342C982"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t>Azadmanjir</w:t>
      </w:r>
      <w:proofErr w:type="spellEnd"/>
      <w:r w:rsidRPr="0079063C">
        <w:rPr>
          <w:rFonts w:eastAsia="Times New Roman"/>
          <w:color w:val="000000" w:themeColor="text1"/>
          <w:szCs w:val="24"/>
          <w:lang w:val="en-GB"/>
        </w:rPr>
        <w:t xml:space="preserve">, Z., </w:t>
      </w:r>
      <w:proofErr w:type="spellStart"/>
      <w:r w:rsidRPr="0079063C">
        <w:rPr>
          <w:rFonts w:eastAsia="Times New Roman"/>
          <w:color w:val="000000" w:themeColor="text1"/>
          <w:szCs w:val="24"/>
          <w:lang w:val="en-GB"/>
        </w:rPr>
        <w:t>Sheikhtaheri</w:t>
      </w:r>
      <w:proofErr w:type="spellEnd"/>
      <w:r w:rsidRPr="0079063C">
        <w:rPr>
          <w:rFonts w:eastAsia="Times New Roman"/>
          <w:color w:val="000000" w:themeColor="text1"/>
          <w:szCs w:val="24"/>
          <w:lang w:val="en-GB"/>
        </w:rPr>
        <w:t xml:space="preserve">, A., Zarei, J., </w:t>
      </w:r>
      <w:proofErr w:type="spellStart"/>
      <w:r w:rsidRPr="0079063C">
        <w:rPr>
          <w:rFonts w:eastAsia="Times New Roman"/>
          <w:color w:val="000000" w:themeColor="text1"/>
          <w:szCs w:val="24"/>
          <w:lang w:val="en-GB"/>
        </w:rPr>
        <w:t>Golpira</w:t>
      </w:r>
      <w:proofErr w:type="spellEnd"/>
      <w:r w:rsidRPr="0079063C">
        <w:rPr>
          <w:rFonts w:eastAsia="Times New Roman"/>
          <w:color w:val="000000" w:themeColor="text1"/>
          <w:szCs w:val="24"/>
          <w:lang w:val="en-GB"/>
        </w:rPr>
        <w:t xml:space="preserve">, R., </w:t>
      </w:r>
      <w:proofErr w:type="spellStart"/>
      <w:r w:rsidRPr="0079063C">
        <w:rPr>
          <w:rFonts w:eastAsia="Times New Roman"/>
          <w:color w:val="000000" w:themeColor="text1"/>
          <w:szCs w:val="24"/>
          <w:lang w:val="en-GB"/>
        </w:rPr>
        <w:t>Bakhshandeh</w:t>
      </w:r>
      <w:proofErr w:type="spellEnd"/>
      <w:r w:rsidRPr="0079063C">
        <w:rPr>
          <w:rFonts w:eastAsia="Times New Roman"/>
          <w:color w:val="000000" w:themeColor="text1"/>
          <w:szCs w:val="24"/>
          <w:lang w:val="en-GB"/>
        </w:rPr>
        <w:t xml:space="preserve">, H., Vahedi, A. and Hashemi, N. (2024). A study on initial productivity trend in the transition of the ICD-10 to ICD-11 morbidity coding in Iran. </w:t>
      </w:r>
      <w:r w:rsidRPr="0079063C">
        <w:rPr>
          <w:rFonts w:eastAsia="Times New Roman"/>
          <w:i/>
          <w:iCs/>
          <w:color w:val="000000" w:themeColor="text1"/>
          <w:szCs w:val="24"/>
          <w:lang w:val="en-GB"/>
        </w:rPr>
        <w:t>Informatics in Medicine Unlocked</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44</w:t>
      </w:r>
      <w:r w:rsidRPr="0079063C">
        <w:rPr>
          <w:rFonts w:eastAsia="Times New Roman"/>
          <w:color w:val="000000" w:themeColor="text1"/>
          <w:szCs w:val="24"/>
          <w:lang w:val="en-GB"/>
        </w:rPr>
        <w:t>, pp.101-440.  Available at: https://www.sciencedirect.com/science/article/pii/S2352914823002861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543938E9" w14:textId="77777777" w:rsidR="0079063C" w:rsidRPr="0079063C" w:rsidRDefault="0079063C" w:rsidP="0079063C">
      <w:pPr>
        <w:spacing w:line="360" w:lineRule="auto"/>
        <w:jc w:val="both"/>
      </w:pPr>
      <w:r w:rsidRPr="0079063C">
        <w:rPr>
          <w:shd w:val="clear" w:color="auto" w:fill="FFFFFF"/>
        </w:rPr>
        <w:t>Bi, Y.N. and Liu, Y.A. (</w:t>
      </w:r>
      <w:proofErr w:type="gramStart"/>
      <w:r w:rsidRPr="0079063C">
        <w:rPr>
          <w:shd w:val="clear" w:color="auto" w:fill="FFFFFF"/>
        </w:rPr>
        <w:t>2023) ‘</w:t>
      </w:r>
      <w:proofErr w:type="gramEnd"/>
      <w:r w:rsidRPr="0079063C">
        <w:rPr>
          <w:shd w:val="clear" w:color="auto" w:fill="FFFFFF"/>
        </w:rPr>
        <w:t>GPs in UK: From health gatekeepers in primary care to health agents in primary health care.’ </w:t>
      </w:r>
      <w:r w:rsidRPr="0079063C">
        <w:rPr>
          <w:i/>
          <w:iCs/>
          <w:shd w:val="clear" w:color="auto" w:fill="FFFFFF"/>
        </w:rPr>
        <w:t>Risk Management and Healthcare Policy</w:t>
      </w:r>
      <w:r w:rsidRPr="0079063C">
        <w:rPr>
          <w:shd w:val="clear" w:color="auto" w:fill="FFFFFF"/>
        </w:rPr>
        <w:t>, pp.1929-1939.</w:t>
      </w:r>
      <w:r w:rsidRPr="0079063C">
        <w:t xml:space="preserve"> Available at: </w:t>
      </w:r>
      <w:hyperlink r:id="rId10" w:history="1">
        <w:r w:rsidRPr="0079063C">
          <w:rPr>
            <w:rStyle w:val="Hyperlink"/>
          </w:rPr>
          <w:t>https://doi.org/10.2147/RMHP.S416934</w:t>
        </w:r>
      </w:hyperlink>
      <w:r w:rsidRPr="0079063C">
        <w:t xml:space="preserve"> </w:t>
      </w:r>
    </w:p>
    <w:p w14:paraId="32491913"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Clark, L.A. (2025). Wherefrom and Whither PD? Recent Developments and Future Possibilities in DSM-5 and ICD-11 Personality Disorder Diagnosis. </w:t>
      </w:r>
      <w:r w:rsidRPr="0079063C">
        <w:rPr>
          <w:rFonts w:eastAsia="Times New Roman"/>
          <w:i/>
          <w:iCs/>
          <w:color w:val="000000" w:themeColor="text1"/>
          <w:szCs w:val="24"/>
          <w:lang w:val="en-GB"/>
        </w:rPr>
        <w:t>Current Psychiatry Reports</w:t>
      </w:r>
      <w:r w:rsidRPr="0079063C">
        <w:rPr>
          <w:rFonts w:eastAsia="Times New Roman"/>
          <w:color w:val="000000" w:themeColor="text1"/>
          <w:szCs w:val="24"/>
          <w:lang w:val="en-GB"/>
        </w:rPr>
        <w:t>, pp.1-11.  Available at: https://link.springer.com/article/10.1007/s11920-025-01602-y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3953C891" w14:textId="77777777" w:rsidR="0079063C" w:rsidRPr="0079063C" w:rsidRDefault="0079063C" w:rsidP="0079063C">
      <w:pPr>
        <w:spacing w:line="360" w:lineRule="auto"/>
        <w:jc w:val="both"/>
        <w:rPr>
          <w:shd w:val="clear" w:color="auto" w:fill="FFFFFF"/>
        </w:rPr>
      </w:pPr>
      <w:r w:rsidRPr="0079063C">
        <w:rPr>
          <w:shd w:val="clear" w:color="auto" w:fill="FFFFFF"/>
        </w:rPr>
        <w:t>Clothier, J.C. (</w:t>
      </w:r>
      <w:proofErr w:type="gramStart"/>
      <w:r w:rsidRPr="0079063C">
        <w:rPr>
          <w:shd w:val="clear" w:color="auto" w:fill="FFFFFF"/>
        </w:rPr>
        <w:t>2022) ‘</w:t>
      </w:r>
      <w:proofErr w:type="gramEnd"/>
      <w:r w:rsidRPr="0079063C">
        <w:rPr>
          <w:shd w:val="clear" w:color="auto" w:fill="FFFFFF"/>
        </w:rPr>
        <w:t>Practical approach to answering questions about bed wetting (enuresis) in children.’ </w:t>
      </w:r>
      <w:proofErr w:type="spellStart"/>
      <w:r w:rsidRPr="0079063C">
        <w:rPr>
          <w:i/>
          <w:iCs/>
          <w:shd w:val="clear" w:color="auto" w:fill="FFFFFF"/>
        </w:rPr>
        <w:t>Paediatrics</w:t>
      </w:r>
      <w:proofErr w:type="spellEnd"/>
      <w:r w:rsidRPr="0079063C">
        <w:rPr>
          <w:i/>
          <w:iCs/>
          <w:shd w:val="clear" w:color="auto" w:fill="FFFFFF"/>
        </w:rPr>
        <w:t xml:space="preserve"> and Child Health</w:t>
      </w:r>
      <w:r w:rsidRPr="0079063C">
        <w:rPr>
          <w:shd w:val="clear" w:color="auto" w:fill="FFFFFF"/>
        </w:rPr>
        <w:t>, </w:t>
      </w:r>
      <w:r w:rsidRPr="0079063C">
        <w:rPr>
          <w:i/>
          <w:iCs/>
          <w:shd w:val="clear" w:color="auto" w:fill="FFFFFF"/>
        </w:rPr>
        <w:t>32</w:t>
      </w:r>
      <w:r w:rsidRPr="0079063C">
        <w:rPr>
          <w:shd w:val="clear" w:color="auto" w:fill="FFFFFF"/>
        </w:rPr>
        <w:t xml:space="preserve">(7), pp.253-260. Available at: </w:t>
      </w:r>
      <w:hyperlink r:id="rId11" w:history="1">
        <w:r w:rsidRPr="0079063C">
          <w:rPr>
            <w:rStyle w:val="Hyperlink"/>
            <w:shd w:val="clear" w:color="auto" w:fill="FFFFFF"/>
          </w:rPr>
          <w:t>https://doi.org/10.1016/j.paed.2022.04.003</w:t>
        </w:r>
      </w:hyperlink>
      <w:r w:rsidRPr="0079063C">
        <w:rPr>
          <w:shd w:val="clear" w:color="auto" w:fill="FFFFFF"/>
        </w:rPr>
        <w:t xml:space="preserve"> </w:t>
      </w:r>
    </w:p>
    <w:p w14:paraId="5E423445"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t>Crișan</w:t>
      </w:r>
      <w:proofErr w:type="spellEnd"/>
      <w:r w:rsidRPr="0079063C">
        <w:rPr>
          <w:rFonts w:eastAsia="Times New Roman"/>
          <w:color w:val="000000" w:themeColor="text1"/>
          <w:szCs w:val="24"/>
          <w:lang w:val="en-GB"/>
        </w:rPr>
        <w:t xml:space="preserve">, C., Androne, B., Barbulescu, L.D. and Suciu, B.D. (2022). Nexus of delusions and overvalued ideas: a case of comorbid schizophrenia and anorexia in the view of the new ICD-11 classification system. </w:t>
      </w:r>
      <w:r w:rsidRPr="0079063C">
        <w:rPr>
          <w:rFonts w:eastAsia="Times New Roman"/>
          <w:i/>
          <w:iCs/>
          <w:color w:val="000000" w:themeColor="text1"/>
          <w:szCs w:val="24"/>
          <w:lang w:val="en-GB"/>
        </w:rPr>
        <w:t>The American journal of case reports</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23</w:t>
      </w:r>
      <w:r w:rsidRPr="0079063C">
        <w:rPr>
          <w:rFonts w:eastAsia="Times New Roman"/>
          <w:color w:val="000000" w:themeColor="text1"/>
          <w:szCs w:val="24"/>
          <w:lang w:val="en-GB"/>
        </w:rPr>
        <w:t>, pp.933759.  Available at: https://pmc.ncbi.nlm.nih.gov/articles/PMC8729308/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CDC33DA"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lastRenderedPageBreak/>
        <w:t xml:space="preserve">cuh.nhs.uk. (2025). </w:t>
      </w:r>
      <w:r w:rsidRPr="0079063C">
        <w:rPr>
          <w:rFonts w:eastAsia="Times New Roman"/>
          <w:i/>
          <w:iCs/>
          <w:color w:val="000000" w:themeColor="text1"/>
          <w:szCs w:val="24"/>
          <w:lang w:val="en-GB"/>
        </w:rPr>
        <w:t>Bladder and voiding problems in children</w:t>
      </w:r>
      <w:r w:rsidRPr="0079063C">
        <w:rPr>
          <w:rFonts w:eastAsia="Times New Roman"/>
          <w:color w:val="000000" w:themeColor="text1"/>
          <w:szCs w:val="24"/>
          <w:lang w:val="en-GB"/>
        </w:rPr>
        <w:t>. [online] Available at: https://www.cuh.nhs.uk/patient-information/bladder-and-voiding-problems-in-children/.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16BE048B" w14:textId="77777777" w:rsidR="0079063C" w:rsidRPr="0079063C" w:rsidRDefault="0079063C" w:rsidP="0079063C">
      <w:pPr>
        <w:spacing w:line="360" w:lineRule="auto"/>
        <w:jc w:val="both"/>
      </w:pPr>
      <w:r w:rsidRPr="0079063C">
        <w:rPr>
          <w:shd w:val="clear" w:color="auto" w:fill="FFFFFF"/>
        </w:rPr>
        <w:t>Di Vincenzo, M. (2023) ‘New research on validity and clinical utility of ICD</w:t>
      </w:r>
      <w:r w:rsidRPr="0079063C">
        <w:rPr>
          <w:rFonts w:ascii="Cambria Math" w:hAnsi="Cambria Math" w:cs="Cambria Math"/>
          <w:shd w:val="clear" w:color="auto" w:fill="FFFFFF"/>
        </w:rPr>
        <w:t>‐</w:t>
      </w:r>
      <w:r w:rsidRPr="0079063C">
        <w:rPr>
          <w:shd w:val="clear" w:color="auto" w:fill="FFFFFF"/>
        </w:rPr>
        <w:t>11 vs. ICD</w:t>
      </w:r>
      <w:r w:rsidRPr="0079063C">
        <w:rPr>
          <w:rFonts w:ascii="Cambria Math" w:hAnsi="Cambria Math" w:cs="Cambria Math"/>
          <w:shd w:val="clear" w:color="auto" w:fill="FFFFFF"/>
        </w:rPr>
        <w:t>‐</w:t>
      </w:r>
      <w:r w:rsidRPr="0079063C">
        <w:rPr>
          <w:shd w:val="clear" w:color="auto" w:fill="FFFFFF"/>
        </w:rPr>
        <w:t>10 and DSM</w:t>
      </w:r>
      <w:r w:rsidRPr="0079063C">
        <w:rPr>
          <w:rFonts w:ascii="Cambria Math" w:hAnsi="Cambria Math" w:cs="Cambria Math"/>
          <w:shd w:val="clear" w:color="auto" w:fill="FFFFFF"/>
        </w:rPr>
        <w:t>‐</w:t>
      </w:r>
      <w:r w:rsidRPr="0079063C">
        <w:rPr>
          <w:shd w:val="clear" w:color="auto" w:fill="FFFFFF"/>
        </w:rPr>
        <w:t>5 diagnostic categories.’ </w:t>
      </w:r>
      <w:r w:rsidRPr="0079063C">
        <w:rPr>
          <w:i/>
          <w:iCs/>
          <w:shd w:val="clear" w:color="auto" w:fill="FFFFFF"/>
        </w:rPr>
        <w:t>World Psychiatry</w:t>
      </w:r>
      <w:r w:rsidRPr="0079063C">
        <w:rPr>
          <w:shd w:val="clear" w:color="auto" w:fill="FFFFFF"/>
        </w:rPr>
        <w:t>, </w:t>
      </w:r>
      <w:r w:rsidRPr="0079063C">
        <w:rPr>
          <w:i/>
          <w:iCs/>
          <w:shd w:val="clear" w:color="auto" w:fill="FFFFFF"/>
        </w:rPr>
        <w:t>22</w:t>
      </w:r>
      <w:r w:rsidRPr="0079063C">
        <w:rPr>
          <w:shd w:val="clear" w:color="auto" w:fill="FFFFFF"/>
        </w:rPr>
        <w:t>(1), p.171.</w:t>
      </w:r>
      <w:r w:rsidRPr="0079063C">
        <w:t xml:space="preserve"> Available at: </w:t>
      </w:r>
      <w:hyperlink r:id="rId12" w:history="1">
        <w:r w:rsidRPr="0079063C">
          <w:rPr>
            <w:rStyle w:val="Hyperlink"/>
          </w:rPr>
          <w:t>https://doi.org/10.1002/wps.21053</w:t>
        </w:r>
      </w:hyperlink>
      <w:r w:rsidRPr="0079063C">
        <w:t xml:space="preserve"> </w:t>
      </w:r>
    </w:p>
    <w:p w14:paraId="12C113E1" w14:textId="77777777" w:rsidR="0079063C" w:rsidRPr="0079063C" w:rsidRDefault="0079063C" w:rsidP="0079063C">
      <w:pPr>
        <w:spacing w:line="360" w:lineRule="auto"/>
        <w:jc w:val="both"/>
      </w:pPr>
      <w:proofErr w:type="gramStart"/>
      <w:r w:rsidRPr="0079063C">
        <w:t>england.nhs.UK</w:t>
      </w:r>
      <w:proofErr w:type="gramEnd"/>
      <w:r w:rsidRPr="0079063C">
        <w:t xml:space="preserve"> (2023) </w:t>
      </w:r>
      <w:r w:rsidRPr="0079063C">
        <w:rPr>
          <w:i/>
          <w:iCs/>
        </w:rPr>
        <w:t>NHS Choices</w:t>
      </w:r>
      <w:r w:rsidRPr="0079063C">
        <w:t xml:space="preserve">. NHS. Available at: https://www.england.nhs.uk/long-read/improving-the-physical-health-of-people-living-with-severe-mental-illness/ (Accessed: 3 February 2026). </w:t>
      </w:r>
    </w:p>
    <w:p w14:paraId="142447E0"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Gacka, D., Czarnota, M., Wojcieszek, M., </w:t>
      </w:r>
      <w:proofErr w:type="spellStart"/>
      <w:r w:rsidRPr="0079063C">
        <w:rPr>
          <w:rFonts w:eastAsia="Times New Roman"/>
          <w:color w:val="000000" w:themeColor="text1"/>
          <w:szCs w:val="24"/>
          <w:lang w:val="en-GB"/>
        </w:rPr>
        <w:t>Żołnierek</w:t>
      </w:r>
      <w:proofErr w:type="spellEnd"/>
      <w:r w:rsidRPr="0079063C">
        <w:rPr>
          <w:rFonts w:eastAsia="Times New Roman"/>
          <w:color w:val="000000" w:themeColor="text1"/>
          <w:szCs w:val="24"/>
          <w:lang w:val="en-GB"/>
        </w:rPr>
        <w:t xml:space="preserve">, A., Gondek, K., Fidelis, M., </w:t>
      </w:r>
      <w:proofErr w:type="spellStart"/>
      <w:r w:rsidRPr="0079063C">
        <w:rPr>
          <w:rFonts w:eastAsia="Times New Roman"/>
          <w:color w:val="000000" w:themeColor="text1"/>
          <w:szCs w:val="24"/>
          <w:lang w:val="en-GB"/>
        </w:rPr>
        <w:t>Mączyńska</w:t>
      </w:r>
      <w:proofErr w:type="spellEnd"/>
      <w:r w:rsidRPr="0079063C">
        <w:rPr>
          <w:rFonts w:eastAsia="Times New Roman"/>
          <w:color w:val="000000" w:themeColor="text1"/>
          <w:szCs w:val="24"/>
          <w:lang w:val="en-GB"/>
        </w:rPr>
        <w:t xml:space="preserve">, A.A., </w:t>
      </w:r>
      <w:proofErr w:type="spellStart"/>
      <w:r w:rsidRPr="0079063C">
        <w:rPr>
          <w:rFonts w:eastAsia="Times New Roman"/>
          <w:color w:val="000000" w:themeColor="text1"/>
          <w:szCs w:val="24"/>
          <w:lang w:val="en-GB"/>
        </w:rPr>
        <w:t>Szumlińska</w:t>
      </w:r>
      <w:proofErr w:type="spellEnd"/>
      <w:r w:rsidRPr="0079063C">
        <w:rPr>
          <w:rFonts w:eastAsia="Times New Roman"/>
          <w:color w:val="000000" w:themeColor="text1"/>
          <w:szCs w:val="24"/>
          <w:lang w:val="en-GB"/>
        </w:rPr>
        <w:t>, W., Al-</w:t>
      </w:r>
      <w:proofErr w:type="spellStart"/>
      <w:r w:rsidRPr="0079063C">
        <w:rPr>
          <w:rFonts w:eastAsia="Times New Roman"/>
          <w:color w:val="000000" w:themeColor="text1"/>
          <w:szCs w:val="24"/>
          <w:lang w:val="en-GB"/>
        </w:rPr>
        <w:t>karawi</w:t>
      </w:r>
      <w:proofErr w:type="spellEnd"/>
      <w:r w:rsidRPr="0079063C">
        <w:rPr>
          <w:rFonts w:eastAsia="Times New Roman"/>
          <w:color w:val="000000" w:themeColor="text1"/>
          <w:szCs w:val="24"/>
          <w:lang w:val="en-GB"/>
        </w:rPr>
        <w:t xml:space="preserve">, N., </w:t>
      </w:r>
      <w:proofErr w:type="spellStart"/>
      <w:r w:rsidRPr="0079063C">
        <w:rPr>
          <w:rFonts w:eastAsia="Times New Roman"/>
          <w:color w:val="000000" w:themeColor="text1"/>
          <w:szCs w:val="24"/>
          <w:lang w:val="en-GB"/>
        </w:rPr>
        <w:t>Kędziorek</w:t>
      </w:r>
      <w:proofErr w:type="spellEnd"/>
      <w:r w:rsidRPr="0079063C">
        <w:rPr>
          <w:rFonts w:eastAsia="Times New Roman"/>
          <w:color w:val="000000" w:themeColor="text1"/>
          <w:szCs w:val="24"/>
          <w:lang w:val="en-GB"/>
        </w:rPr>
        <w:t xml:space="preserve">, P. and </w:t>
      </w:r>
      <w:proofErr w:type="spellStart"/>
      <w:r w:rsidRPr="0079063C">
        <w:rPr>
          <w:rFonts w:eastAsia="Times New Roman"/>
          <w:color w:val="000000" w:themeColor="text1"/>
          <w:szCs w:val="24"/>
          <w:lang w:val="en-GB"/>
        </w:rPr>
        <w:t>Tanç</w:t>
      </w:r>
      <w:proofErr w:type="spellEnd"/>
      <w:r w:rsidRPr="0079063C">
        <w:rPr>
          <w:rFonts w:eastAsia="Times New Roman"/>
          <w:color w:val="000000" w:themeColor="text1"/>
          <w:szCs w:val="24"/>
          <w:lang w:val="en-GB"/>
        </w:rPr>
        <w:t xml:space="preserve">, Z. (2025). Autism Spectrum Disorder in ICD-11: Diagnostic, Therapeutic and Identity-Related Implications of the Discontinuation of Asperger's Syndrome as a Separate Diagnosis. </w:t>
      </w:r>
      <w:r w:rsidRPr="0079063C">
        <w:rPr>
          <w:rFonts w:eastAsia="Times New Roman"/>
          <w:i/>
          <w:iCs/>
          <w:color w:val="000000" w:themeColor="text1"/>
          <w:szCs w:val="24"/>
          <w:lang w:val="en-GB"/>
        </w:rPr>
        <w:t>Journal of Education, Health and Sport</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83</w:t>
      </w:r>
      <w:r w:rsidRPr="0079063C">
        <w:rPr>
          <w:rFonts w:eastAsia="Times New Roman"/>
          <w:color w:val="000000" w:themeColor="text1"/>
          <w:szCs w:val="24"/>
          <w:lang w:val="en-GB"/>
        </w:rPr>
        <w:t>, pp.60689-60689.  Available at: https://apcz.umk.pl/JEHS/article/view/60689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4EE62B80" w14:textId="77777777" w:rsidR="0079063C" w:rsidRPr="0079063C" w:rsidRDefault="0079063C" w:rsidP="0079063C">
      <w:pPr>
        <w:shd w:val="clear" w:color="auto" w:fill="FFFFFF"/>
        <w:spacing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t>Gravador</w:t>
      </w:r>
      <w:proofErr w:type="spellEnd"/>
      <w:r w:rsidRPr="0079063C">
        <w:rPr>
          <w:rFonts w:eastAsia="Times New Roman"/>
          <w:color w:val="000000" w:themeColor="text1"/>
          <w:szCs w:val="24"/>
          <w:lang w:val="en-GB"/>
        </w:rPr>
        <w:t xml:space="preserve">, C. (2020). </w:t>
      </w:r>
      <w:r w:rsidRPr="0079063C">
        <w:rPr>
          <w:rFonts w:eastAsia="Times New Roman"/>
          <w:i/>
          <w:iCs/>
          <w:color w:val="000000" w:themeColor="text1"/>
          <w:szCs w:val="24"/>
          <w:lang w:val="en-GB"/>
        </w:rPr>
        <w:t xml:space="preserve">Elimination disorder - </w:t>
      </w:r>
      <w:proofErr w:type="spellStart"/>
      <w:r w:rsidRPr="0079063C">
        <w:rPr>
          <w:rFonts w:eastAsia="Times New Roman"/>
          <w:i/>
          <w:iCs/>
          <w:color w:val="000000" w:themeColor="text1"/>
          <w:szCs w:val="24"/>
          <w:lang w:val="en-GB"/>
        </w:rPr>
        <w:t>dsm</w:t>
      </w:r>
      <w:proofErr w:type="spellEnd"/>
      <w:r w:rsidRPr="0079063C">
        <w:rPr>
          <w:rFonts w:eastAsia="Times New Roman"/>
          <w:i/>
          <w:iCs/>
          <w:color w:val="000000" w:themeColor="text1"/>
          <w:szCs w:val="24"/>
          <w:lang w:val="en-GB"/>
        </w:rPr>
        <w:t xml:space="preserve"> V</w:t>
      </w:r>
      <w:r w:rsidRPr="0079063C">
        <w:rPr>
          <w:rFonts w:eastAsia="Times New Roman"/>
          <w:color w:val="000000" w:themeColor="text1"/>
          <w:szCs w:val="24"/>
          <w:lang w:val="en-GB"/>
        </w:rPr>
        <w:t xml:space="preserve">. [online] </w:t>
      </w:r>
      <w:proofErr w:type="spellStart"/>
      <w:r w:rsidRPr="0079063C">
        <w:rPr>
          <w:rFonts w:eastAsia="Times New Roman"/>
          <w:color w:val="000000" w:themeColor="text1"/>
          <w:szCs w:val="24"/>
          <w:lang w:val="en-GB"/>
        </w:rPr>
        <w:t>Slideshare</w:t>
      </w:r>
      <w:proofErr w:type="spellEnd"/>
      <w:r w:rsidRPr="0079063C">
        <w:rPr>
          <w:rFonts w:eastAsia="Times New Roman"/>
          <w:color w:val="000000" w:themeColor="text1"/>
          <w:szCs w:val="24"/>
          <w:lang w:val="en-GB"/>
        </w:rPr>
        <w:t>. Available at: https://www.slideshare.net/slideshow/elimination-disorder-dsm-v/44478129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6F1FA025"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t>Gureje</w:t>
      </w:r>
      <w:proofErr w:type="spellEnd"/>
      <w:r w:rsidRPr="0079063C">
        <w:rPr>
          <w:rFonts w:eastAsia="Times New Roman"/>
          <w:color w:val="000000" w:themeColor="text1"/>
          <w:szCs w:val="24"/>
          <w:lang w:val="en-GB"/>
        </w:rPr>
        <w:t>, O., De Guzman, M.L.R., Khaled, S.M., Ni, M.Y., Woodruff, P.W., Reed, G.M., Wong, C.S., Leung, C.M., Crisostomo, M., Borowski, S. and Hwang, I. (2025). The epidemiology of ICD</w:t>
      </w:r>
      <w:r w:rsidRPr="0079063C">
        <w:rPr>
          <w:rFonts w:ascii="Cambria Math" w:eastAsia="Times New Roman" w:hAnsi="Cambria Math" w:cs="Cambria Math"/>
          <w:color w:val="000000" w:themeColor="text1"/>
          <w:szCs w:val="24"/>
          <w:lang w:val="en-GB"/>
        </w:rPr>
        <w:t>‐</w:t>
      </w:r>
      <w:r w:rsidRPr="0079063C">
        <w:rPr>
          <w:rFonts w:eastAsia="Times New Roman"/>
          <w:color w:val="000000" w:themeColor="text1"/>
          <w:szCs w:val="24"/>
          <w:lang w:val="en-GB"/>
        </w:rPr>
        <w:t>11 bodily distress disorder and DSM</w:t>
      </w:r>
      <w:r w:rsidRPr="0079063C">
        <w:rPr>
          <w:rFonts w:ascii="Cambria Math" w:eastAsia="Times New Roman" w:hAnsi="Cambria Math" w:cs="Cambria Math"/>
          <w:color w:val="000000" w:themeColor="text1"/>
          <w:szCs w:val="24"/>
          <w:lang w:val="en-GB"/>
        </w:rPr>
        <w:t>‐</w:t>
      </w:r>
      <w:r w:rsidRPr="0079063C">
        <w:rPr>
          <w:rFonts w:eastAsia="Times New Roman"/>
          <w:color w:val="000000" w:themeColor="text1"/>
          <w:szCs w:val="24"/>
          <w:lang w:val="en-GB"/>
        </w:rPr>
        <w:t>5 somatic symptom disorder in new large</w:t>
      </w:r>
      <w:r w:rsidRPr="0079063C">
        <w:rPr>
          <w:rFonts w:ascii="Cambria Math" w:eastAsia="Times New Roman" w:hAnsi="Cambria Math" w:cs="Cambria Math"/>
          <w:color w:val="000000" w:themeColor="text1"/>
          <w:szCs w:val="24"/>
          <w:lang w:val="en-GB"/>
        </w:rPr>
        <w:t>‐</w:t>
      </w:r>
      <w:r w:rsidRPr="0079063C">
        <w:rPr>
          <w:rFonts w:eastAsia="Times New Roman"/>
          <w:color w:val="000000" w:themeColor="text1"/>
          <w:szCs w:val="24"/>
          <w:lang w:val="en-GB"/>
        </w:rPr>
        <w:t xml:space="preserve">scale population surveys within the World Mental Health Survey Initiative. </w:t>
      </w:r>
      <w:r w:rsidRPr="0079063C">
        <w:rPr>
          <w:rFonts w:eastAsia="Times New Roman"/>
          <w:i/>
          <w:iCs/>
          <w:color w:val="000000" w:themeColor="text1"/>
          <w:szCs w:val="24"/>
          <w:lang w:val="en-GB"/>
        </w:rPr>
        <w:t>World Psychiatry</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24</w:t>
      </w:r>
      <w:r w:rsidRPr="0079063C">
        <w:rPr>
          <w:rFonts w:eastAsia="Times New Roman"/>
          <w:color w:val="000000" w:themeColor="text1"/>
          <w:szCs w:val="24"/>
          <w:lang w:val="en-GB"/>
        </w:rPr>
        <w:t>(3), pp.395-403.  Available at: https://onlinelibrary.wiley.com/doi/abs/10.1002/wps.21353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B4F92B2" w14:textId="77777777" w:rsidR="0079063C" w:rsidRPr="0079063C" w:rsidRDefault="0079063C" w:rsidP="0079063C">
      <w:pPr>
        <w:spacing w:line="360" w:lineRule="auto"/>
        <w:jc w:val="both"/>
      </w:pPr>
      <w:r w:rsidRPr="0079063C">
        <w:rPr>
          <w:shd w:val="clear" w:color="auto" w:fill="FFFFFF"/>
        </w:rPr>
        <w:t xml:space="preserve">Hajebrahimi, S., Darvishi, A., </w:t>
      </w:r>
      <w:proofErr w:type="spellStart"/>
      <w:r w:rsidRPr="0079063C">
        <w:rPr>
          <w:shd w:val="clear" w:color="auto" w:fill="FFFFFF"/>
        </w:rPr>
        <w:t>Hajebrahimi</w:t>
      </w:r>
      <w:proofErr w:type="spellEnd"/>
      <w:r w:rsidRPr="0079063C">
        <w:rPr>
          <w:shd w:val="clear" w:color="auto" w:fill="FFFFFF"/>
        </w:rPr>
        <w:t xml:space="preserve">, R., Asadi, N., Jafari Shendi, Z., </w:t>
      </w:r>
      <w:proofErr w:type="spellStart"/>
      <w:r w:rsidRPr="0079063C">
        <w:rPr>
          <w:shd w:val="clear" w:color="auto" w:fill="FFFFFF"/>
        </w:rPr>
        <w:t>Asiaban</w:t>
      </w:r>
      <w:proofErr w:type="spellEnd"/>
      <w:r w:rsidRPr="0079063C">
        <w:rPr>
          <w:shd w:val="clear" w:color="auto" w:fill="FFFFFF"/>
        </w:rPr>
        <w:t>, N., Naseri, A., Sadeghi</w:t>
      </w:r>
      <w:r w:rsidRPr="0079063C">
        <w:rPr>
          <w:rFonts w:ascii="Cambria Math" w:hAnsi="Cambria Math" w:cs="Cambria Math"/>
          <w:shd w:val="clear" w:color="auto" w:fill="FFFFFF"/>
        </w:rPr>
        <w:t>‐</w:t>
      </w:r>
      <w:proofErr w:type="spellStart"/>
      <w:r w:rsidRPr="0079063C">
        <w:rPr>
          <w:shd w:val="clear" w:color="auto" w:fill="FFFFFF"/>
        </w:rPr>
        <w:t>Ghyassi</w:t>
      </w:r>
      <w:proofErr w:type="spellEnd"/>
      <w:r w:rsidRPr="0079063C">
        <w:rPr>
          <w:shd w:val="clear" w:color="auto" w:fill="FFFFFF"/>
        </w:rPr>
        <w:t>, F., Mostafaei, H. and Salehi</w:t>
      </w:r>
      <w:r w:rsidRPr="0079063C">
        <w:rPr>
          <w:rFonts w:ascii="Cambria Math" w:hAnsi="Cambria Math" w:cs="Cambria Math"/>
          <w:shd w:val="clear" w:color="auto" w:fill="FFFFFF"/>
        </w:rPr>
        <w:t>‐</w:t>
      </w:r>
      <w:proofErr w:type="spellStart"/>
      <w:r w:rsidRPr="0079063C">
        <w:rPr>
          <w:shd w:val="clear" w:color="auto" w:fill="FFFFFF"/>
        </w:rPr>
        <w:t>Pourmehr</w:t>
      </w:r>
      <w:proofErr w:type="spellEnd"/>
      <w:r w:rsidRPr="0079063C">
        <w:rPr>
          <w:shd w:val="clear" w:color="auto" w:fill="FFFFFF"/>
        </w:rPr>
        <w:t>, H. (2024) ‘Efficacy and safety of desmopressin in nocturia and nocturnal polyuria control of neurological patients: A systematic review and meta</w:t>
      </w:r>
      <w:r w:rsidRPr="0079063C">
        <w:rPr>
          <w:rFonts w:ascii="Cambria Math" w:hAnsi="Cambria Math" w:cs="Cambria Math"/>
          <w:shd w:val="clear" w:color="auto" w:fill="FFFFFF"/>
        </w:rPr>
        <w:t>‐</w:t>
      </w:r>
      <w:r w:rsidRPr="0079063C">
        <w:rPr>
          <w:shd w:val="clear" w:color="auto" w:fill="FFFFFF"/>
        </w:rPr>
        <w:t>analysis.’ </w:t>
      </w:r>
      <w:proofErr w:type="spellStart"/>
      <w:r w:rsidRPr="0079063C">
        <w:rPr>
          <w:i/>
          <w:iCs/>
          <w:shd w:val="clear" w:color="auto" w:fill="FFFFFF"/>
        </w:rPr>
        <w:t>Neurourology</w:t>
      </w:r>
      <w:proofErr w:type="spellEnd"/>
      <w:r w:rsidRPr="0079063C">
        <w:rPr>
          <w:i/>
          <w:iCs/>
          <w:shd w:val="clear" w:color="auto" w:fill="FFFFFF"/>
        </w:rPr>
        <w:t xml:space="preserve"> and Urodynamics</w:t>
      </w:r>
      <w:r w:rsidRPr="0079063C">
        <w:rPr>
          <w:shd w:val="clear" w:color="auto" w:fill="FFFFFF"/>
        </w:rPr>
        <w:t>, </w:t>
      </w:r>
      <w:r w:rsidRPr="0079063C">
        <w:rPr>
          <w:i/>
          <w:iCs/>
          <w:shd w:val="clear" w:color="auto" w:fill="FFFFFF"/>
        </w:rPr>
        <w:t>43</w:t>
      </w:r>
      <w:r w:rsidRPr="0079063C">
        <w:rPr>
          <w:shd w:val="clear" w:color="auto" w:fill="FFFFFF"/>
        </w:rPr>
        <w:t>(1), pp.167-182.</w:t>
      </w:r>
      <w:r w:rsidRPr="0079063C">
        <w:t xml:space="preserve"> Available at: </w:t>
      </w:r>
      <w:hyperlink r:id="rId13" w:history="1">
        <w:r w:rsidRPr="0079063C">
          <w:rPr>
            <w:rStyle w:val="Hyperlink"/>
          </w:rPr>
          <w:t>https://doi.org/10.1002/nau.25291</w:t>
        </w:r>
      </w:hyperlink>
      <w:r w:rsidRPr="0079063C">
        <w:t xml:space="preserve"> </w:t>
      </w:r>
    </w:p>
    <w:p w14:paraId="26BB75D5"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lastRenderedPageBreak/>
        <w:t>Hualparuca</w:t>
      </w:r>
      <w:proofErr w:type="spellEnd"/>
      <w:r w:rsidRPr="0079063C">
        <w:rPr>
          <w:rFonts w:eastAsia="Times New Roman"/>
          <w:color w:val="000000" w:themeColor="text1"/>
          <w:szCs w:val="24"/>
          <w:lang w:val="en-GB"/>
        </w:rPr>
        <w:t xml:space="preserve">-Olivera, L. and Palomino, E.P.B. (2023). Expansion of knowledge, practice and public policy with the ICD-11 for psychologists and mental health professionals: A literature review and critical analysis. </w:t>
      </w:r>
      <w:r w:rsidRPr="0079063C">
        <w:rPr>
          <w:rFonts w:eastAsia="Times New Roman"/>
          <w:i/>
          <w:iCs/>
          <w:color w:val="000000" w:themeColor="text1"/>
          <w:szCs w:val="24"/>
          <w:lang w:val="en-GB"/>
        </w:rPr>
        <w:t xml:space="preserve">LIBERABIT. Revista Peruana de </w:t>
      </w:r>
      <w:proofErr w:type="spellStart"/>
      <w:r w:rsidRPr="0079063C">
        <w:rPr>
          <w:rFonts w:eastAsia="Times New Roman"/>
          <w:i/>
          <w:iCs/>
          <w:color w:val="000000" w:themeColor="text1"/>
          <w:szCs w:val="24"/>
          <w:lang w:val="en-GB"/>
        </w:rPr>
        <w:t>Psicología</w:t>
      </w:r>
      <w:proofErr w:type="spellEnd"/>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29</w:t>
      </w:r>
      <w:r w:rsidRPr="0079063C">
        <w:rPr>
          <w:rFonts w:eastAsia="Times New Roman"/>
          <w:color w:val="000000" w:themeColor="text1"/>
          <w:szCs w:val="24"/>
          <w:lang w:val="en-GB"/>
        </w:rPr>
        <w:t>(1), pp.1-38.  Available at: https://www.redalyc.org/journal/686/68675542007/68675542007.pdf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00A42494"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proofErr w:type="spellStart"/>
      <w:r w:rsidRPr="0079063C">
        <w:rPr>
          <w:rFonts w:eastAsia="Times New Roman"/>
          <w:color w:val="000000" w:themeColor="text1"/>
          <w:szCs w:val="24"/>
          <w:lang w:val="en-GB"/>
        </w:rPr>
        <w:t>Hualparuca</w:t>
      </w:r>
      <w:proofErr w:type="spellEnd"/>
      <w:r w:rsidRPr="0079063C">
        <w:rPr>
          <w:rFonts w:eastAsia="Times New Roman"/>
          <w:color w:val="000000" w:themeColor="text1"/>
          <w:szCs w:val="24"/>
          <w:lang w:val="en-GB"/>
        </w:rPr>
        <w:t>-Olivera, L., Caycho-Rodríguez, T., Torales, J., Ramos-Vera, C., Vigo-</w:t>
      </w:r>
      <w:proofErr w:type="spellStart"/>
      <w:r w:rsidRPr="0079063C">
        <w:rPr>
          <w:rFonts w:eastAsia="Times New Roman"/>
          <w:color w:val="000000" w:themeColor="text1"/>
          <w:szCs w:val="24"/>
          <w:lang w:val="en-GB"/>
        </w:rPr>
        <w:t>Ayasta</w:t>
      </w:r>
      <w:proofErr w:type="spellEnd"/>
      <w:r w:rsidRPr="0079063C">
        <w:rPr>
          <w:rFonts w:eastAsia="Times New Roman"/>
          <w:color w:val="000000" w:themeColor="text1"/>
          <w:szCs w:val="24"/>
          <w:lang w:val="en-GB"/>
        </w:rPr>
        <w:t xml:space="preserve">, E. and </w:t>
      </w:r>
      <w:proofErr w:type="spellStart"/>
      <w:r w:rsidRPr="0079063C">
        <w:rPr>
          <w:rFonts w:eastAsia="Times New Roman"/>
          <w:color w:val="000000" w:themeColor="text1"/>
          <w:szCs w:val="24"/>
          <w:lang w:val="en-GB"/>
        </w:rPr>
        <w:t>Ventriglio</w:t>
      </w:r>
      <w:proofErr w:type="spellEnd"/>
      <w:r w:rsidRPr="0079063C">
        <w:rPr>
          <w:rFonts w:eastAsia="Times New Roman"/>
          <w:color w:val="000000" w:themeColor="text1"/>
          <w:szCs w:val="24"/>
          <w:lang w:val="en-GB"/>
        </w:rPr>
        <w:t xml:space="preserve">, A. (2025). Clinical Utility of ICD-11 Clinical Descriptions and Diagnostic Requirements for the Classification of Mental, Behavioural or Neurodevelopmental Disorders: A Systematic Review. </w:t>
      </w:r>
      <w:r w:rsidRPr="0079063C">
        <w:rPr>
          <w:rFonts w:eastAsia="Times New Roman"/>
          <w:i/>
          <w:iCs/>
          <w:color w:val="000000" w:themeColor="text1"/>
          <w:szCs w:val="24"/>
          <w:lang w:val="en-GB"/>
        </w:rPr>
        <w:t>Psychological Reports</w:t>
      </w:r>
      <w:r w:rsidRPr="0079063C">
        <w:rPr>
          <w:rFonts w:eastAsia="Times New Roman"/>
          <w:color w:val="000000" w:themeColor="text1"/>
          <w:szCs w:val="24"/>
          <w:lang w:val="en-GB"/>
        </w:rPr>
        <w:t>, p.00332941251335596.  Available at: https://journals.sagepub.com/doi/abs/10.1177/00332941251335596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341BFE15" w14:textId="77777777" w:rsidR="0079063C" w:rsidRPr="0079063C" w:rsidRDefault="0079063C" w:rsidP="0079063C">
      <w:pPr>
        <w:spacing w:line="360" w:lineRule="auto"/>
        <w:jc w:val="both"/>
      </w:pPr>
      <w:r w:rsidRPr="0079063C">
        <w:t xml:space="preserve">iccpp.org (2025). Mental, </w:t>
      </w:r>
      <w:proofErr w:type="spellStart"/>
      <w:r w:rsidRPr="0079063C">
        <w:t>behavioural</w:t>
      </w:r>
      <w:proofErr w:type="spellEnd"/>
      <w:r w:rsidRPr="0079063C">
        <w:t xml:space="preserve"> or neurodevelopmental disorders. Available at: https://www.iccpp.org/wp-content/uploads/2021/08/ICD-11.pdf? (Accessed: 3 February 2026).</w:t>
      </w:r>
    </w:p>
    <w:p w14:paraId="30EF4DF0"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Li, Y., He, Z., Liu, Z., Peng, N., Xiao, Y., Ye, Y. and Zhou, X. (2025). Adverse Childhood Experiences and the Diagnosis of ICD-11 post-traumatic stress disorder or Complex Post-traumatic stress disorder: A Systematic Review and Three-level Meta-analysis. </w:t>
      </w:r>
      <w:r w:rsidRPr="0079063C">
        <w:rPr>
          <w:rFonts w:eastAsia="Times New Roman"/>
          <w:i/>
          <w:iCs/>
          <w:color w:val="000000" w:themeColor="text1"/>
          <w:szCs w:val="24"/>
          <w:lang w:val="en-GB"/>
        </w:rPr>
        <w:t>Trauma, Violence, &amp; Abuse</w:t>
      </w:r>
      <w:r w:rsidRPr="0079063C">
        <w:rPr>
          <w:rFonts w:eastAsia="Times New Roman"/>
          <w:color w:val="000000" w:themeColor="text1"/>
          <w:szCs w:val="24"/>
          <w:lang w:val="en-GB"/>
        </w:rPr>
        <w:t>, pp.15248380251336188.  Available at: https://journals.sagepub.com/doi/abs/10.1177/15248380251336188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678DBB27" w14:textId="77777777" w:rsidR="0079063C" w:rsidRPr="0079063C" w:rsidRDefault="0079063C" w:rsidP="0079063C">
      <w:pPr>
        <w:spacing w:line="360" w:lineRule="auto"/>
        <w:jc w:val="both"/>
      </w:pPr>
      <w:r w:rsidRPr="0079063C">
        <w:rPr>
          <w:shd w:val="clear" w:color="auto" w:fill="FFFFFF"/>
        </w:rPr>
        <w:t>Moore</w:t>
      </w:r>
      <w:r w:rsidRPr="0079063C">
        <w:rPr>
          <w:rFonts w:ascii="Cambria Math" w:hAnsi="Cambria Math" w:cs="Cambria Math"/>
          <w:shd w:val="clear" w:color="auto" w:fill="FFFFFF"/>
        </w:rPr>
        <w:t>‐</w:t>
      </w:r>
      <w:r w:rsidRPr="0079063C">
        <w:rPr>
          <w:shd w:val="clear" w:color="auto" w:fill="FFFFFF"/>
        </w:rPr>
        <w:t>Hepburn, C. and Rieder, M. (2022) ‘</w:t>
      </w:r>
      <w:proofErr w:type="spellStart"/>
      <w:r w:rsidRPr="0079063C">
        <w:rPr>
          <w:shd w:val="clear" w:color="auto" w:fill="FFFFFF"/>
        </w:rPr>
        <w:t>Paediatric</w:t>
      </w:r>
      <w:proofErr w:type="spellEnd"/>
      <w:r w:rsidRPr="0079063C">
        <w:rPr>
          <w:shd w:val="clear" w:color="auto" w:fill="FFFFFF"/>
        </w:rPr>
        <w:t xml:space="preserve"> pharmacotherapy and drug regulation: Moving past the therapeutic orphan.’ </w:t>
      </w:r>
      <w:r w:rsidRPr="0079063C">
        <w:rPr>
          <w:i/>
          <w:iCs/>
          <w:shd w:val="clear" w:color="auto" w:fill="FFFFFF"/>
        </w:rPr>
        <w:t>British Journal of Clinical Pharmacology</w:t>
      </w:r>
      <w:r w:rsidRPr="0079063C">
        <w:rPr>
          <w:shd w:val="clear" w:color="auto" w:fill="FFFFFF"/>
        </w:rPr>
        <w:t>, </w:t>
      </w:r>
      <w:r w:rsidRPr="0079063C">
        <w:rPr>
          <w:i/>
          <w:iCs/>
          <w:shd w:val="clear" w:color="auto" w:fill="FFFFFF"/>
        </w:rPr>
        <w:t>88</w:t>
      </w:r>
      <w:r w:rsidRPr="0079063C">
        <w:rPr>
          <w:shd w:val="clear" w:color="auto" w:fill="FFFFFF"/>
        </w:rPr>
        <w:t>(10), pp.4250-4257.</w:t>
      </w:r>
      <w:r w:rsidRPr="0079063C">
        <w:t xml:space="preserve"> Available at: </w:t>
      </w:r>
      <w:hyperlink r:id="rId14" w:history="1">
        <w:r w:rsidRPr="0079063C">
          <w:rPr>
            <w:rStyle w:val="Hyperlink"/>
          </w:rPr>
          <w:t>https://doi.org/10.1111/bcp.14769</w:t>
        </w:r>
      </w:hyperlink>
      <w:r w:rsidRPr="0079063C">
        <w:t xml:space="preserve"> </w:t>
      </w:r>
    </w:p>
    <w:p w14:paraId="4351A9E3"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nhs.uk, (2023). </w:t>
      </w:r>
      <w:r w:rsidRPr="0079063C">
        <w:rPr>
          <w:rFonts w:eastAsia="Times New Roman"/>
          <w:i/>
          <w:iCs/>
          <w:color w:val="000000" w:themeColor="text1"/>
          <w:szCs w:val="24"/>
          <w:lang w:val="en-GB"/>
        </w:rPr>
        <w:t>Bedwetting in children</w:t>
      </w:r>
      <w:r w:rsidRPr="0079063C">
        <w:rPr>
          <w:rFonts w:eastAsia="Times New Roman"/>
          <w:color w:val="000000" w:themeColor="text1"/>
          <w:szCs w:val="24"/>
          <w:lang w:val="en-GB"/>
        </w:rPr>
        <w:t>. [online] nhs.uk. Available at: https://www.nhs.uk/symptoms/bedwetting/.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EEF3C0A"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Pan, B. and Wang, W. (2024). Practical implications of ICD-11 personality disorder classifications. </w:t>
      </w:r>
      <w:r w:rsidRPr="0079063C">
        <w:rPr>
          <w:rFonts w:eastAsia="Times New Roman"/>
          <w:i/>
          <w:iCs/>
          <w:color w:val="000000" w:themeColor="text1"/>
          <w:szCs w:val="24"/>
          <w:lang w:val="en-GB"/>
        </w:rPr>
        <w:t>BMC Psychiatry</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24</w:t>
      </w:r>
      <w:r w:rsidRPr="0079063C">
        <w:rPr>
          <w:rFonts w:eastAsia="Times New Roman"/>
          <w:color w:val="000000" w:themeColor="text1"/>
          <w:szCs w:val="24"/>
          <w:lang w:val="en-GB"/>
        </w:rPr>
        <w:t>(1), p.191.  Available at: https://link.springer.com/article/10.1186/s12888-024-05640-3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ADF058E" w14:textId="77777777" w:rsidR="0079063C" w:rsidRPr="0079063C" w:rsidRDefault="0079063C" w:rsidP="0079063C">
      <w:pPr>
        <w:spacing w:line="360" w:lineRule="auto"/>
        <w:jc w:val="both"/>
      </w:pPr>
      <w:r w:rsidRPr="0079063C">
        <w:rPr>
          <w:shd w:val="clear" w:color="auto" w:fill="FFFFFF"/>
        </w:rPr>
        <w:t>Peate, I. (</w:t>
      </w:r>
      <w:proofErr w:type="gramStart"/>
      <w:r w:rsidRPr="0079063C">
        <w:rPr>
          <w:shd w:val="clear" w:color="auto" w:fill="FFFFFF"/>
        </w:rPr>
        <w:t>2024) ‘</w:t>
      </w:r>
      <w:proofErr w:type="gramEnd"/>
      <w:r w:rsidRPr="0079063C">
        <w:rPr>
          <w:shd w:val="clear" w:color="auto" w:fill="FFFFFF"/>
        </w:rPr>
        <w:t xml:space="preserve">Activities of living, 6: eliminating urine and </w:t>
      </w:r>
      <w:proofErr w:type="spellStart"/>
      <w:r w:rsidRPr="0079063C">
        <w:rPr>
          <w:shd w:val="clear" w:color="auto" w:fill="FFFFFF"/>
        </w:rPr>
        <w:t>faeces</w:t>
      </w:r>
      <w:proofErr w:type="spellEnd"/>
      <w:r w:rsidRPr="0079063C">
        <w:rPr>
          <w:shd w:val="clear" w:color="auto" w:fill="FFFFFF"/>
        </w:rPr>
        <w:t>.’ </w:t>
      </w:r>
      <w:r w:rsidRPr="0079063C">
        <w:rPr>
          <w:i/>
          <w:iCs/>
          <w:shd w:val="clear" w:color="auto" w:fill="FFFFFF"/>
        </w:rPr>
        <w:t>British Journal of Healthcare Assistants</w:t>
      </w:r>
      <w:r w:rsidRPr="0079063C">
        <w:rPr>
          <w:shd w:val="clear" w:color="auto" w:fill="FFFFFF"/>
        </w:rPr>
        <w:t>, </w:t>
      </w:r>
      <w:r w:rsidRPr="0079063C">
        <w:rPr>
          <w:i/>
          <w:iCs/>
          <w:shd w:val="clear" w:color="auto" w:fill="FFFFFF"/>
        </w:rPr>
        <w:t>18</w:t>
      </w:r>
      <w:r w:rsidRPr="0079063C">
        <w:rPr>
          <w:shd w:val="clear" w:color="auto" w:fill="FFFFFF"/>
        </w:rPr>
        <w:t>(6), pp.224-230.</w:t>
      </w:r>
      <w:r w:rsidRPr="0079063C">
        <w:t xml:space="preserve"> Available at: </w:t>
      </w:r>
      <w:hyperlink r:id="rId15" w:history="1">
        <w:r w:rsidRPr="0079063C">
          <w:rPr>
            <w:rStyle w:val="Hyperlink"/>
          </w:rPr>
          <w:t>https://doi.org/10.12968/bjha.2024.18.6.224</w:t>
        </w:r>
      </w:hyperlink>
      <w:r w:rsidRPr="0079063C">
        <w:t xml:space="preserve"> </w:t>
      </w:r>
    </w:p>
    <w:p w14:paraId="48E4DBB9"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lastRenderedPageBreak/>
        <w:t xml:space="preserve">Reed, G.M. (2023). Development and Innovation in the Mental, Neurodevelopmental ICD-11 Behavioural Chapter. </w:t>
      </w:r>
      <w:r w:rsidRPr="0079063C">
        <w:rPr>
          <w:rFonts w:eastAsia="Times New Roman"/>
          <w:i/>
          <w:iCs/>
          <w:color w:val="000000" w:themeColor="text1"/>
          <w:szCs w:val="24"/>
          <w:lang w:val="en-GB"/>
        </w:rPr>
        <w:t>Making Sense of the ICD-11: For Mental Health Professionals</w:t>
      </w:r>
      <w:r w:rsidRPr="0079063C">
        <w:rPr>
          <w:rFonts w:eastAsia="Times New Roman"/>
          <w:color w:val="000000" w:themeColor="text1"/>
          <w:szCs w:val="24"/>
          <w:lang w:val="en-GB"/>
        </w:rPr>
        <w:t>, pp.5.  Available at: https://books.google.com/books?hl=en&amp;lr=&amp;id=0PHSEAAAQBAJ&amp;oi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0ECE1875" w14:textId="77777777" w:rsidR="0079063C" w:rsidRPr="0079063C" w:rsidRDefault="0079063C" w:rsidP="0079063C">
      <w:pPr>
        <w:spacing w:line="360" w:lineRule="auto"/>
        <w:jc w:val="both"/>
      </w:pPr>
      <w:r w:rsidRPr="0079063C">
        <w:rPr>
          <w:shd w:val="clear" w:color="auto" w:fill="FFFFFF"/>
        </w:rPr>
        <w:t xml:space="preserve">Robles, R., de la Peña, F.R., Medina-Mora, M.E., de </w:t>
      </w:r>
      <w:proofErr w:type="spellStart"/>
      <w:r w:rsidRPr="0079063C">
        <w:rPr>
          <w:shd w:val="clear" w:color="auto" w:fill="FFFFFF"/>
        </w:rPr>
        <w:t>los</w:t>
      </w:r>
      <w:proofErr w:type="spellEnd"/>
      <w:r w:rsidRPr="0079063C">
        <w:rPr>
          <w:shd w:val="clear" w:color="auto" w:fill="FFFFFF"/>
        </w:rPr>
        <w:t xml:space="preserve"> Dolores Márquez-Caraveo, M.E., Domínguez, T., Juárez, F., Rojas, A.G., Sarmiento-Hernández, E.I., Feria, M., Sosa, L. and Aguerre, R.E. (2022) ‘ICD-11 guidelines for mental and </w:t>
      </w:r>
      <w:proofErr w:type="spellStart"/>
      <w:r w:rsidRPr="0079063C">
        <w:rPr>
          <w:shd w:val="clear" w:color="auto" w:fill="FFFFFF"/>
        </w:rPr>
        <w:t>behavioural</w:t>
      </w:r>
      <w:proofErr w:type="spellEnd"/>
      <w:r w:rsidRPr="0079063C">
        <w:rPr>
          <w:shd w:val="clear" w:color="auto" w:fill="FFFFFF"/>
        </w:rPr>
        <w:t xml:space="preserve"> disorders of children and adolescents: reliability and clinical utility.’ </w:t>
      </w:r>
      <w:r w:rsidRPr="0079063C">
        <w:rPr>
          <w:i/>
          <w:iCs/>
          <w:shd w:val="clear" w:color="auto" w:fill="FFFFFF"/>
        </w:rPr>
        <w:t>Psychiatric services</w:t>
      </w:r>
      <w:r w:rsidRPr="0079063C">
        <w:rPr>
          <w:shd w:val="clear" w:color="auto" w:fill="FFFFFF"/>
        </w:rPr>
        <w:t>, </w:t>
      </w:r>
      <w:r w:rsidRPr="0079063C">
        <w:rPr>
          <w:i/>
          <w:iCs/>
          <w:shd w:val="clear" w:color="auto" w:fill="FFFFFF"/>
        </w:rPr>
        <w:t>73</w:t>
      </w:r>
      <w:r w:rsidRPr="0079063C">
        <w:rPr>
          <w:shd w:val="clear" w:color="auto" w:fill="FFFFFF"/>
        </w:rPr>
        <w:t>(4), pp.396-402.</w:t>
      </w:r>
      <w:r w:rsidRPr="0079063C">
        <w:t xml:space="preserve"> Available at: </w:t>
      </w:r>
      <w:hyperlink r:id="rId16" w:history="1">
        <w:r w:rsidRPr="0079063C">
          <w:rPr>
            <w:rStyle w:val="Hyperlink"/>
          </w:rPr>
          <w:t>https://doi.org/10.1176/appi.ps.202000830</w:t>
        </w:r>
      </w:hyperlink>
      <w:r w:rsidRPr="0079063C">
        <w:t xml:space="preserve"> </w:t>
      </w:r>
    </w:p>
    <w:p w14:paraId="138D0897"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Treml, J., Linde, K., </w:t>
      </w:r>
      <w:proofErr w:type="spellStart"/>
      <w:r w:rsidRPr="0079063C">
        <w:rPr>
          <w:rFonts w:eastAsia="Times New Roman"/>
          <w:color w:val="000000" w:themeColor="text1"/>
          <w:szCs w:val="24"/>
          <w:lang w:val="en-GB"/>
        </w:rPr>
        <w:t>Brähler</w:t>
      </w:r>
      <w:proofErr w:type="spellEnd"/>
      <w:r w:rsidRPr="0079063C">
        <w:rPr>
          <w:rFonts w:eastAsia="Times New Roman"/>
          <w:color w:val="000000" w:themeColor="text1"/>
          <w:szCs w:val="24"/>
          <w:lang w:val="en-GB"/>
        </w:rPr>
        <w:t xml:space="preserve">, E. and Kersting, A. (2024). Prolonged grief disorder in ICD-11 and DSM-5-TR: differences in prevalence and diagnostic criteria. </w:t>
      </w:r>
      <w:r w:rsidRPr="0079063C">
        <w:rPr>
          <w:rFonts w:eastAsia="Times New Roman"/>
          <w:i/>
          <w:iCs/>
          <w:color w:val="000000" w:themeColor="text1"/>
          <w:szCs w:val="24"/>
          <w:lang w:val="en-GB"/>
        </w:rPr>
        <w:t>Frontiers in Psychiatry</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15</w:t>
      </w:r>
      <w:r w:rsidRPr="0079063C">
        <w:rPr>
          <w:rFonts w:eastAsia="Times New Roman"/>
          <w:color w:val="000000" w:themeColor="text1"/>
          <w:szCs w:val="24"/>
          <w:lang w:val="en-GB"/>
        </w:rPr>
        <w:t>, pp.126-6132.  Available at: https://www.frontiersin.org/journals/psychiatry/articles/10.3389/fpsyt.2024.1266132/full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48F324B" w14:textId="77777777" w:rsidR="0079063C" w:rsidRPr="0079063C" w:rsidRDefault="0079063C" w:rsidP="0079063C">
      <w:pPr>
        <w:shd w:val="clear" w:color="auto" w:fill="FFFFFF"/>
        <w:spacing w:before="240" w:after="240" w:line="360" w:lineRule="auto"/>
        <w:jc w:val="both"/>
        <w:rPr>
          <w:rFonts w:eastAsia="Times New Roman"/>
          <w:color w:val="000000" w:themeColor="text1"/>
          <w:szCs w:val="24"/>
          <w:lang w:val="en-GB"/>
        </w:rPr>
      </w:pPr>
      <w:r w:rsidRPr="0079063C">
        <w:rPr>
          <w:rFonts w:eastAsia="Times New Roman"/>
          <w:color w:val="000000" w:themeColor="text1"/>
          <w:szCs w:val="24"/>
          <w:lang w:val="en-GB"/>
        </w:rPr>
        <w:t xml:space="preserve">Yoo-Kyung, B.O.O. (2023). A Study on ICD-11 through Mapping to KCD-8-Focusing on the Circulatory and Respiratory System. </w:t>
      </w:r>
      <w:r w:rsidRPr="0079063C">
        <w:rPr>
          <w:rFonts w:eastAsia="Times New Roman"/>
          <w:i/>
          <w:iCs/>
          <w:color w:val="000000" w:themeColor="text1"/>
          <w:szCs w:val="24"/>
          <w:lang w:val="en-GB"/>
        </w:rPr>
        <w:t>Journal of Wellbeing Management and Applied Psychology</w:t>
      </w:r>
      <w:r w:rsidRPr="0079063C">
        <w:rPr>
          <w:rFonts w:eastAsia="Times New Roman"/>
          <w:color w:val="000000" w:themeColor="text1"/>
          <w:szCs w:val="24"/>
          <w:lang w:val="en-GB"/>
        </w:rPr>
        <w:t xml:space="preserve">, </w:t>
      </w:r>
      <w:r w:rsidRPr="0079063C">
        <w:rPr>
          <w:rFonts w:eastAsia="Times New Roman"/>
          <w:i/>
          <w:iCs/>
          <w:color w:val="000000" w:themeColor="text1"/>
          <w:szCs w:val="24"/>
          <w:lang w:val="en-GB"/>
        </w:rPr>
        <w:t>6</w:t>
      </w:r>
      <w:r w:rsidRPr="0079063C">
        <w:rPr>
          <w:rFonts w:eastAsia="Times New Roman"/>
          <w:color w:val="000000" w:themeColor="text1"/>
          <w:szCs w:val="24"/>
          <w:lang w:val="en-GB"/>
        </w:rPr>
        <w:t>(3), pp.1-11.  Available at: https://koreascience.kr/article/JAKO202328953658860.page [Accessed on: 3</w:t>
      </w:r>
      <w:r w:rsidRPr="0079063C">
        <w:rPr>
          <w:rFonts w:eastAsia="Times New Roman"/>
          <w:color w:val="000000" w:themeColor="text1"/>
          <w:szCs w:val="24"/>
          <w:vertAlign w:val="superscript"/>
          <w:lang w:val="en-GB"/>
        </w:rPr>
        <w:t>rd</w:t>
      </w:r>
      <w:r w:rsidRPr="0079063C">
        <w:rPr>
          <w:rFonts w:eastAsia="Times New Roman"/>
          <w:color w:val="000000" w:themeColor="text1"/>
          <w:szCs w:val="24"/>
          <w:lang w:val="en-GB"/>
        </w:rPr>
        <w:t xml:space="preserve"> Feb. 2026]</w:t>
      </w:r>
    </w:p>
    <w:p w14:paraId="24892BE2" w14:textId="77777777" w:rsidR="0079063C" w:rsidRPr="009A0D4B" w:rsidRDefault="0079063C" w:rsidP="009A0D4B">
      <w:pPr>
        <w:shd w:val="clear" w:color="auto" w:fill="FFFFFF"/>
        <w:spacing w:before="240" w:after="240" w:line="360" w:lineRule="auto"/>
        <w:jc w:val="both"/>
        <w:rPr>
          <w:rFonts w:eastAsia="Times New Roman"/>
          <w:color w:val="000000" w:themeColor="text1"/>
          <w:szCs w:val="24"/>
          <w:lang w:val="en-GB"/>
        </w:rPr>
      </w:pPr>
    </w:p>
    <w:sectPr w:rsidR="0079063C" w:rsidRPr="009A0D4B">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C83A8" w14:textId="77777777" w:rsidR="007F078B" w:rsidRDefault="007F078B" w:rsidP="0079063C">
      <w:pPr>
        <w:spacing w:line="240" w:lineRule="auto"/>
      </w:pPr>
      <w:r>
        <w:separator/>
      </w:r>
    </w:p>
  </w:endnote>
  <w:endnote w:type="continuationSeparator" w:id="0">
    <w:p w14:paraId="37CD3E71" w14:textId="77777777" w:rsidR="007F078B" w:rsidRDefault="007F078B" w:rsidP="007906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38B3668-3A48-4F2E-AF29-7814A808698F}"/>
  </w:font>
  <w:font w:name="Cambria">
    <w:panose1 w:val="02040503050406030204"/>
    <w:charset w:val="00"/>
    <w:family w:val="roman"/>
    <w:pitch w:val="variable"/>
    <w:sig w:usb0="E00006FF" w:usb1="420024FF" w:usb2="02000000" w:usb3="00000000" w:csb0="0000019F" w:csb1="00000000"/>
    <w:embedRegular r:id="rId2" w:fontKey="{FDA39934-B985-4DED-A1BA-88A80266A8B5}"/>
    <w:embedBold r:id="rId3" w:fontKey="{23174565-DD28-4784-B552-7CDF8C24505F}"/>
  </w:font>
  <w:font w:name="Cambria Math">
    <w:panose1 w:val="02040503050406030204"/>
    <w:charset w:val="00"/>
    <w:family w:val="roman"/>
    <w:pitch w:val="variable"/>
    <w:sig w:usb0="E00006FF" w:usb1="420024FF" w:usb2="02000000" w:usb3="00000000" w:csb0="0000019F" w:csb1="00000000"/>
    <w:embedRegular r:id="rId4" w:fontKey="{4BD42E51-18FB-4D35-A0EF-4A57DC7FD7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316599"/>
      <w:docPartObj>
        <w:docPartGallery w:val="Page Numbers (Bottom of Page)"/>
        <w:docPartUnique/>
      </w:docPartObj>
    </w:sdtPr>
    <w:sdtEndPr>
      <w:rPr>
        <w:color w:val="7F7F7F" w:themeColor="background1" w:themeShade="7F"/>
        <w:spacing w:val="60"/>
      </w:rPr>
    </w:sdtEndPr>
    <w:sdtContent>
      <w:p w14:paraId="3862E767" w14:textId="77777777" w:rsidR="0079063C" w:rsidRDefault="0079063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5D19">
          <w:rPr>
            <w:noProof/>
          </w:rPr>
          <w:t>3</w:t>
        </w:r>
        <w:r>
          <w:rPr>
            <w:noProof/>
          </w:rPr>
          <w:fldChar w:fldCharType="end"/>
        </w:r>
        <w:r>
          <w:t xml:space="preserve"> | </w:t>
        </w:r>
        <w:r>
          <w:rPr>
            <w:color w:val="7F7F7F" w:themeColor="background1" w:themeShade="7F"/>
            <w:spacing w:val="60"/>
          </w:rPr>
          <w:t>Page</w:t>
        </w:r>
      </w:p>
    </w:sdtContent>
  </w:sdt>
  <w:p w14:paraId="45543229" w14:textId="77777777" w:rsidR="0079063C" w:rsidRDefault="0079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BB44C" w14:textId="77777777" w:rsidR="007F078B" w:rsidRDefault="007F078B" w:rsidP="0079063C">
      <w:pPr>
        <w:spacing w:line="240" w:lineRule="auto"/>
      </w:pPr>
      <w:r>
        <w:separator/>
      </w:r>
    </w:p>
  </w:footnote>
  <w:footnote w:type="continuationSeparator" w:id="0">
    <w:p w14:paraId="184A8210" w14:textId="77777777" w:rsidR="007F078B" w:rsidRDefault="007F078B" w:rsidP="007906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24002"/>
    <w:multiLevelType w:val="multilevel"/>
    <w:tmpl w:val="93AC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5D6D33"/>
    <w:multiLevelType w:val="multilevel"/>
    <w:tmpl w:val="167A9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FC1EE3"/>
    <w:multiLevelType w:val="hybridMultilevel"/>
    <w:tmpl w:val="35FC6B5A"/>
    <w:lvl w:ilvl="0" w:tplc="21226FCC">
      <w:start w:val="1"/>
      <w:numFmt w:val="bullet"/>
      <w:lvlText w:val=""/>
      <w:lvlJc w:val="left"/>
      <w:pPr>
        <w:ind w:left="720" w:hanging="360"/>
      </w:pPr>
      <w:rPr>
        <w:rFonts w:ascii="Symbol" w:hAnsi="Symbol" w:hint="default"/>
      </w:rPr>
    </w:lvl>
    <w:lvl w:ilvl="1" w:tplc="8424DF82" w:tentative="1">
      <w:start w:val="1"/>
      <w:numFmt w:val="bullet"/>
      <w:lvlText w:val="o"/>
      <w:lvlJc w:val="left"/>
      <w:pPr>
        <w:ind w:left="1440" w:hanging="360"/>
      </w:pPr>
      <w:rPr>
        <w:rFonts w:ascii="Courier New" w:hAnsi="Courier New" w:cs="Courier New" w:hint="default"/>
      </w:rPr>
    </w:lvl>
    <w:lvl w:ilvl="2" w:tplc="115C6314" w:tentative="1">
      <w:start w:val="1"/>
      <w:numFmt w:val="bullet"/>
      <w:lvlText w:val=""/>
      <w:lvlJc w:val="left"/>
      <w:pPr>
        <w:ind w:left="2160" w:hanging="360"/>
      </w:pPr>
      <w:rPr>
        <w:rFonts w:ascii="Wingdings" w:hAnsi="Wingdings" w:hint="default"/>
      </w:rPr>
    </w:lvl>
    <w:lvl w:ilvl="3" w:tplc="8B001D56" w:tentative="1">
      <w:start w:val="1"/>
      <w:numFmt w:val="bullet"/>
      <w:lvlText w:val=""/>
      <w:lvlJc w:val="left"/>
      <w:pPr>
        <w:ind w:left="2880" w:hanging="360"/>
      </w:pPr>
      <w:rPr>
        <w:rFonts w:ascii="Symbol" w:hAnsi="Symbol" w:hint="default"/>
      </w:rPr>
    </w:lvl>
    <w:lvl w:ilvl="4" w:tplc="C1EE445A" w:tentative="1">
      <w:start w:val="1"/>
      <w:numFmt w:val="bullet"/>
      <w:lvlText w:val="o"/>
      <w:lvlJc w:val="left"/>
      <w:pPr>
        <w:ind w:left="3600" w:hanging="360"/>
      </w:pPr>
      <w:rPr>
        <w:rFonts w:ascii="Courier New" w:hAnsi="Courier New" w:cs="Courier New" w:hint="default"/>
      </w:rPr>
    </w:lvl>
    <w:lvl w:ilvl="5" w:tplc="9C36534C" w:tentative="1">
      <w:start w:val="1"/>
      <w:numFmt w:val="bullet"/>
      <w:lvlText w:val=""/>
      <w:lvlJc w:val="left"/>
      <w:pPr>
        <w:ind w:left="4320" w:hanging="360"/>
      </w:pPr>
      <w:rPr>
        <w:rFonts w:ascii="Wingdings" w:hAnsi="Wingdings" w:hint="default"/>
      </w:rPr>
    </w:lvl>
    <w:lvl w:ilvl="6" w:tplc="EE2EE37A" w:tentative="1">
      <w:start w:val="1"/>
      <w:numFmt w:val="bullet"/>
      <w:lvlText w:val=""/>
      <w:lvlJc w:val="left"/>
      <w:pPr>
        <w:ind w:left="5040" w:hanging="360"/>
      </w:pPr>
      <w:rPr>
        <w:rFonts w:ascii="Symbol" w:hAnsi="Symbol" w:hint="default"/>
      </w:rPr>
    </w:lvl>
    <w:lvl w:ilvl="7" w:tplc="823A7C66" w:tentative="1">
      <w:start w:val="1"/>
      <w:numFmt w:val="bullet"/>
      <w:lvlText w:val="o"/>
      <w:lvlJc w:val="left"/>
      <w:pPr>
        <w:ind w:left="5760" w:hanging="360"/>
      </w:pPr>
      <w:rPr>
        <w:rFonts w:ascii="Courier New" w:hAnsi="Courier New" w:cs="Courier New" w:hint="default"/>
      </w:rPr>
    </w:lvl>
    <w:lvl w:ilvl="8" w:tplc="D3D4F12E" w:tentative="1">
      <w:start w:val="1"/>
      <w:numFmt w:val="bullet"/>
      <w:lvlText w:val=""/>
      <w:lvlJc w:val="left"/>
      <w:pPr>
        <w:ind w:left="6480" w:hanging="360"/>
      </w:pPr>
      <w:rPr>
        <w:rFonts w:ascii="Wingdings" w:hAnsi="Wingdings" w:hint="default"/>
      </w:rPr>
    </w:lvl>
  </w:abstractNum>
  <w:num w:numId="1" w16cid:durableId="1984430827">
    <w:abstractNumId w:val="1"/>
  </w:num>
  <w:num w:numId="2" w16cid:durableId="765200473">
    <w:abstractNumId w:val="2"/>
  </w:num>
  <w:num w:numId="3" w16cid:durableId="177044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1B7"/>
    <w:rsid w:val="00021796"/>
    <w:rsid w:val="000C418A"/>
    <w:rsid w:val="00116436"/>
    <w:rsid w:val="00171210"/>
    <w:rsid w:val="00175E5F"/>
    <w:rsid w:val="001C007D"/>
    <w:rsid w:val="001C5DAB"/>
    <w:rsid w:val="002128ED"/>
    <w:rsid w:val="00287F13"/>
    <w:rsid w:val="002E0A7D"/>
    <w:rsid w:val="00323E4C"/>
    <w:rsid w:val="00385D19"/>
    <w:rsid w:val="00391524"/>
    <w:rsid w:val="00426080"/>
    <w:rsid w:val="00445EF1"/>
    <w:rsid w:val="004519A8"/>
    <w:rsid w:val="0047370F"/>
    <w:rsid w:val="00475CD4"/>
    <w:rsid w:val="00582DE9"/>
    <w:rsid w:val="005A0C1E"/>
    <w:rsid w:val="005B2EB5"/>
    <w:rsid w:val="006249AE"/>
    <w:rsid w:val="006C050D"/>
    <w:rsid w:val="006C5CFD"/>
    <w:rsid w:val="006C73F3"/>
    <w:rsid w:val="0070138D"/>
    <w:rsid w:val="0073594B"/>
    <w:rsid w:val="0075554B"/>
    <w:rsid w:val="007672C5"/>
    <w:rsid w:val="0079063C"/>
    <w:rsid w:val="00793B93"/>
    <w:rsid w:val="007A1381"/>
    <w:rsid w:val="007B458D"/>
    <w:rsid w:val="007F078B"/>
    <w:rsid w:val="008047D8"/>
    <w:rsid w:val="0082516B"/>
    <w:rsid w:val="0085464A"/>
    <w:rsid w:val="008D2A40"/>
    <w:rsid w:val="008E46A2"/>
    <w:rsid w:val="00907A18"/>
    <w:rsid w:val="009877CD"/>
    <w:rsid w:val="009A0D4B"/>
    <w:rsid w:val="009D5190"/>
    <w:rsid w:val="009E3DBA"/>
    <w:rsid w:val="00AC0E68"/>
    <w:rsid w:val="00B50105"/>
    <w:rsid w:val="00BA4591"/>
    <w:rsid w:val="00C16119"/>
    <w:rsid w:val="00C54469"/>
    <w:rsid w:val="00C818E0"/>
    <w:rsid w:val="00CB41B7"/>
    <w:rsid w:val="00D023D0"/>
    <w:rsid w:val="00D3140D"/>
    <w:rsid w:val="00D860D4"/>
    <w:rsid w:val="00DB7D81"/>
    <w:rsid w:val="00E05245"/>
    <w:rsid w:val="00E92574"/>
    <w:rsid w:val="00EA7772"/>
    <w:rsid w:val="00EB59A3"/>
    <w:rsid w:val="00EC43DD"/>
    <w:rsid w:val="00EC5AE6"/>
    <w:rsid w:val="00EE3AC6"/>
    <w:rsid w:val="00FC49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F840"/>
  <w15:docId w15:val="{7AE19D09-37C1-4670-A5AC-09D2B76CC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A0D4B"/>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9A0D4B"/>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A0D4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0D4B"/>
    <w:pPr>
      <w:spacing w:after="100"/>
    </w:pPr>
  </w:style>
  <w:style w:type="paragraph" w:styleId="TOC2">
    <w:name w:val="toc 2"/>
    <w:basedOn w:val="Normal"/>
    <w:next w:val="Normal"/>
    <w:autoRedefine/>
    <w:uiPriority w:val="39"/>
    <w:unhideWhenUsed/>
    <w:rsid w:val="009A0D4B"/>
    <w:pPr>
      <w:spacing w:after="100"/>
      <w:ind w:left="220"/>
    </w:pPr>
  </w:style>
  <w:style w:type="character" w:styleId="Hyperlink">
    <w:name w:val="Hyperlink"/>
    <w:basedOn w:val="DefaultParagraphFont"/>
    <w:uiPriority w:val="99"/>
    <w:unhideWhenUsed/>
    <w:rsid w:val="009A0D4B"/>
    <w:rPr>
      <w:color w:val="0000FF" w:themeColor="hyperlink"/>
      <w:u w:val="single"/>
    </w:rPr>
  </w:style>
  <w:style w:type="paragraph" w:styleId="ListParagraph">
    <w:name w:val="List Paragraph"/>
    <w:basedOn w:val="Normal"/>
    <w:uiPriority w:val="34"/>
    <w:qFormat/>
    <w:rsid w:val="0079063C"/>
    <w:pPr>
      <w:spacing w:after="160" w:line="360" w:lineRule="auto"/>
      <w:ind w:left="720"/>
      <w:contextualSpacing/>
      <w:jc w:val="both"/>
    </w:pPr>
    <w:rPr>
      <w:rFonts w:ascii="Times New Roman" w:eastAsiaTheme="minorHAnsi" w:hAnsi="Times New Roman" w:cstheme="minorBidi"/>
      <w:sz w:val="24"/>
      <w:lang w:val="en-IN" w:eastAsia="en-US"/>
    </w:rPr>
  </w:style>
  <w:style w:type="paragraph" w:styleId="Header">
    <w:name w:val="header"/>
    <w:basedOn w:val="Normal"/>
    <w:link w:val="HeaderChar"/>
    <w:uiPriority w:val="99"/>
    <w:unhideWhenUsed/>
    <w:rsid w:val="0079063C"/>
    <w:pPr>
      <w:tabs>
        <w:tab w:val="center" w:pos="4513"/>
        <w:tab w:val="right" w:pos="9026"/>
      </w:tabs>
      <w:spacing w:line="240" w:lineRule="auto"/>
    </w:pPr>
  </w:style>
  <w:style w:type="character" w:customStyle="1" w:styleId="HeaderChar">
    <w:name w:val="Header Char"/>
    <w:basedOn w:val="DefaultParagraphFont"/>
    <w:link w:val="Header"/>
    <w:uiPriority w:val="99"/>
    <w:rsid w:val="0079063C"/>
  </w:style>
  <w:style w:type="paragraph" w:styleId="Footer">
    <w:name w:val="footer"/>
    <w:basedOn w:val="Normal"/>
    <w:link w:val="FooterChar"/>
    <w:uiPriority w:val="99"/>
    <w:unhideWhenUsed/>
    <w:rsid w:val="0079063C"/>
    <w:pPr>
      <w:tabs>
        <w:tab w:val="center" w:pos="4513"/>
        <w:tab w:val="right" w:pos="9026"/>
      </w:tabs>
      <w:spacing w:line="240" w:lineRule="auto"/>
    </w:pPr>
  </w:style>
  <w:style w:type="character" w:customStyle="1" w:styleId="FooterChar">
    <w:name w:val="Footer Char"/>
    <w:basedOn w:val="DefaultParagraphFont"/>
    <w:link w:val="Footer"/>
    <w:uiPriority w:val="99"/>
    <w:rsid w:val="0079063C"/>
  </w:style>
  <w:style w:type="paragraph" w:styleId="NormalWeb">
    <w:name w:val="Normal (Web)"/>
    <w:basedOn w:val="Normal"/>
    <w:uiPriority w:val="99"/>
    <w:unhideWhenUsed/>
    <w:rsid w:val="009D519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9D5190"/>
  </w:style>
  <w:style w:type="character" w:styleId="Emphasis">
    <w:name w:val="Emphasis"/>
    <w:basedOn w:val="DefaultParagraphFont"/>
    <w:uiPriority w:val="20"/>
    <w:qFormat/>
    <w:rsid w:val="00E052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nau.2529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wps.2105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76/appi.ps.2020008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paed.2022.04.003" TargetMode="External"/><Relationship Id="rId5" Type="http://schemas.openxmlformats.org/officeDocument/2006/relationships/webSettings" Target="webSettings.xml"/><Relationship Id="rId15" Type="http://schemas.openxmlformats.org/officeDocument/2006/relationships/hyperlink" Target="https://doi.org/10.12968/bjha.2024.18.6.224" TargetMode="External"/><Relationship Id="rId10" Type="http://schemas.openxmlformats.org/officeDocument/2006/relationships/hyperlink" Target="https://doi.org/10.2147/RMHP.S41693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7/s10803-021-05235-x" TargetMode="External"/><Relationship Id="rId14" Type="http://schemas.openxmlformats.org/officeDocument/2006/relationships/hyperlink" Target="https://doi.org/10.1111/bcp.1476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454D7-6D71-4D74-9E8B-68D9385A6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1448</TotalTime>
  <Pages>17</Pages>
  <Words>4231</Words>
  <Characters>24122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bertha amoah</dc:creator>
  <cp:lastModifiedBy>Bertha Quarschie Ep Amoah (2324071)</cp:lastModifiedBy>
  <cp:revision>48</cp:revision>
  <dcterms:created xsi:type="dcterms:W3CDTF">2026-02-15T17:58:00Z</dcterms:created>
  <dcterms:modified xsi:type="dcterms:W3CDTF">2026-03-19T00:28:00Z</dcterms:modified>
</cp:coreProperties>
</file>