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E601B9">
      <w:pPr>
        <w:rPr>
          <w:rFonts w:ascii="Arial" w:hAnsi="Arial" w:cs="Arial"/>
        </w:rPr>
      </w:pPr>
      <w:r>
        <w:rPr>
          <w:rFonts w:ascii="Arial" w:hAnsi="Arial" w:cs="Arial"/>
        </w:rPr>
        <w:t xml:space="preserve"> </w:t>
      </w:r>
    </w:p>
    <w:p w14:paraId="70B2A2BA">
      <w:pPr>
        <w:spacing w:after="160" w:line="259" w:lineRule="auto"/>
        <w:jc w:val="left"/>
        <w:rPr>
          <w:rFonts w:ascii="Arial" w:hAnsi="Arial" w:cs="Arial"/>
        </w:rPr>
      </w:pPr>
      <w:bookmarkStart w:id="0" w:name="_z7q2ogkbvwur" w:colFirst="0" w:colLast="0"/>
      <w:bookmarkEnd w:id="0"/>
      <w:r>
        <w:rPr>
          <w14:ligatures w14:val="standardContextual"/>
        </w:rPr>
        <w:drawing>
          <wp:inline distT="0" distB="0" distL="0" distR="0">
            <wp:extent cx="3248025" cy="1466850"/>
            <wp:effectExtent l="0" t="0" r="9525" b="0"/>
            <wp:docPr id="2622895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289573" name="Picture 1"/>
                    <pic:cNvPicPr>
                      <a:picLocks noChangeAspect="1"/>
                    </pic:cNvPicPr>
                  </pic:nvPicPr>
                  <pic:blipFill>
                    <a:blip r:embed="rId6"/>
                    <a:stretch>
                      <a:fillRect/>
                    </a:stretch>
                  </pic:blipFill>
                  <pic:spPr>
                    <a:xfrm>
                      <a:off x="0" y="0"/>
                      <a:ext cx="3248025" cy="1466850"/>
                    </a:xfrm>
                    <a:prstGeom prst="rect">
                      <a:avLst/>
                    </a:prstGeom>
                  </pic:spPr>
                </pic:pic>
              </a:graphicData>
            </a:graphic>
          </wp:inline>
        </w:drawing>
      </w:r>
    </w:p>
    <w:p w14:paraId="3B62F8BF">
      <w:pPr>
        <w:spacing w:after="160" w:line="259" w:lineRule="auto"/>
        <w:jc w:val="center"/>
        <w:rPr>
          <w:rFonts w:ascii="Arial" w:hAnsi="Arial" w:cs="Arial"/>
          <w:b/>
          <w:bCs/>
          <w:sz w:val="32"/>
          <w:szCs w:val="32"/>
        </w:rPr>
      </w:pPr>
    </w:p>
    <w:p w14:paraId="517B865F">
      <w:pPr>
        <w:spacing w:line="360" w:lineRule="auto"/>
        <w:jc w:val="center"/>
        <w:rPr>
          <w:rFonts w:hint="default"/>
          <w:b/>
          <w:sz w:val="24"/>
          <w:szCs w:val="24"/>
          <w:lang w:val="en-GB"/>
        </w:rPr>
      </w:pPr>
      <w:r>
        <w:rPr>
          <w:b/>
          <w:sz w:val="24"/>
          <w:szCs w:val="24"/>
        </w:rPr>
        <w:t>Student name:</w:t>
      </w:r>
      <w:r>
        <w:rPr>
          <w:rFonts w:hint="default"/>
          <w:b/>
          <w:sz w:val="24"/>
          <w:szCs w:val="24"/>
          <w:lang w:val="en-GB"/>
        </w:rPr>
        <w:t xml:space="preserve"> Florin Ionut Nitu</w:t>
      </w:r>
    </w:p>
    <w:p w14:paraId="0D2EB14E">
      <w:pPr>
        <w:spacing w:line="360" w:lineRule="auto"/>
        <w:jc w:val="center"/>
        <w:rPr>
          <w:rFonts w:hint="default"/>
          <w:b/>
          <w:sz w:val="24"/>
          <w:szCs w:val="24"/>
          <w:lang w:val="en-GB"/>
        </w:rPr>
      </w:pPr>
      <w:r>
        <w:rPr>
          <w:b/>
          <w:sz w:val="24"/>
          <w:szCs w:val="24"/>
        </w:rPr>
        <w:t>Student number:</w:t>
      </w:r>
      <w:r>
        <w:rPr>
          <w:rFonts w:hint="default"/>
          <w:b/>
          <w:sz w:val="24"/>
          <w:szCs w:val="24"/>
          <w:lang w:val="en-GB"/>
        </w:rPr>
        <w:t>2240772</w:t>
      </w:r>
    </w:p>
    <w:p w14:paraId="5354AC77">
      <w:pPr>
        <w:spacing w:line="360" w:lineRule="auto"/>
        <w:jc w:val="center"/>
        <w:rPr>
          <w:b/>
          <w:sz w:val="24"/>
          <w:szCs w:val="24"/>
        </w:rPr>
      </w:pPr>
      <w:r>
        <w:rPr>
          <w:b/>
          <w:sz w:val="24"/>
          <w:szCs w:val="24"/>
        </w:rPr>
        <w:t>Module: Sustainable Hospitality &amp; Tourism Management</w:t>
      </w:r>
    </w:p>
    <w:p w14:paraId="726934BC">
      <w:pPr>
        <w:spacing w:line="360" w:lineRule="auto"/>
        <w:jc w:val="center"/>
        <w:rPr>
          <w:b/>
          <w:sz w:val="24"/>
          <w:szCs w:val="24"/>
        </w:rPr>
      </w:pPr>
      <w:r>
        <w:rPr>
          <w:b/>
          <w:sz w:val="24"/>
          <w:szCs w:val="24"/>
        </w:rPr>
        <w:t>Module code: BMIH5006</w:t>
      </w:r>
    </w:p>
    <w:p w14:paraId="4918F287">
      <w:pPr>
        <w:spacing w:line="360" w:lineRule="auto"/>
        <w:jc w:val="center"/>
        <w:rPr>
          <w:rFonts w:hint="default"/>
          <w:b/>
          <w:sz w:val="24"/>
          <w:szCs w:val="24"/>
          <w:lang w:val="en-GB"/>
        </w:rPr>
      </w:pPr>
      <w:r>
        <w:rPr>
          <w:b/>
          <w:sz w:val="24"/>
          <w:szCs w:val="24"/>
        </w:rPr>
        <w:t xml:space="preserve">Lecturer: </w:t>
      </w:r>
      <w:r>
        <w:rPr>
          <w:rFonts w:hint="default"/>
          <w:b/>
          <w:sz w:val="24"/>
          <w:szCs w:val="24"/>
          <w:lang w:val="en-GB"/>
        </w:rPr>
        <w:t>Antoinette Milne</w:t>
      </w:r>
    </w:p>
    <w:p w14:paraId="5D1D03FA">
      <w:pPr>
        <w:spacing w:line="360" w:lineRule="auto"/>
        <w:jc w:val="center"/>
        <w:rPr>
          <w:b/>
          <w:sz w:val="24"/>
          <w:szCs w:val="24"/>
        </w:rPr>
      </w:pPr>
      <w:r>
        <w:rPr>
          <w:b/>
          <w:sz w:val="24"/>
          <w:szCs w:val="24"/>
        </w:rPr>
        <w:t>Assessment Component 1</w:t>
      </w:r>
    </w:p>
    <w:p w14:paraId="3D2E6CFB">
      <w:pPr>
        <w:spacing w:line="360" w:lineRule="auto"/>
        <w:jc w:val="center"/>
        <w:rPr>
          <w:b/>
          <w:sz w:val="24"/>
          <w:szCs w:val="24"/>
        </w:rPr>
      </w:pPr>
      <w:r>
        <w:rPr>
          <w:b/>
          <w:sz w:val="24"/>
          <w:szCs w:val="24"/>
        </w:rPr>
        <w:t>Assignment Title: Essay</w:t>
      </w:r>
    </w:p>
    <w:p w14:paraId="1803DCCA">
      <w:pPr>
        <w:spacing w:after="160" w:line="259" w:lineRule="auto"/>
        <w:jc w:val="center"/>
        <w:rPr>
          <w:rFonts w:ascii="Arial" w:hAnsi="Arial" w:cs="Arial"/>
          <w:b/>
          <w:bCs/>
        </w:rPr>
      </w:pPr>
    </w:p>
    <w:p w14:paraId="2347E80A">
      <w:pPr>
        <w:spacing w:after="160" w:line="259" w:lineRule="auto"/>
        <w:jc w:val="center"/>
        <w:rPr>
          <w:rFonts w:hint="default" w:ascii="Arial" w:hAnsi="Arial"/>
          <w:b w:val="0"/>
          <w:bCs w:val="0"/>
          <w:sz w:val="20"/>
          <w:szCs w:val="20"/>
        </w:rPr>
      </w:pPr>
      <w:r>
        <w:rPr>
          <w:rFonts w:hint="default" w:ascii="Arial" w:hAnsi="Arial"/>
          <w:b w:val="0"/>
          <w:bCs w:val="0"/>
          <w:sz w:val="20"/>
          <w:szCs w:val="20"/>
        </w:rPr>
        <w:t>I confirm that I have not used any AI tools in the research and creation of this</w:t>
      </w:r>
    </w:p>
    <w:p w14:paraId="5D1C187E">
      <w:pPr>
        <w:spacing w:after="160" w:line="259" w:lineRule="auto"/>
        <w:jc w:val="center"/>
        <w:rPr>
          <w:rFonts w:hint="default" w:ascii="Arial" w:hAnsi="Arial"/>
          <w:b w:val="0"/>
          <w:bCs w:val="0"/>
          <w:sz w:val="20"/>
          <w:szCs w:val="20"/>
        </w:rPr>
      </w:pPr>
      <w:r>
        <w:rPr>
          <w:rFonts w:hint="default" w:ascii="Arial" w:hAnsi="Arial"/>
          <w:b w:val="0"/>
          <w:bCs w:val="0"/>
          <w:sz w:val="20"/>
          <w:szCs w:val="20"/>
        </w:rPr>
        <w:t>assignment. I confirm that I have not presented any AI generated materials as my own</w:t>
      </w:r>
    </w:p>
    <w:p w14:paraId="397CA78A">
      <w:pPr>
        <w:spacing w:after="160" w:line="259" w:lineRule="auto"/>
        <w:jc w:val="center"/>
        <w:rPr>
          <w:rFonts w:ascii="Arial" w:hAnsi="Arial" w:cs="Arial" w:eastAsiaTheme="minorHAnsi"/>
          <w:b/>
          <w:bCs/>
          <w:sz w:val="28"/>
          <w:szCs w:val="28"/>
          <w:lang w:val="en-GB" w:eastAsia="en-US"/>
        </w:rPr>
      </w:pPr>
      <w:r>
        <w:rPr>
          <w:rFonts w:hint="default" w:ascii="Arial" w:hAnsi="Arial"/>
          <w:b w:val="0"/>
          <w:bCs w:val="0"/>
          <w:sz w:val="20"/>
          <w:szCs w:val="20"/>
        </w:rPr>
        <w:t>work. I confirm I have copies of my drafts, notes, and other resources I used, which I may be</w:t>
      </w:r>
      <w:r>
        <w:rPr>
          <w:rFonts w:hint="default" w:ascii="Arial" w:hAnsi="Arial"/>
          <w:b w:val="0"/>
          <w:bCs w:val="0"/>
          <w:sz w:val="20"/>
          <w:szCs w:val="20"/>
          <w:lang w:val="en-GB"/>
        </w:rPr>
        <w:t xml:space="preserve"> </w:t>
      </w:r>
      <w:bookmarkStart w:id="2" w:name="_GoBack"/>
      <w:bookmarkEnd w:id="2"/>
      <w:r>
        <w:rPr>
          <w:rFonts w:hint="default" w:ascii="Arial" w:hAnsi="Arial"/>
          <w:b w:val="0"/>
          <w:bCs w:val="0"/>
          <w:sz w:val="20"/>
          <w:szCs w:val="20"/>
        </w:rPr>
        <w:t>asked to provide in evidence.</w:t>
      </w:r>
      <w:r>
        <w:rPr>
          <w:rFonts w:ascii="Arial" w:hAnsi="Arial" w:cs="Arial"/>
          <w:b/>
          <w:bCs/>
        </w:rPr>
        <w:br w:type="page"/>
      </w:r>
    </w:p>
    <w:sdt>
      <w:sdtPr>
        <w:rPr>
          <w:rFonts w:ascii="Arial" w:hAnsi="Arial" w:cs="Arial"/>
        </w:rPr>
        <w:id w:val="47268655"/>
        <w:docPartObj>
          <w:docPartGallery w:val="Table of Contents"/>
          <w:docPartUnique/>
        </w:docPartObj>
      </w:sdtPr>
      <w:sdtEndPr>
        <w:rPr>
          <w:rFonts w:ascii="Times New Roman" w:hAnsi="Times New Roman" w:eastAsia="Times New Roman" w:cs="Times New Roman"/>
          <w:b/>
          <w:bCs/>
          <w:color w:val="auto"/>
          <w:sz w:val="24"/>
          <w:szCs w:val="24"/>
          <w:lang w:val="en" w:eastAsia="en-IN"/>
        </w:rPr>
      </w:sdtEndPr>
      <w:sdtContent>
        <w:p w14:paraId="64056C4C">
          <w:pPr>
            <w:pStyle w:val="42"/>
            <w:rPr>
              <w:rFonts w:ascii="Arial" w:hAnsi="Arial" w:cs="Arial"/>
            </w:rPr>
          </w:pPr>
          <w:r>
            <w:rPr>
              <w:rFonts w:ascii="Arial" w:hAnsi="Arial" w:cs="Arial"/>
            </w:rPr>
            <w:t>Table of Contents</w:t>
          </w:r>
        </w:p>
        <w:p w14:paraId="1D87769D">
          <w:pPr>
            <w:pStyle w:val="19"/>
            <w:tabs>
              <w:tab w:val="right" w:leader="dot" w:pos="9026"/>
            </w:tabs>
          </w:pPr>
          <w:r>
            <w:fldChar w:fldCharType="begin"/>
          </w:r>
          <w:r>
            <w:instrText xml:space="preserve"> TOC \o "1-3" \h \z \u </w:instrText>
          </w:r>
          <w:r>
            <w:fldChar w:fldCharType="separate"/>
          </w:r>
          <w:r>
            <w:fldChar w:fldCharType="begin"/>
          </w:r>
          <w:r>
            <w:instrText xml:space="preserve"> HYPERLINK \l _Toc20412 </w:instrText>
          </w:r>
          <w:r>
            <w:fldChar w:fldCharType="separate"/>
          </w:r>
          <w:r>
            <w:rPr>
              <w:rFonts w:ascii="Arial" w:hAnsi="Arial" w:cs="Arial"/>
            </w:rPr>
            <w:t>References</w:t>
          </w:r>
          <w:r>
            <w:tab/>
          </w:r>
          <w:r>
            <w:fldChar w:fldCharType="begin"/>
          </w:r>
          <w:r>
            <w:instrText xml:space="preserve"> PAGEREF _Toc20412 \h </w:instrText>
          </w:r>
          <w:r>
            <w:fldChar w:fldCharType="separate"/>
          </w:r>
          <w:r>
            <w:t>8</w:t>
          </w:r>
          <w:r>
            <w:fldChar w:fldCharType="end"/>
          </w:r>
          <w:r>
            <w:fldChar w:fldCharType="end"/>
          </w:r>
        </w:p>
        <w:p w14:paraId="034D1D93">
          <w:pPr>
            <w:rPr>
              <w:b/>
              <w:bCs/>
            </w:rPr>
          </w:pPr>
          <w:r>
            <w:rPr>
              <w:bCs/>
            </w:rPr>
            <w:fldChar w:fldCharType="end"/>
          </w:r>
        </w:p>
      </w:sdtContent>
    </w:sdt>
    <w:p w14:paraId="1FA0B1F8">
      <w:pPr>
        <w:rPr>
          <w:rFonts w:ascii="Arial" w:hAnsi="Arial" w:cs="Arial"/>
        </w:rPr>
      </w:pPr>
    </w:p>
    <w:p w14:paraId="5BC18A8A">
      <w:pPr>
        <w:rPr>
          <w:rFonts w:ascii="Arial" w:hAnsi="Arial" w:cs="Arial"/>
        </w:rPr>
      </w:pPr>
    </w:p>
    <w:p w14:paraId="42A467FF">
      <w:pPr>
        <w:rPr>
          <w:rFonts w:ascii="Arial" w:hAnsi="Arial" w:cs="Arial"/>
        </w:rPr>
      </w:pPr>
    </w:p>
    <w:p w14:paraId="0F1AC58B">
      <w:pPr>
        <w:rPr>
          <w:rFonts w:ascii="Arial" w:hAnsi="Arial" w:cs="Arial"/>
        </w:rPr>
      </w:pPr>
    </w:p>
    <w:p w14:paraId="34887CF4">
      <w:pPr>
        <w:rPr>
          <w:rFonts w:ascii="Arial" w:hAnsi="Arial" w:cs="Arial"/>
        </w:rPr>
      </w:pPr>
    </w:p>
    <w:p w14:paraId="1ED4CA3A">
      <w:pPr>
        <w:rPr>
          <w:rFonts w:ascii="Arial" w:hAnsi="Arial" w:cs="Arial"/>
        </w:rPr>
      </w:pPr>
    </w:p>
    <w:p w14:paraId="100E76A5">
      <w:pPr>
        <w:rPr>
          <w:rFonts w:ascii="Arial" w:hAnsi="Arial" w:cs="Arial"/>
        </w:rPr>
      </w:pPr>
    </w:p>
    <w:p w14:paraId="3D3BFE9D">
      <w:pPr>
        <w:rPr>
          <w:rFonts w:ascii="Arial" w:hAnsi="Arial" w:cs="Arial"/>
        </w:rPr>
      </w:pPr>
    </w:p>
    <w:p w14:paraId="74F37BF4">
      <w:pPr>
        <w:rPr>
          <w:rFonts w:ascii="Arial" w:hAnsi="Arial" w:cs="Arial"/>
        </w:rPr>
      </w:pPr>
    </w:p>
    <w:p w14:paraId="402C7B6B">
      <w:pPr>
        <w:rPr>
          <w:rFonts w:ascii="Arial" w:hAnsi="Arial" w:cs="Arial"/>
        </w:rPr>
      </w:pPr>
    </w:p>
    <w:p w14:paraId="7C4CC766">
      <w:pPr>
        <w:rPr>
          <w:rFonts w:ascii="Arial" w:hAnsi="Arial" w:cs="Arial"/>
        </w:rPr>
      </w:pPr>
    </w:p>
    <w:p w14:paraId="1B6CF811">
      <w:pPr>
        <w:rPr>
          <w:rFonts w:ascii="Arial" w:hAnsi="Arial" w:cs="Arial"/>
        </w:rPr>
      </w:pPr>
    </w:p>
    <w:p w14:paraId="52C103BA">
      <w:pPr>
        <w:rPr>
          <w:rFonts w:ascii="Arial" w:hAnsi="Arial" w:cs="Arial"/>
        </w:rPr>
      </w:pPr>
    </w:p>
    <w:p w14:paraId="7675BE29">
      <w:pPr>
        <w:rPr>
          <w:rFonts w:ascii="Arial" w:hAnsi="Arial" w:cs="Arial"/>
        </w:rPr>
      </w:pPr>
    </w:p>
    <w:p w14:paraId="1057707D">
      <w:pPr>
        <w:rPr>
          <w:rFonts w:ascii="Arial" w:hAnsi="Arial" w:cs="Arial"/>
        </w:rPr>
      </w:pPr>
    </w:p>
    <w:p w14:paraId="15872C58">
      <w:pPr>
        <w:rPr>
          <w:rFonts w:ascii="Arial" w:hAnsi="Arial" w:cs="Arial"/>
        </w:rPr>
      </w:pPr>
    </w:p>
    <w:p w14:paraId="6F985C7F">
      <w:pPr>
        <w:rPr>
          <w:rFonts w:ascii="Arial" w:hAnsi="Arial" w:cs="Arial"/>
        </w:rPr>
      </w:pPr>
    </w:p>
    <w:p w14:paraId="5917FBF8">
      <w:pPr>
        <w:rPr>
          <w:rFonts w:ascii="Arial" w:hAnsi="Arial" w:cs="Arial"/>
        </w:rPr>
      </w:pPr>
    </w:p>
    <w:p w14:paraId="7A67E2EF">
      <w:pPr>
        <w:rPr>
          <w:rFonts w:ascii="Arial" w:hAnsi="Arial" w:cs="Arial"/>
        </w:rPr>
      </w:pPr>
    </w:p>
    <w:p w14:paraId="11803A2E">
      <w:pPr>
        <w:rPr>
          <w:rFonts w:ascii="Arial" w:hAnsi="Arial" w:cs="Arial"/>
        </w:rPr>
      </w:pPr>
    </w:p>
    <w:p w14:paraId="595FACD7">
      <w:pPr>
        <w:rPr>
          <w:rFonts w:ascii="Arial" w:hAnsi="Arial" w:cs="Arial"/>
        </w:rPr>
      </w:pPr>
    </w:p>
    <w:p w14:paraId="18E709FE">
      <w:pPr>
        <w:rPr>
          <w:rFonts w:ascii="Arial" w:hAnsi="Arial" w:cs="Arial"/>
        </w:rPr>
      </w:pPr>
    </w:p>
    <w:p w14:paraId="75D3E228">
      <w:pPr>
        <w:rPr>
          <w:rFonts w:ascii="Arial" w:hAnsi="Arial" w:cs="Arial"/>
        </w:rPr>
      </w:pPr>
    </w:p>
    <w:p w14:paraId="18026232">
      <w:pPr>
        <w:rPr>
          <w:rFonts w:ascii="Arial" w:hAnsi="Arial" w:cs="Arial"/>
        </w:rPr>
      </w:pPr>
    </w:p>
    <w:p w14:paraId="1CC5FA9F">
      <w:pPr>
        <w:rPr>
          <w:rFonts w:ascii="Arial" w:hAnsi="Arial" w:cs="Arial"/>
        </w:rPr>
      </w:pPr>
    </w:p>
    <w:p w14:paraId="523FE8AC">
      <w:pPr>
        <w:rPr>
          <w:rFonts w:ascii="Arial" w:hAnsi="Arial" w:cs="Arial"/>
        </w:rPr>
      </w:pPr>
    </w:p>
    <w:p w14:paraId="64EBE9F6">
      <w:pPr>
        <w:rPr>
          <w:rFonts w:ascii="Arial" w:hAnsi="Arial" w:cs="Arial"/>
        </w:rPr>
      </w:pPr>
    </w:p>
    <w:p w14:paraId="31AE8AA7">
      <w:pPr>
        <w:rPr>
          <w:rFonts w:ascii="Arial" w:hAnsi="Arial" w:cs="Arial"/>
        </w:rPr>
      </w:pPr>
    </w:p>
    <w:p w14:paraId="47226F9D">
      <w:pPr>
        <w:rPr>
          <w:rFonts w:ascii="Arial" w:hAnsi="Arial" w:cs="Arial"/>
        </w:rPr>
      </w:pPr>
    </w:p>
    <w:p w14:paraId="01F4BDA9">
      <w:pPr>
        <w:rPr>
          <w:rFonts w:ascii="Arial" w:hAnsi="Arial" w:cs="Arial"/>
        </w:rPr>
      </w:pPr>
    </w:p>
    <w:p w14:paraId="2168923D">
      <w:pPr>
        <w:rPr>
          <w:rFonts w:ascii="Arial" w:hAnsi="Arial" w:cs="Arial"/>
        </w:rPr>
      </w:pPr>
    </w:p>
    <w:p w14:paraId="2F84AAB2">
      <w:pPr>
        <w:rPr>
          <w:rFonts w:ascii="Arial" w:hAnsi="Arial" w:cs="Arial"/>
        </w:rPr>
      </w:pPr>
      <w:r>
        <w:rPr>
          <w:rFonts w:ascii="Arial" w:hAnsi="Arial" w:cs="Arial"/>
        </w:rPr>
        <w:t>Sustainable Hospitality and Tourism Management works to minimise environmental impacts resulting from the industry alongside its efforts to deliver economic advantages along with social advantages (</w:t>
      </w:r>
      <w:r>
        <w:rPr>
          <w:rFonts w:ascii="Arial" w:hAnsi="Arial" w:cs="Arial"/>
          <w:highlight w:val="white"/>
        </w:rPr>
        <w:t xml:space="preserve">Seidel </w:t>
      </w:r>
      <w:r>
        <w:rPr>
          <w:rFonts w:ascii="Arial" w:hAnsi="Arial" w:cs="Arial"/>
          <w:i/>
          <w:highlight w:val="white"/>
        </w:rPr>
        <w:t>et al</w:t>
      </w:r>
      <w:r>
        <w:rPr>
          <w:rFonts w:ascii="Arial" w:hAnsi="Arial" w:cs="Arial"/>
          <w:highlight w:val="white"/>
        </w:rPr>
        <w:t>., 2021)</w:t>
      </w:r>
      <w:r>
        <w:rPr>
          <w:rFonts w:ascii="Arial" w:hAnsi="Arial" w:cs="Arial"/>
        </w:rPr>
        <w:t>. Green practices represent a foundation of sustainability in hospitality which includes energy efficiency alongside waste reduction, water conservation and community involvement to counteract tourism's negative environmental impact. The global Marriott Hotel UK operates its “Serve 360” program to achieve sustainability by using renewable energy constructing eco-friendly buildings and minimising waste production (Marriott, 2024). Although Marriott shows dedication to sustainability its efforts for sustainable practice integration across all operations face ongoing gaps. Multiple environmental problems persist including food waste management failures alongside continued usage of single-use plastics and insufficient renewable energy adoption (Inkson and Minnaert, 2018). These gaps demand resolution for industry alignment and environmental impact reduction in hospitality operations. The implementation of scalable innovative solutions would allow Marriott to establish itself as a sustainable hospitality leader which benefits nature and its community members.</w:t>
      </w:r>
    </w:p>
    <w:p w14:paraId="11ECB414">
      <w:pPr>
        <w:rPr>
          <w:rFonts w:ascii="Arial" w:hAnsi="Arial" w:cs="Arial"/>
        </w:rPr>
      </w:pPr>
    </w:p>
    <w:p w14:paraId="29CEA9F6">
      <w:pPr>
        <w:rPr>
          <w:rFonts w:ascii="Arial" w:hAnsi="Arial" w:cs="Arial"/>
        </w:rPr>
      </w:pPr>
      <w:r>
        <w:rPr>
          <w:rFonts w:ascii="Arial" w:hAnsi="Arial" w:cs="Arial"/>
        </w:rPr>
        <w:t>The Marriott Hotel UK has considered a number of steps toward sustainability executed through the integration of Winnow as a monitoring-based system of food-related waste empowered by AI. It utilises technology related to the recognition of an image to record and analyse discarded food-related items. This can provide datasets in real-time on the type and amount of waste generated (</w:t>
      </w:r>
      <w:r>
        <w:rPr>
          <w:rFonts w:ascii="Arial" w:hAnsi="Arial" w:cs="Arial"/>
          <w:lang w:val="en-IN"/>
        </w:rPr>
        <w:t>Marriott, 2024)</w:t>
      </w:r>
      <w:r>
        <w:rPr>
          <w:rFonts w:ascii="Arial" w:hAnsi="Arial" w:cs="Arial"/>
        </w:rPr>
        <w:t xml:space="preserve">. These indicate the system’s capability to tend toward a major form of savings in costs along with a reduced influence on the environment. The kitchen-based staff can adjust the strategies regarding the preparation of meals. This can prevent an unnecessary form of overproduction achieved through the identification of patterns related to waste. Gajić </w:t>
      </w:r>
      <w:r>
        <w:rPr>
          <w:rFonts w:ascii="Arial" w:hAnsi="Arial" w:cs="Arial"/>
          <w:i/>
          <w:iCs/>
        </w:rPr>
        <w:t>et al.</w:t>
      </w:r>
      <w:r>
        <w:rPr>
          <w:rFonts w:ascii="Arial" w:hAnsi="Arial" w:cs="Arial"/>
        </w:rPr>
        <w:t xml:space="preserve"> (2024) argue about considering the implementation of such systems merely addressing a small fraction of the hotel’s sustainability-based obstacles. However, the waste of food is a major component of the scenario. Paying attention to it through AI-based technological advancements has proved to be both practical and effective. The reduction of waste of food influences the hotel's carbon footprint in a direct way. The AI-based system of Winnow offers a solution to the waste of food considering the long term. This can provide The Marriott with a targeted approach to the enhancement of its sustainability-based credentials. </w:t>
      </w:r>
    </w:p>
    <w:p w14:paraId="785B1AB4">
      <w:pPr>
        <w:rPr>
          <w:rFonts w:ascii="Arial" w:hAnsi="Arial" w:cs="Arial"/>
        </w:rPr>
      </w:pPr>
      <w:r>
        <w:rPr>
          <w:rFonts w:ascii="Arial" w:hAnsi="Arial" w:cs="Arial"/>
        </w:rPr>
        <w:t xml:space="preserve">Marriott’s initiative regarding recycling kitchen oil utlising VITO recyling-based machines showcases its commitment to sustainability through the conversion of waste oil into a renewable form of energy and biofuel. Lopresto (2024) consider converting 3682 litres per year of waste-related oils to 3712 litres per year of biofuel helpful in the replacement of 20% of fossil fuel. Such an initiative has the dual advantage of the reduction of waste along with contributing to the production of an excessively neat form of energy. The biofuel created from a utilised form of oil emits a minimal number of greenhouse-based gases compared to the traditional type. Gajić </w:t>
      </w:r>
      <w:r>
        <w:rPr>
          <w:rFonts w:ascii="Arial" w:hAnsi="Arial" w:cs="Arial"/>
          <w:i/>
          <w:iCs/>
        </w:rPr>
        <w:t>et al.</w:t>
      </w:r>
      <w:r>
        <w:rPr>
          <w:rFonts w:ascii="Arial" w:hAnsi="Arial" w:cs="Arial"/>
        </w:rPr>
        <w:t xml:space="preserve"> (2024) argue about the limitation of the protocol’s influence on the hotel’s sustainability-focused goals compared to a number of projects based on renewable forms of energy at a large scale. However, even initiatives at a small scale such as recycling kitchen oil stay on the front foot in the reduction of the hotel’s carbon-based footprint as a whole. Marriott showcases a commitment to the reduction of waste and sustainability of energy. This can make its role as an environmentally conscious hotel excessively concrete. </w:t>
      </w:r>
    </w:p>
    <w:p w14:paraId="5A1C7183">
      <w:pPr>
        <w:rPr>
          <w:rFonts w:ascii="Arial" w:hAnsi="Arial" w:cs="Arial"/>
        </w:rPr>
      </w:pPr>
      <w:r>
        <w:rPr>
          <w:rFonts w:ascii="Arial" w:hAnsi="Arial" w:cs="Arial"/>
        </w:rPr>
        <w:t>A set of simplified interfaces, visualisation, and advanced automation lacked by Winnow, an organic composite-based program, and an AI-based approach to recycling oil can mitigate the gap associated with the sustainability-based approach of Marriott. Hence, the integration of Orbisk would provide datasets in real-time on the waste of food (</w:t>
      </w:r>
      <w:r>
        <w:rPr>
          <w:rFonts w:ascii="Arial" w:hAnsi="Arial" w:cs="Arial"/>
          <w:lang w:val="en-IN"/>
        </w:rPr>
        <w:t>Orbisk, 2024)</w:t>
      </w:r>
      <w:r>
        <w:rPr>
          <w:rFonts w:ascii="Arial" w:hAnsi="Arial" w:cs="Arial"/>
        </w:rPr>
        <w:t xml:space="preserve">. Apart from these, Marriott could introduce composting for the production of an organic form of waste. Composting can reduce the complete range of waste by up to 40% to transform it into a fertile form of soil (Manea, 2024). Such an approach would be helpful for a number of efforts in the reduction of waste at an immediate level. Orbisk would be helpful for Marriott to introduce optimisation in the inventory of food along with reducing waste at a gradual rate. On the other hand, composting can ensure reutilisation of an unavoidable form of organic waste into a sustainable resource. </w:t>
      </w:r>
      <w:r>
        <w:rPr>
          <w:rFonts w:ascii="Arial" w:hAnsi="Arial" w:cs="Arial"/>
          <w:lang w:val="en-IN"/>
        </w:rPr>
        <w:t xml:space="preserve">Savage </w:t>
      </w:r>
      <w:r>
        <w:rPr>
          <w:rFonts w:ascii="Arial" w:hAnsi="Arial" w:cs="Arial"/>
        </w:rPr>
        <w:t>(2022) argues about the involved complexity of composting. This is specifically considering the ones in a set of urban locations. However, solutions based on composting in urban areas can overcome the constraints of space. These can be executed by collaboration with a set of nearby farms and composting-based services. Marriott can reduce waste along with enhancing its leadership in the eco-friendly industry through the combination of Orbisk and composting.</w:t>
      </w:r>
    </w:p>
    <w:p w14:paraId="103B8DD4">
      <w:pPr>
        <w:rPr>
          <w:rFonts w:ascii="Arial" w:hAnsi="Arial" w:cs="Arial"/>
        </w:rPr>
      </w:pPr>
      <w:r>
        <w:rPr>
          <w:rFonts w:ascii="Arial" w:hAnsi="Arial" w:cs="Arial"/>
        </w:rPr>
        <w:t>A number of prominent hotels and business entities have already adopted a similar form of initiative related to the waste of food and biofuels. The Savoy is utilising Orbisk as an AI-based solution with a user-friendly interface and advanced approach to an automated form of reporting sustainability to assist hotels in saving more than 1.5 million meals around the globe in a mere 5 years (</w:t>
      </w:r>
      <w:r>
        <w:rPr>
          <w:rFonts w:ascii="Arial" w:hAnsi="Arial" w:cs="Arial"/>
          <w:lang w:val="en-IN"/>
        </w:rPr>
        <w:t>Schipper, 2024)</w:t>
      </w:r>
      <w:r>
        <w:rPr>
          <w:rFonts w:ascii="Arial" w:hAnsi="Arial" w:cs="Arial"/>
        </w:rPr>
        <w:t xml:space="preserve">. The Pig Hotel in England reduces waste by composting a number of scraps from its kitchens to fertilise its gardens. The correctness of the approach by Marriott aligned with the most suitable regimes regarding sustainability can indicate eventual success. Antonschmidt and Lund-Durlacher (2021) argue about the probability of variations in the effectiveness of such initiatives depending on the size of the hotel and the resources available. This can make it difficult for a number of hotels operating on a small scale to imitate these proceedings. However, the adaptability of systems such as Orbisk and programs related to composting or recycling oil permits the hotel to be tailored to fit a distinct set of sizes and operational models. </w:t>
      </w:r>
    </w:p>
    <w:p w14:paraId="219B3AB5">
      <w:pPr>
        <w:rPr>
          <w:rFonts w:ascii="Arial" w:hAnsi="Arial" w:cs="Arial"/>
        </w:rPr>
      </w:pPr>
      <w:r>
        <w:rPr>
          <w:rFonts w:ascii="Arial" w:hAnsi="Arial" w:cs="Arial"/>
        </w:rPr>
        <w:t>Marriott can witness benefits in a major way from the implementation of these initiatives regarding the efficiency of the operation as well. Businesses have saved around $7 on average in operation-based costs over a period of 3 years by investing every $1 to reduce the waste of food (</w:t>
      </w:r>
      <w:r>
        <w:rPr>
          <w:rFonts w:ascii="Arial" w:hAnsi="Arial" w:cs="Arial"/>
          <w:lang w:val="en-IN"/>
        </w:rPr>
        <w:t>Gover, 2024)</w:t>
      </w:r>
      <w:r>
        <w:rPr>
          <w:rFonts w:ascii="Arial" w:hAnsi="Arial" w:cs="Arial"/>
        </w:rPr>
        <w:t>. Apart from these, the usage of biofuels can reduce the emissions of greenhouse gases. These can contribute to the hotel's targets regarding the reduction of carbon. Such figures highlight the way for initiatives based on sustainability to be capable of providing a set of both environmental and financial beneficial aspects. Apart from these, the usage of biofuels is helpful for the hotel in the transition toward carbon-based neutrality. Hermundsdottir and Aspelund (2021) commented on the probability of surpassing the savings due to the cost of the implementation. This might specifically be evident during the initial stages of adoption. However, gains in the long term in both the savings of cost and loyalty of customers generally justify the initial investment due to the preferences of consumers shifting toward an eco-friendly approach. Marriott can fulfil its existing goals regarding sustainability along with introducing improvements in its bottom line.</w:t>
      </w:r>
    </w:p>
    <w:p w14:paraId="3F12896B">
      <w:pPr>
        <w:rPr>
          <w:rFonts w:ascii="Arial" w:hAnsi="Arial" w:cs="Arial"/>
        </w:rPr>
      </w:pPr>
      <w:r>
        <w:rPr>
          <w:rFonts w:ascii="Arial" w:hAnsi="Arial" w:cs="Arial"/>
        </w:rPr>
        <w:t>Marriott Hotel UK faces substantial monetary hurdles when executing the initiative because green technology adoption requires heavy initial financial investment. Making existing hotels sustainable by installing environment-friendly systems requires a financial investment that starts at £3,000 for every hotel room (</w:t>
      </w:r>
      <w:r>
        <w:rPr>
          <w:rFonts w:ascii="Arial" w:hAnsi="Arial" w:cs="Arial"/>
          <w:highlight w:val="white"/>
        </w:rPr>
        <w:t>Motta and Sharma, 2020)</w:t>
      </w:r>
      <w:r>
        <w:rPr>
          <w:rFonts w:ascii="Arial" w:hAnsi="Arial" w:cs="Arial"/>
        </w:rPr>
        <w:t>. The extensive rooms operated by Marriott create major financial burdens through substantial cumulative costs that reach millions. Green upgrade initiatives offer reduced operational costs of 15-25% per year which enables a 5 to 7-year recovery period (</w:t>
      </w:r>
      <w:r>
        <w:rPr>
          <w:rFonts w:ascii="Arial" w:hAnsi="Arial" w:cs="Arial"/>
          <w:highlight w:val="white"/>
        </w:rPr>
        <w:t>O’Callaghan and Murdock, 2021)</w:t>
      </w:r>
      <w:r>
        <w:rPr>
          <w:rFonts w:ascii="Arial" w:hAnsi="Arial" w:cs="Arial"/>
        </w:rPr>
        <w:t xml:space="preserve">.  The substantial monetary requirements pose significant financial hurdles for Marriott throughout operational markets with constrained profit spaces. Independent facilities face challenges implementing such programs because they lack outside funding support. However, </w:t>
      </w:r>
      <w:r>
        <w:rPr>
          <w:rFonts w:ascii="Arial" w:hAnsi="Arial" w:cs="Arial"/>
          <w:highlight w:val="white"/>
        </w:rPr>
        <w:t xml:space="preserve">Sijtsma </w:t>
      </w:r>
      <w:r>
        <w:rPr>
          <w:rFonts w:ascii="Arial" w:hAnsi="Arial" w:cs="Arial"/>
          <w:i/>
          <w:highlight w:val="white"/>
        </w:rPr>
        <w:t>et al</w:t>
      </w:r>
      <w:r>
        <w:rPr>
          <w:rFonts w:ascii="Arial" w:hAnsi="Arial" w:cs="Arial"/>
          <w:highlight w:val="white"/>
        </w:rPr>
        <w:t xml:space="preserve">. (2020) </w:t>
      </w:r>
      <w:r>
        <w:rPr>
          <w:rFonts w:ascii="Arial" w:hAnsi="Arial" w:cs="Arial"/>
        </w:rPr>
        <w:t>argue that environmental investment initiatives deliver their financial benefits at a slow rate spanning multiple years. During tough times of economic downturn sustainability initiatives might appear prohibitively expensive to pursue. Although sustainable options provide better occupancy rates because consumers clearly show increased demand for green practices. Operating expenses related to renewable energy systems together with advanced water-saving technologies function (Cooper, 2021). In conclusion, despite the immediate financial challenges investments demonstrate long-term financial viability because they produce both cost savings and improved customer loyalty.</w:t>
      </w:r>
    </w:p>
    <w:p w14:paraId="452EB5CC">
      <w:pPr>
        <w:rPr>
          <w:rFonts w:ascii="Arial" w:hAnsi="Arial" w:cs="Arial"/>
        </w:rPr>
      </w:pPr>
      <w:r>
        <w:rPr>
          <w:rFonts w:ascii="Arial" w:hAnsi="Arial" w:cs="Arial"/>
        </w:rPr>
        <w:t>Implementation success for the initiative requires masterful management of operational obstacles. Facility closures combined with guest inconvenience during sustainability renovations cause hotels to experience a 10-15% reduction in occupancy (</w:t>
      </w:r>
      <w:r>
        <w:rPr>
          <w:rFonts w:ascii="Arial" w:hAnsi="Arial" w:cs="Arial"/>
          <w:highlight w:val="white"/>
        </w:rPr>
        <w:t xml:space="preserve">Laachach </w:t>
      </w:r>
      <w:r>
        <w:rPr>
          <w:rFonts w:ascii="Arial" w:hAnsi="Arial" w:cs="Arial"/>
          <w:i/>
          <w:highlight w:val="white"/>
        </w:rPr>
        <w:t>et al</w:t>
      </w:r>
      <w:r>
        <w:rPr>
          <w:rFonts w:ascii="Arial" w:hAnsi="Arial" w:cs="Arial"/>
          <w:highlight w:val="white"/>
        </w:rPr>
        <w:t>., 2024)</w:t>
      </w:r>
      <w:r>
        <w:rPr>
          <w:rFonts w:ascii="Arial" w:hAnsi="Arial" w:cs="Arial"/>
        </w:rPr>
        <w:t xml:space="preserve">. Service limitations together with noise introduce barriers that push away potential customers. Implementation disruptions have the potential to harm Marriott's customer retention levels combined with its brand reputation unless customers receive clear information. The staff encounters obstacles when switching between different operational routines. On the other hand, as argued by </w:t>
      </w:r>
      <w:r>
        <w:rPr>
          <w:rFonts w:ascii="Arial" w:hAnsi="Arial" w:cs="Arial"/>
          <w:highlight w:val="white"/>
        </w:rPr>
        <w:t xml:space="preserve">Jasni </w:t>
      </w:r>
      <w:r>
        <w:rPr>
          <w:rFonts w:ascii="Arial" w:hAnsi="Arial" w:cs="Arial"/>
          <w:i/>
          <w:highlight w:val="white"/>
        </w:rPr>
        <w:t>et al</w:t>
      </w:r>
      <w:r>
        <w:rPr>
          <w:rFonts w:ascii="Arial" w:hAnsi="Arial" w:cs="Arial"/>
          <w:highlight w:val="white"/>
        </w:rPr>
        <w:t xml:space="preserve">. (2021), </w:t>
      </w:r>
      <w:r>
        <w:rPr>
          <w:rFonts w:ascii="Arial" w:hAnsi="Arial" w:cs="Arial"/>
        </w:rPr>
        <w:t>the potential negative impact of both financial costs and brand reputation damage is greater than the positive benefits. Multi-location operational changes prove challenging to coordinate because they intensify these critical concerns. Nevertheless, implementing systems in stages together with prepared communications alongside detailed schedule milestones helps avoid disturbances. well-structured employee training enhances process adaptation which decreases customer disappointment levels (Haski-Leventhal, 2018). In summary, a mixture of strategic planning and stakeholder engagement allows Marriott to sustain a seamless transition which both preserves customer trust and delivers operational achievement.</w:t>
      </w:r>
    </w:p>
    <w:p w14:paraId="2C012A7A">
      <w:pPr>
        <w:rPr>
          <w:rFonts w:ascii="Arial" w:hAnsi="Arial" w:cs="Arial"/>
        </w:rPr>
      </w:pPr>
      <w:r>
        <w:rPr>
          <w:rFonts w:ascii="Arial" w:hAnsi="Arial" w:cs="Arial"/>
        </w:rPr>
        <w:t>Through this initiative, Marriott achieves transformative environmental advancements which support their alignment with worldwide sustainability objectives. Total greenhouse gas reductions from complete green practice implementation reach up to 30% levels (</w:t>
      </w:r>
      <w:r>
        <w:rPr>
          <w:rFonts w:ascii="Arial" w:hAnsi="Arial" w:cs="Arial"/>
          <w:highlight w:val="white"/>
        </w:rPr>
        <w:t xml:space="preserve">Singjai </w:t>
      </w:r>
      <w:r>
        <w:rPr>
          <w:rFonts w:ascii="Arial" w:hAnsi="Arial" w:cs="Arial"/>
          <w:i/>
          <w:highlight w:val="white"/>
        </w:rPr>
        <w:t>et al</w:t>
      </w:r>
      <w:r>
        <w:rPr>
          <w:rFonts w:ascii="Arial" w:hAnsi="Arial" w:cs="Arial"/>
          <w:highlight w:val="white"/>
        </w:rPr>
        <w:t>., 2018)</w:t>
      </w:r>
      <w:r>
        <w:rPr>
          <w:rFonts w:ascii="Arial" w:hAnsi="Arial" w:cs="Arial"/>
        </w:rPr>
        <w:t>. During Marriott's annual operations, the company reduces its carbon footprint by thousands of tonnes of CO</w:t>
      </w:r>
      <w:r>
        <w:rPr>
          <w:rFonts w:ascii="Cambria Math" w:hAnsi="Cambria Math" w:cs="Cambria Math"/>
        </w:rPr>
        <w:t>₂</w:t>
      </w:r>
      <w:r>
        <w:rPr>
          <w:rFonts w:ascii="Arial" w:hAnsi="Arial" w:cs="Arial"/>
        </w:rPr>
        <w:t xml:space="preserve">. The hospitality sector must focus on emissions reduction because it generates 8% of total greenhouse gas emissions worldwide. The implementation of these emissions reduction standards enhances Marriott's regulatory compliance efforts while placing the company among industry leaders regarding sustainability objectives. However, </w:t>
      </w:r>
      <w:r>
        <w:rPr>
          <w:rFonts w:ascii="Arial" w:hAnsi="Arial" w:cs="Arial"/>
          <w:highlight w:val="white"/>
        </w:rPr>
        <w:t xml:space="preserve">Prakash </w:t>
      </w:r>
      <w:r>
        <w:rPr>
          <w:rFonts w:ascii="Arial" w:hAnsi="Arial" w:cs="Arial"/>
          <w:i/>
          <w:highlight w:val="white"/>
        </w:rPr>
        <w:t>et al</w:t>
      </w:r>
      <w:r>
        <w:rPr>
          <w:rFonts w:ascii="Arial" w:hAnsi="Arial" w:cs="Arial"/>
          <w:highlight w:val="white"/>
        </w:rPr>
        <w:t>. (2023) contradicted that</w:t>
      </w:r>
      <w:r>
        <w:rPr>
          <w:rFonts w:ascii="Arial" w:hAnsi="Arial" w:cs="Arial"/>
        </w:rPr>
        <w:t xml:space="preserve"> the environmental impact of Marriott's emissions is too small to justify its sustainability initiatives. Global progress needs comprehensive regulatory transformations to happen effectively. Although through leadership initiatives, Marriott creates an industry standard that encourages other hotel chains to implement similar practices thus multiplying their environmental success. The marketplace appeal of sustainable travel attracts environmentally aware visitors which in turn strengthens Marriott's industry position. In summary, the company's focus on environmental rewards enables both worldwide sustainability progress and the establishment of its position as an industry leader dedicated to eco-consciousness.</w:t>
      </w:r>
    </w:p>
    <w:p w14:paraId="7AC051E4">
      <w:pPr>
        <w:rPr>
          <w:rFonts w:ascii="Arial" w:hAnsi="Arial" w:cs="Arial"/>
        </w:rPr>
      </w:pPr>
      <w:r>
        <w:rPr>
          <w:rFonts w:ascii="Arial" w:hAnsi="Arial" w:cs="Arial"/>
        </w:rPr>
        <w:t>Implementation of this initiative may encounter opposition from investors who focus on short-term financial gain rather than lasting sustainability goals. Hotel investors at 40% rate sustainability projects doubtful due to their belief that sustainable measures represent high-risk methods for achieving immediate financial returns (</w:t>
      </w:r>
      <w:r>
        <w:rPr>
          <w:rFonts w:ascii="Arial" w:hAnsi="Arial" w:cs="Arial"/>
          <w:highlight w:val="white"/>
        </w:rPr>
        <w:t xml:space="preserve">Martínez-Martínez </w:t>
      </w:r>
      <w:r>
        <w:rPr>
          <w:rFonts w:ascii="Arial" w:hAnsi="Arial" w:cs="Arial"/>
          <w:i/>
          <w:highlight w:val="white"/>
        </w:rPr>
        <w:t>et al</w:t>
      </w:r>
      <w:r>
        <w:rPr>
          <w:rFonts w:ascii="Arial" w:hAnsi="Arial" w:cs="Arial"/>
          <w:highlight w:val="white"/>
        </w:rPr>
        <w:t>., 2019)</w:t>
      </w:r>
      <w:r>
        <w:rPr>
          <w:rFonts w:ascii="Arial" w:hAnsi="Arial" w:cs="Arial"/>
        </w:rPr>
        <w:t xml:space="preserve">. Stakeholder pushback against funding obstructs approval processes which subsequently slows down implementation efforts for this initiative. The decision to invest funds during periods of economic unrest receives questions about needed prioritisation from key stakeholders. However, </w:t>
      </w:r>
      <w:r>
        <w:rPr>
          <w:rFonts w:ascii="Arial" w:hAnsi="Arial" w:cs="Arial"/>
          <w:highlight w:val="white"/>
        </w:rPr>
        <w:t>Tulsi and Ji (2020) argued that</w:t>
      </w:r>
      <w:r>
        <w:rPr>
          <w:rFonts w:ascii="Arial" w:hAnsi="Arial" w:cs="Arial"/>
        </w:rPr>
        <w:t xml:space="preserve"> business success depends on profitability because it sustains financial stakeholder trust and operational business continuity. Nevertheless, business organisations must recognise sustainability as a critical business necessity because customers are increasingly demanding eco-friendly operations and regulatory agencies require additional sustainability requirements (Sloan </w:t>
      </w:r>
      <w:r>
        <w:rPr>
          <w:rFonts w:ascii="Arial" w:hAnsi="Arial" w:cs="Arial"/>
          <w:i/>
          <w:iCs/>
        </w:rPr>
        <w:t>et al.</w:t>
      </w:r>
      <w:r>
        <w:rPr>
          <w:rFonts w:ascii="Arial" w:hAnsi="Arial" w:cs="Arial"/>
        </w:rPr>
        <w:t>, 2017). In conclusion, achieving sustainable success requires organisations to harmonise environmental priorities with stakeholder interests for long-term financial health.</w:t>
      </w:r>
    </w:p>
    <w:p w14:paraId="63CA5FB4">
      <w:pPr>
        <w:rPr>
          <w:rFonts w:ascii="Arial" w:hAnsi="Arial" w:cs="Arial"/>
        </w:rPr>
      </w:pPr>
    </w:p>
    <w:p w14:paraId="193F336A">
      <w:pPr>
        <w:rPr>
          <w:rFonts w:ascii="Arial" w:hAnsi="Arial" w:cs="Arial"/>
        </w:rPr>
      </w:pPr>
      <w:r>
        <w:rPr>
          <w:rFonts w:ascii="Arial" w:hAnsi="Arial" w:cs="Arial"/>
        </w:rPr>
        <w:t>In conclusion, the essay analysed sustainable practice gaps within Marriott Hotel UK before suggesting a green initiative to resolve these shortfalls. Intensive costs and operational hurdles exist with this initiative however the extended benefits make these difficulties manageable. Sustainable solutions integrated into the business model increase operational efficiency while decreasing environmental impact and conform Marriott to worldwide sustainable requirements. Though initial obstacle resolution required sequential deployment together with clear informational communication methods Marriott will create sustainability standards for hotel sector leadership. This initiative builds a strong brand reputation for the hotel while placing it at the forefront of environmentally conscious practice while sustaining economic prosperity.</w:t>
      </w:r>
    </w:p>
    <w:p w14:paraId="328818C1">
      <w:pPr>
        <w:spacing w:after="160" w:line="259" w:lineRule="auto"/>
        <w:jc w:val="left"/>
        <w:rPr>
          <w:rFonts w:ascii="Arial" w:hAnsi="Arial" w:cs="Arial"/>
          <w:b/>
        </w:rPr>
      </w:pPr>
      <w:r>
        <w:rPr>
          <w:rFonts w:ascii="Arial" w:hAnsi="Arial" w:cs="Arial"/>
        </w:rPr>
        <w:br w:type="page"/>
      </w:r>
    </w:p>
    <w:p w14:paraId="71EF7F3F">
      <w:pPr>
        <w:pStyle w:val="3"/>
        <w:rPr>
          <w:rFonts w:ascii="Arial" w:hAnsi="Arial" w:cs="Arial"/>
        </w:rPr>
      </w:pPr>
      <w:bookmarkStart w:id="1" w:name="_Toc20412"/>
      <w:r>
        <w:rPr>
          <w:rFonts w:ascii="Arial" w:hAnsi="Arial" w:cs="Arial"/>
        </w:rPr>
        <w:t>References</w:t>
      </w:r>
      <w:bookmarkEnd w:id="1"/>
    </w:p>
    <w:p w14:paraId="5B7278E6">
      <w:pPr>
        <w:rPr>
          <w:rFonts w:ascii="Arial" w:hAnsi="Arial" w:cs="Arial"/>
        </w:rPr>
      </w:pPr>
      <w:r>
        <w:rPr>
          <w:rFonts w:ascii="Arial" w:hAnsi="Arial" w:cs="Arial"/>
        </w:rPr>
        <w:t>Antonschmidt, H. and Lund-Durlacher, D., 2021. Stimulating food waste reduction behaviour among hotel guests through context manipulation. </w:t>
      </w:r>
      <w:r>
        <w:rPr>
          <w:rFonts w:ascii="Arial" w:hAnsi="Arial" w:cs="Arial"/>
          <w:i/>
          <w:iCs/>
        </w:rPr>
        <w:t>Journal of Cleaner Production</w:t>
      </w:r>
      <w:r>
        <w:rPr>
          <w:rFonts w:ascii="Arial" w:hAnsi="Arial" w:cs="Arial"/>
        </w:rPr>
        <w:t>, </w:t>
      </w:r>
      <w:r>
        <w:rPr>
          <w:rFonts w:ascii="Arial" w:hAnsi="Arial" w:cs="Arial"/>
          <w:i/>
          <w:iCs/>
        </w:rPr>
        <w:t>329</w:t>
      </w:r>
      <w:r>
        <w:rPr>
          <w:rFonts w:ascii="Arial" w:hAnsi="Arial" w:cs="Arial"/>
        </w:rPr>
        <w:t>, p.129709.</w:t>
      </w:r>
    </w:p>
    <w:p w14:paraId="5194F23C">
      <w:pPr>
        <w:rPr>
          <w:rFonts w:ascii="Arial" w:hAnsi="Arial" w:cs="Arial"/>
        </w:rPr>
      </w:pPr>
      <w:r>
        <w:rPr>
          <w:rFonts w:ascii="Arial" w:hAnsi="Arial" w:cs="Arial"/>
        </w:rPr>
        <w:t>Cooper, C., 2021. Essentials of tourism. Third edition. London: SAGE.</w:t>
      </w:r>
    </w:p>
    <w:p w14:paraId="5A1DCA1A">
      <w:pPr>
        <w:rPr>
          <w:rFonts w:ascii="Arial" w:hAnsi="Arial" w:cs="Arial"/>
        </w:rPr>
      </w:pPr>
      <w:r>
        <w:rPr>
          <w:rFonts w:ascii="Arial" w:hAnsi="Arial" w:cs="Arial"/>
        </w:rPr>
        <w:t>Gajić, T., Petrović, M.D., Pešić, A.M., Conić, M. and Gligorijević, N., 2024. Innovative Approaches in Hotel Management: Integrating Artificial Intelligence (AI) and the Internet of Things (IoT) to Enhance Operational Efficiency and Sustainability. </w:t>
      </w:r>
      <w:r>
        <w:rPr>
          <w:rFonts w:ascii="Arial" w:hAnsi="Arial" w:cs="Arial"/>
          <w:i/>
          <w:iCs/>
        </w:rPr>
        <w:t>Sustainability</w:t>
      </w:r>
      <w:r>
        <w:rPr>
          <w:rFonts w:ascii="Arial" w:hAnsi="Arial" w:cs="Arial"/>
        </w:rPr>
        <w:t>, </w:t>
      </w:r>
      <w:r>
        <w:rPr>
          <w:rFonts w:ascii="Arial" w:hAnsi="Arial" w:cs="Arial"/>
          <w:i/>
          <w:iCs/>
        </w:rPr>
        <w:t>16</w:t>
      </w:r>
      <w:r>
        <w:rPr>
          <w:rFonts w:ascii="Arial" w:hAnsi="Arial" w:cs="Arial"/>
        </w:rPr>
        <w:t>(17), p.7279.</w:t>
      </w:r>
    </w:p>
    <w:p w14:paraId="63D8AA7F">
      <w:pPr>
        <w:rPr>
          <w:rFonts w:ascii="Arial" w:hAnsi="Arial" w:cs="Arial"/>
        </w:rPr>
      </w:pPr>
      <w:r>
        <w:rPr>
          <w:rFonts w:ascii="Arial" w:hAnsi="Arial" w:cs="Arial"/>
        </w:rPr>
        <w:t>Haski-Leventhal, D., 2018. Strategic corporate social responsibility : tools &amp; theories for responsible management. London: SAGE.</w:t>
      </w:r>
    </w:p>
    <w:p w14:paraId="0A11C2B3">
      <w:pPr>
        <w:rPr>
          <w:rFonts w:ascii="Arial" w:hAnsi="Arial" w:cs="Arial"/>
        </w:rPr>
      </w:pPr>
      <w:r>
        <w:rPr>
          <w:rFonts w:ascii="Arial" w:hAnsi="Arial" w:cs="Arial"/>
        </w:rPr>
        <w:t>Hermundsdottir, F. and Aspelund, A., 2021. Sustainability innovations and firm competitiveness: A review. </w:t>
      </w:r>
      <w:r>
        <w:rPr>
          <w:rFonts w:ascii="Arial" w:hAnsi="Arial" w:cs="Arial"/>
          <w:i/>
          <w:iCs/>
        </w:rPr>
        <w:t>Journal of Cleaner Production</w:t>
      </w:r>
      <w:r>
        <w:rPr>
          <w:rFonts w:ascii="Arial" w:hAnsi="Arial" w:cs="Arial"/>
        </w:rPr>
        <w:t>, </w:t>
      </w:r>
      <w:r>
        <w:rPr>
          <w:rFonts w:ascii="Arial" w:hAnsi="Arial" w:cs="Arial"/>
          <w:i/>
          <w:iCs/>
        </w:rPr>
        <w:t>280</w:t>
      </w:r>
      <w:r>
        <w:rPr>
          <w:rFonts w:ascii="Arial" w:hAnsi="Arial" w:cs="Arial"/>
        </w:rPr>
        <w:t>, p.124715.</w:t>
      </w:r>
    </w:p>
    <w:p w14:paraId="66670A77">
      <w:pPr>
        <w:rPr>
          <w:rFonts w:ascii="Arial" w:hAnsi="Arial" w:cs="Arial"/>
        </w:rPr>
      </w:pPr>
      <w:r>
        <w:rPr>
          <w:rFonts w:ascii="Arial" w:hAnsi="Arial" w:cs="Arial"/>
        </w:rPr>
        <w:t>Inkson, C. and Minnaert, L., 2018. Tourism management : an introduction. 2nd ed. London: SAGE.</w:t>
      </w:r>
    </w:p>
    <w:p w14:paraId="1A097556">
      <w:pPr>
        <w:rPr>
          <w:rFonts w:ascii="Arial" w:hAnsi="Arial" w:cs="Arial"/>
          <w:highlight w:val="white"/>
        </w:rPr>
      </w:pPr>
      <w:r>
        <w:rPr>
          <w:rFonts w:ascii="Arial" w:hAnsi="Arial" w:cs="Arial"/>
          <w:highlight w:val="white"/>
        </w:rPr>
        <w:t xml:space="preserve">Jasni, N.S., Yusoff, H. and Wibowo, P., 2021. Internal Business Factors for Business Sustainability: A realistic view from sustainability managers. </w:t>
      </w:r>
      <w:r>
        <w:rPr>
          <w:rFonts w:ascii="Arial" w:hAnsi="Arial" w:cs="Arial"/>
          <w:i/>
          <w:highlight w:val="white"/>
        </w:rPr>
        <w:t>Environment-Behaviour Proceedings Journal</w:t>
      </w:r>
      <w:r>
        <w:rPr>
          <w:rFonts w:ascii="Arial" w:hAnsi="Arial" w:cs="Arial"/>
          <w:highlight w:val="white"/>
        </w:rPr>
        <w:t xml:space="preserve">, </w:t>
      </w:r>
      <w:r>
        <w:rPr>
          <w:rFonts w:ascii="Arial" w:hAnsi="Arial" w:cs="Arial"/>
          <w:i/>
          <w:highlight w:val="white"/>
        </w:rPr>
        <w:t>6</w:t>
      </w:r>
      <w:r>
        <w:rPr>
          <w:rFonts w:ascii="Arial" w:hAnsi="Arial" w:cs="Arial"/>
          <w:highlight w:val="white"/>
        </w:rPr>
        <w:t>(18), pp.3-8.</w:t>
      </w:r>
    </w:p>
    <w:p w14:paraId="77E7329D">
      <w:pPr>
        <w:rPr>
          <w:rFonts w:ascii="Arial" w:hAnsi="Arial" w:cs="Arial"/>
          <w:highlight w:val="white"/>
        </w:rPr>
      </w:pPr>
      <w:r>
        <w:rPr>
          <w:rFonts w:ascii="Arial" w:hAnsi="Arial" w:cs="Arial"/>
          <w:highlight w:val="white"/>
        </w:rPr>
        <w:t xml:space="preserve">Laachach, A., Mumtaz, S. and Andaloussi, B.Z., 2024. Unveiling opportunities and challenges of the metaverse in the tourism and the hospitality sector: A qualitative investigation. </w:t>
      </w:r>
      <w:r>
        <w:rPr>
          <w:rFonts w:ascii="Arial" w:hAnsi="Arial" w:cs="Arial"/>
          <w:i/>
          <w:highlight w:val="white"/>
        </w:rPr>
        <w:t>Tourism and hospitality management</w:t>
      </w:r>
      <w:r>
        <w:rPr>
          <w:rFonts w:ascii="Arial" w:hAnsi="Arial" w:cs="Arial"/>
          <w:highlight w:val="white"/>
        </w:rPr>
        <w:t xml:space="preserve">, </w:t>
      </w:r>
      <w:r>
        <w:rPr>
          <w:rFonts w:ascii="Arial" w:hAnsi="Arial" w:cs="Arial"/>
          <w:i/>
          <w:highlight w:val="white"/>
        </w:rPr>
        <w:t>30</w:t>
      </w:r>
      <w:r>
        <w:rPr>
          <w:rFonts w:ascii="Arial" w:hAnsi="Arial" w:cs="Arial"/>
          <w:highlight w:val="white"/>
        </w:rPr>
        <w:t>(4), pp.1-15.</w:t>
      </w:r>
    </w:p>
    <w:p w14:paraId="7B8DB116">
      <w:pPr>
        <w:rPr>
          <w:rFonts w:ascii="Arial" w:hAnsi="Arial" w:cs="Arial"/>
        </w:rPr>
      </w:pPr>
      <w:r>
        <w:rPr>
          <w:rFonts w:ascii="Arial" w:hAnsi="Arial" w:cs="Arial"/>
        </w:rPr>
        <w:t>Lopresto, C.G., 2024. Sustainable biodiesel production from waste cooking oils for energetically independent small communities: an overview. </w:t>
      </w:r>
      <w:r>
        <w:rPr>
          <w:rFonts w:ascii="Arial" w:hAnsi="Arial" w:cs="Arial"/>
          <w:i/>
          <w:iCs/>
        </w:rPr>
        <w:t>International Journal of Environmental Science and Technology</w:t>
      </w:r>
      <w:r>
        <w:rPr>
          <w:rFonts w:ascii="Arial" w:hAnsi="Arial" w:cs="Arial"/>
        </w:rPr>
        <w:t>, pp.1-22.</w:t>
      </w:r>
    </w:p>
    <w:p w14:paraId="05CF832B">
      <w:pPr>
        <w:rPr>
          <w:rFonts w:ascii="Arial" w:hAnsi="Arial" w:cs="Arial"/>
        </w:rPr>
      </w:pPr>
      <w:r>
        <w:rPr>
          <w:rFonts w:ascii="Arial" w:hAnsi="Arial" w:cs="Arial"/>
        </w:rPr>
        <w:t>Manea, E.E., Bumbac, C., Dinu, L.R., Bumbac, M. and Nicolescu, C.M., 2024. Composting as a sustainable solution for organic solid waste management: current practices and potential improvements. </w:t>
      </w:r>
      <w:r>
        <w:rPr>
          <w:rFonts w:ascii="Arial" w:hAnsi="Arial" w:cs="Arial"/>
          <w:i/>
          <w:iCs/>
        </w:rPr>
        <w:t>Sustainability</w:t>
      </w:r>
      <w:r>
        <w:rPr>
          <w:rFonts w:ascii="Arial" w:hAnsi="Arial" w:cs="Arial"/>
        </w:rPr>
        <w:t>, </w:t>
      </w:r>
      <w:r>
        <w:rPr>
          <w:rFonts w:ascii="Arial" w:hAnsi="Arial" w:cs="Arial"/>
          <w:i/>
          <w:iCs/>
        </w:rPr>
        <w:t>16</w:t>
      </w:r>
      <w:r>
        <w:rPr>
          <w:rFonts w:ascii="Arial" w:hAnsi="Arial" w:cs="Arial"/>
        </w:rPr>
        <w:t>(15), p.6329.</w:t>
      </w:r>
    </w:p>
    <w:p w14:paraId="04E7CAF0">
      <w:pPr>
        <w:rPr>
          <w:rFonts w:ascii="Arial" w:hAnsi="Arial" w:cs="Arial"/>
        </w:rPr>
      </w:pPr>
      <w:r>
        <w:rPr>
          <w:rFonts w:ascii="Arial" w:hAnsi="Arial" w:cs="Arial"/>
        </w:rPr>
        <w:t xml:space="preserve">Marriott, 2024. </w:t>
      </w:r>
      <w:r>
        <w:rPr>
          <w:rFonts w:ascii="Arial" w:hAnsi="Arial" w:cs="Arial"/>
          <w:i/>
        </w:rPr>
        <w:t>2024 SERVE 360 REPORT_Environmental, Social &amp; Governance Global Progress</w:t>
      </w:r>
      <w:r>
        <w:rPr>
          <w:rFonts w:ascii="Arial" w:hAnsi="Arial" w:cs="Arial"/>
        </w:rPr>
        <w:t>. Available at: https://serve360.marriott.com/wp-content/uploads/2024/07/2024ESGProgress.pdf (Accessed: 25 January 2025).</w:t>
      </w:r>
    </w:p>
    <w:p w14:paraId="4B610326">
      <w:pPr>
        <w:rPr>
          <w:rFonts w:ascii="Arial" w:hAnsi="Arial" w:cs="Arial"/>
          <w:lang w:val="en-IN"/>
        </w:rPr>
      </w:pPr>
      <w:r>
        <w:rPr>
          <w:rFonts w:ascii="Arial" w:hAnsi="Arial" w:cs="Arial"/>
          <w:lang w:val="en-IN"/>
        </w:rPr>
        <w:t>Marriott, 2024. </w:t>
      </w:r>
      <w:r>
        <w:rPr>
          <w:rFonts w:ascii="Arial" w:hAnsi="Arial" w:cs="Arial"/>
          <w:i/>
          <w:iCs/>
          <w:lang w:val="en-IN"/>
        </w:rPr>
        <w:t>Marriott Hotels UK, Ireland and Nordics Launches Initiative to Reduce Food Waste Across 53 Hotels, Integrating Winnow AI Technology to Achieve 25% Waste Reduction in First Six Months of 2024</w:t>
      </w:r>
      <w:r>
        <w:rPr>
          <w:rFonts w:ascii="Arial" w:hAnsi="Arial" w:cs="Arial"/>
          <w:lang w:val="en-IN"/>
        </w:rPr>
        <w:t>, </w:t>
      </w:r>
      <w:r>
        <w:rPr>
          <w:rFonts w:ascii="Arial" w:hAnsi="Arial" w:cs="Arial"/>
          <w:i/>
          <w:iCs/>
          <w:lang w:val="en-IN"/>
        </w:rPr>
        <w:t>Marriott International Media Centre</w:t>
      </w:r>
      <w:r>
        <w:rPr>
          <w:rFonts w:ascii="Arial" w:hAnsi="Arial" w:cs="Arial"/>
          <w:lang w:val="en-IN"/>
        </w:rPr>
        <w:t>. Available at: https://marriott-international.pressarea.com/en/news/17102024/marriott-hotels-uk-ireland-and-nordics-launches-initiative-to-reduce-food-waste-across-53-hotels-1 (Accessed: 25 January 2025).</w:t>
      </w:r>
    </w:p>
    <w:p w14:paraId="63C297DA">
      <w:pPr>
        <w:rPr>
          <w:rFonts w:ascii="Arial" w:hAnsi="Arial" w:cs="Arial"/>
          <w:highlight w:val="white"/>
        </w:rPr>
      </w:pPr>
      <w:r>
        <w:rPr>
          <w:rFonts w:ascii="Arial" w:hAnsi="Arial" w:cs="Arial"/>
          <w:highlight w:val="white"/>
        </w:rPr>
        <w:t xml:space="preserve">Martínez-Martínez, A., Cegarra-Navarro, J.G., Garcia-Perez, A. and Wensley, A., 2019. Knowledge agents as drivers of environmental sustainability and business performance in the hospitality sector. </w:t>
      </w:r>
      <w:r>
        <w:rPr>
          <w:rFonts w:ascii="Arial" w:hAnsi="Arial" w:cs="Arial"/>
          <w:i/>
          <w:highlight w:val="white"/>
        </w:rPr>
        <w:t>Tourism management</w:t>
      </w:r>
      <w:r>
        <w:rPr>
          <w:rFonts w:ascii="Arial" w:hAnsi="Arial" w:cs="Arial"/>
          <w:highlight w:val="white"/>
        </w:rPr>
        <w:t xml:space="preserve">, </w:t>
      </w:r>
      <w:r>
        <w:rPr>
          <w:rFonts w:ascii="Arial" w:hAnsi="Arial" w:cs="Arial"/>
          <w:i/>
          <w:highlight w:val="white"/>
        </w:rPr>
        <w:t>70</w:t>
      </w:r>
      <w:r>
        <w:rPr>
          <w:rFonts w:ascii="Arial" w:hAnsi="Arial" w:cs="Arial"/>
          <w:highlight w:val="white"/>
        </w:rPr>
        <w:t>, pp.381-389.</w:t>
      </w:r>
    </w:p>
    <w:p w14:paraId="3B48783D">
      <w:pPr>
        <w:rPr>
          <w:rFonts w:ascii="Arial" w:hAnsi="Arial" w:cs="Arial"/>
          <w:highlight w:val="white"/>
        </w:rPr>
      </w:pPr>
      <w:r>
        <w:rPr>
          <w:rFonts w:ascii="Arial" w:hAnsi="Arial" w:cs="Arial"/>
          <w:highlight w:val="white"/>
        </w:rPr>
        <w:t xml:space="preserve">Motta, V. and Sharma, A., 2020. Lending technologies and access to finance for SMEs in the hospitality industry. </w:t>
      </w:r>
      <w:r>
        <w:rPr>
          <w:rFonts w:ascii="Arial" w:hAnsi="Arial" w:cs="Arial"/>
          <w:i/>
          <w:highlight w:val="white"/>
        </w:rPr>
        <w:t>International Journal of Hospitality Management</w:t>
      </w:r>
      <w:r>
        <w:rPr>
          <w:rFonts w:ascii="Arial" w:hAnsi="Arial" w:cs="Arial"/>
          <w:highlight w:val="white"/>
        </w:rPr>
        <w:t xml:space="preserve">, </w:t>
      </w:r>
      <w:r>
        <w:rPr>
          <w:rFonts w:ascii="Arial" w:hAnsi="Arial" w:cs="Arial"/>
          <w:i/>
          <w:highlight w:val="white"/>
        </w:rPr>
        <w:t>86</w:t>
      </w:r>
      <w:r>
        <w:rPr>
          <w:rFonts w:ascii="Arial" w:hAnsi="Arial" w:cs="Arial"/>
          <w:highlight w:val="white"/>
        </w:rPr>
        <w:t>, p.102371.</w:t>
      </w:r>
    </w:p>
    <w:p w14:paraId="6639812B">
      <w:pPr>
        <w:rPr>
          <w:rFonts w:ascii="Arial" w:hAnsi="Arial" w:cs="Arial"/>
          <w:highlight w:val="white"/>
        </w:rPr>
      </w:pPr>
      <w:r>
        <w:rPr>
          <w:rFonts w:ascii="Arial" w:hAnsi="Arial" w:cs="Arial"/>
          <w:highlight w:val="white"/>
        </w:rPr>
        <w:t>O’Callaghan, B.J. and Murdock, E., 2021. Are we building back better? Evidence from 2020 and pathways for inclusive green recovery spending, pp.45-191.</w:t>
      </w:r>
    </w:p>
    <w:p w14:paraId="471D33A0">
      <w:pPr>
        <w:rPr>
          <w:rFonts w:ascii="Arial" w:hAnsi="Arial" w:cs="Arial"/>
          <w:lang w:val="en-IN"/>
        </w:rPr>
      </w:pPr>
      <w:r>
        <w:rPr>
          <w:rFonts w:ascii="Arial" w:hAnsi="Arial" w:cs="Arial"/>
          <w:lang w:val="en-IN"/>
        </w:rPr>
        <w:t>Orbisk, 2024</w:t>
      </w:r>
      <w:r>
        <w:rPr>
          <w:rFonts w:ascii="Arial" w:hAnsi="Arial" w:cs="Arial"/>
          <w:i/>
          <w:iCs/>
          <w:lang w:val="en-IN"/>
        </w:rPr>
        <w:t>. Reduce Food Waste in Your Hotel</w:t>
      </w:r>
      <w:r>
        <w:rPr>
          <w:rFonts w:ascii="Arial" w:hAnsi="Arial" w:cs="Arial"/>
          <w:lang w:val="en-IN"/>
        </w:rPr>
        <w:t>. Available at: https://orbisk.com/hotels/ (Accessed: 25 January 2025).</w:t>
      </w:r>
    </w:p>
    <w:p w14:paraId="46525545">
      <w:pPr>
        <w:rPr>
          <w:rFonts w:ascii="Arial" w:hAnsi="Arial" w:cs="Arial"/>
          <w:highlight w:val="white"/>
        </w:rPr>
      </w:pPr>
      <w:r>
        <w:rPr>
          <w:rFonts w:ascii="Arial" w:hAnsi="Arial" w:cs="Arial"/>
          <w:highlight w:val="white"/>
        </w:rPr>
        <w:t xml:space="preserve">Prakash, S., Sharma, V.P., Singh, R. and Vijayvargy, L., 2023. Adopting green and sustainable practices in the hotel industry operations-an analysis of critical performance indicators for improved environmental quality. </w:t>
      </w:r>
      <w:r>
        <w:rPr>
          <w:rFonts w:ascii="Arial" w:hAnsi="Arial" w:cs="Arial"/>
          <w:i/>
          <w:highlight w:val="white"/>
        </w:rPr>
        <w:t>Management of Environmental Quality: An International Journal</w:t>
      </w:r>
      <w:r>
        <w:rPr>
          <w:rFonts w:ascii="Arial" w:hAnsi="Arial" w:cs="Arial"/>
          <w:highlight w:val="white"/>
        </w:rPr>
        <w:t xml:space="preserve">, </w:t>
      </w:r>
      <w:r>
        <w:rPr>
          <w:rFonts w:ascii="Arial" w:hAnsi="Arial" w:cs="Arial"/>
          <w:i/>
          <w:highlight w:val="white"/>
        </w:rPr>
        <w:t>34</w:t>
      </w:r>
      <w:r>
        <w:rPr>
          <w:rFonts w:ascii="Arial" w:hAnsi="Arial" w:cs="Arial"/>
          <w:highlight w:val="white"/>
        </w:rPr>
        <w:t>(4), pp.1057-1076.</w:t>
      </w:r>
    </w:p>
    <w:p w14:paraId="5F9E113B">
      <w:pPr>
        <w:rPr>
          <w:rFonts w:ascii="Arial" w:hAnsi="Arial" w:cs="Arial"/>
          <w:lang w:val="en-IN"/>
        </w:rPr>
      </w:pPr>
      <w:r>
        <w:rPr>
          <w:rFonts w:ascii="Arial" w:hAnsi="Arial" w:cs="Arial"/>
          <w:lang w:val="en-IN"/>
        </w:rPr>
        <w:t>Savage, S., 2022. </w:t>
      </w:r>
      <w:r>
        <w:rPr>
          <w:rFonts w:ascii="Arial" w:hAnsi="Arial" w:cs="Arial"/>
          <w:i/>
          <w:iCs/>
          <w:lang w:val="en-IN"/>
        </w:rPr>
        <w:t>Making The Connections To Facilitate Responsible Waste Management</w:t>
      </w:r>
      <w:r>
        <w:rPr>
          <w:rFonts w:ascii="Arial" w:hAnsi="Arial" w:cs="Arial"/>
          <w:lang w:val="en-IN"/>
        </w:rPr>
        <w:t>, </w:t>
      </w:r>
      <w:r>
        <w:rPr>
          <w:rFonts w:ascii="Arial" w:hAnsi="Arial" w:cs="Arial"/>
          <w:i/>
          <w:iCs/>
          <w:lang w:val="en-IN"/>
        </w:rPr>
        <w:t>Forbes</w:t>
      </w:r>
      <w:r>
        <w:rPr>
          <w:rFonts w:ascii="Arial" w:hAnsi="Arial" w:cs="Arial"/>
          <w:lang w:val="en-IN"/>
        </w:rPr>
        <w:t>. Forbes Magazine. Available at: https://www.forbes.com/sites/stevensavage/2022/11/15/making-the-connections-to-facilitate-responsible-waste-management/ (Accessed: 25 January 2025).</w:t>
      </w:r>
    </w:p>
    <w:p w14:paraId="4E07E41E">
      <w:pPr>
        <w:rPr>
          <w:rFonts w:ascii="Arial" w:hAnsi="Arial" w:cs="Arial"/>
          <w:lang w:val="en-IN"/>
        </w:rPr>
      </w:pPr>
      <w:r>
        <w:rPr>
          <w:rFonts w:ascii="Arial" w:hAnsi="Arial" w:cs="Arial"/>
          <w:lang w:val="en-IN"/>
        </w:rPr>
        <w:t>Schipper, V., 2024. </w:t>
      </w:r>
      <w:r>
        <w:rPr>
          <w:rFonts w:ascii="Arial" w:hAnsi="Arial" w:cs="Arial"/>
          <w:i/>
          <w:iCs/>
          <w:lang w:val="en-IN"/>
        </w:rPr>
        <w:t>Five years of food waste reduction with Orbisk: 737,520 kilos saved!</w:t>
      </w:r>
      <w:r>
        <w:rPr>
          <w:rFonts w:ascii="Arial" w:hAnsi="Arial" w:cs="Arial"/>
          <w:lang w:val="en-IN"/>
        </w:rPr>
        <w:t>, </w:t>
      </w:r>
      <w:r>
        <w:rPr>
          <w:rFonts w:ascii="Arial" w:hAnsi="Arial" w:cs="Arial"/>
          <w:i/>
          <w:iCs/>
          <w:lang w:val="en-IN"/>
        </w:rPr>
        <w:t>Orbisk</w:t>
      </w:r>
      <w:r>
        <w:rPr>
          <w:rFonts w:ascii="Arial" w:hAnsi="Arial" w:cs="Arial"/>
          <w:lang w:val="en-IN"/>
        </w:rPr>
        <w:t>. Available at: https://orbisk.com/blog/within-five-years-737520-kilos-less-food-waste-thanks-to-the-artificial-intelligence-of-orbisk/ (Accessed: 25 January 2025).</w:t>
      </w:r>
    </w:p>
    <w:p w14:paraId="1FC72B04">
      <w:pPr>
        <w:rPr>
          <w:rFonts w:ascii="Arial" w:hAnsi="Arial" w:cs="Arial"/>
        </w:rPr>
      </w:pPr>
      <w:r>
        <w:rPr>
          <w:rFonts w:ascii="Arial" w:hAnsi="Arial" w:cs="Arial"/>
          <w:highlight w:val="white"/>
        </w:rPr>
        <w:t xml:space="preserve">Seidel, S., Vrenegoor, F. and Cavagnaro, E., 2021. Sustainable behaviour in tourism and hospitality. </w:t>
      </w:r>
      <w:r>
        <w:rPr>
          <w:rFonts w:ascii="Arial" w:hAnsi="Arial" w:cs="Arial"/>
          <w:i/>
          <w:highlight w:val="white"/>
        </w:rPr>
        <w:t>Scandinavian Journal of Hospitality and Tourism</w:t>
      </w:r>
      <w:r>
        <w:rPr>
          <w:rFonts w:ascii="Arial" w:hAnsi="Arial" w:cs="Arial"/>
          <w:highlight w:val="white"/>
        </w:rPr>
        <w:t xml:space="preserve">, </w:t>
      </w:r>
      <w:r>
        <w:rPr>
          <w:rFonts w:ascii="Arial" w:hAnsi="Arial" w:cs="Arial"/>
          <w:i/>
          <w:highlight w:val="white"/>
        </w:rPr>
        <w:t>21</w:t>
      </w:r>
      <w:r>
        <w:rPr>
          <w:rFonts w:ascii="Arial" w:hAnsi="Arial" w:cs="Arial"/>
          <w:highlight w:val="white"/>
        </w:rPr>
        <w:t>(5), pp.471-474.</w:t>
      </w:r>
    </w:p>
    <w:p w14:paraId="36CA034F">
      <w:pPr>
        <w:rPr>
          <w:rFonts w:ascii="Arial" w:hAnsi="Arial" w:cs="Arial"/>
          <w:highlight w:val="white"/>
        </w:rPr>
      </w:pPr>
      <w:r>
        <w:rPr>
          <w:rFonts w:ascii="Arial" w:hAnsi="Arial" w:cs="Arial"/>
          <w:highlight w:val="white"/>
        </w:rPr>
        <w:t xml:space="preserve">Sijtsma, F.J., van der Veen, E., van Hinsberg, A., Pouwels, R., Bekker, R., van Dijk, R.E., Grutters, M., Klaassen, R., Krijn, M., Mouissie, M. and Wymenga, E., 2020. Ecological impact and cost-effectiveness of wildlife crossings in a highly fragmented landscape: a multi-method approach. </w:t>
      </w:r>
      <w:r>
        <w:rPr>
          <w:rFonts w:ascii="Arial" w:hAnsi="Arial" w:cs="Arial"/>
          <w:i/>
          <w:highlight w:val="white"/>
        </w:rPr>
        <w:t>Landscape Ecology</w:t>
      </w:r>
      <w:r>
        <w:rPr>
          <w:rFonts w:ascii="Arial" w:hAnsi="Arial" w:cs="Arial"/>
          <w:highlight w:val="white"/>
        </w:rPr>
        <w:t xml:space="preserve">, </w:t>
      </w:r>
      <w:r>
        <w:rPr>
          <w:rFonts w:ascii="Arial" w:hAnsi="Arial" w:cs="Arial"/>
          <w:i/>
          <w:highlight w:val="white"/>
        </w:rPr>
        <w:t>35</w:t>
      </w:r>
      <w:r>
        <w:rPr>
          <w:rFonts w:ascii="Arial" w:hAnsi="Arial" w:cs="Arial"/>
          <w:highlight w:val="white"/>
        </w:rPr>
        <w:t>, pp.1701-1720.</w:t>
      </w:r>
    </w:p>
    <w:p w14:paraId="7EEDB2C8">
      <w:pPr>
        <w:rPr>
          <w:rFonts w:ascii="Arial" w:hAnsi="Arial" w:cs="Arial"/>
          <w:highlight w:val="white"/>
        </w:rPr>
      </w:pPr>
      <w:r>
        <w:rPr>
          <w:rFonts w:ascii="Arial" w:hAnsi="Arial" w:cs="Arial"/>
          <w:highlight w:val="white"/>
        </w:rPr>
        <w:t xml:space="preserve">Singjai, K., Winata, L. and Kummer, T.F., 2018. Green initiatives and their competitive advantage for the hotel industry in developing countries. </w:t>
      </w:r>
      <w:r>
        <w:rPr>
          <w:rFonts w:ascii="Arial" w:hAnsi="Arial" w:cs="Arial"/>
          <w:i/>
          <w:highlight w:val="white"/>
        </w:rPr>
        <w:t>International Journal of Hospitality Management</w:t>
      </w:r>
      <w:r>
        <w:rPr>
          <w:rFonts w:ascii="Arial" w:hAnsi="Arial" w:cs="Arial"/>
          <w:highlight w:val="white"/>
        </w:rPr>
        <w:t xml:space="preserve">, </w:t>
      </w:r>
      <w:r>
        <w:rPr>
          <w:rFonts w:ascii="Arial" w:hAnsi="Arial" w:cs="Arial"/>
          <w:i/>
          <w:highlight w:val="white"/>
        </w:rPr>
        <w:t>75</w:t>
      </w:r>
      <w:r>
        <w:rPr>
          <w:rFonts w:ascii="Arial" w:hAnsi="Arial" w:cs="Arial"/>
          <w:highlight w:val="white"/>
        </w:rPr>
        <w:t>, pp.131-143.</w:t>
      </w:r>
    </w:p>
    <w:p w14:paraId="7FF08EA0">
      <w:pPr>
        <w:rPr>
          <w:rFonts w:ascii="Arial" w:hAnsi="Arial" w:cs="Arial"/>
        </w:rPr>
      </w:pPr>
      <w:r>
        <w:rPr>
          <w:rFonts w:ascii="Arial" w:hAnsi="Arial" w:cs="Arial"/>
        </w:rPr>
        <w:t>Sloan, P., Legrand, W. and Chen, J.S., 2017. Sustainability in the hospitality industry : principles of sustainable operations. 3</w:t>
      </w:r>
      <w:r>
        <w:rPr>
          <w:rFonts w:ascii="Arial" w:hAnsi="Arial" w:cs="Arial"/>
          <w:vertAlign w:val="superscript"/>
        </w:rPr>
        <w:t>rd</w:t>
      </w:r>
      <w:r>
        <w:rPr>
          <w:rFonts w:ascii="Arial" w:hAnsi="Arial" w:cs="Arial"/>
        </w:rPr>
        <w:t xml:space="preserve"> edn. London: Butterworth-Heinemann.</w:t>
      </w:r>
    </w:p>
    <w:p w14:paraId="117288BA">
      <w:pPr>
        <w:rPr>
          <w:rFonts w:ascii="Arial" w:hAnsi="Arial" w:cs="Arial"/>
        </w:rPr>
      </w:pPr>
    </w:p>
    <w:sectPr>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Calibri Light">
    <w:panose1 w:val="020F0302020204030204"/>
    <w:charset w:val="00"/>
    <w:family w:val="swiss"/>
    <w:pitch w:val="default"/>
    <w:sig w:usb0="E4002EFF" w:usb1="C200247B" w:usb2="00000009" w:usb3="00000000" w:csb0="200001FF" w:csb1="00000000"/>
  </w:font>
  <w:font w:name="Cambria Math">
    <w:panose1 w:val="02040503050406030204"/>
    <w:charset w:val="00"/>
    <w:family w:val="roman"/>
    <w:pitch w:val="default"/>
    <w:sig w:usb0="E00006FF" w:usb1="420024FF" w:usb2="02000000"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removePersonalInformation/>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46D6"/>
    <w:rsid w:val="00032BE9"/>
    <w:rsid w:val="000707CA"/>
    <w:rsid w:val="000821C6"/>
    <w:rsid w:val="000858F3"/>
    <w:rsid w:val="00091D43"/>
    <w:rsid w:val="00095F3C"/>
    <w:rsid w:val="000C0058"/>
    <w:rsid w:val="000C2B15"/>
    <w:rsid w:val="000C7F8B"/>
    <w:rsid w:val="000D1D1E"/>
    <w:rsid w:val="000E1FCB"/>
    <w:rsid w:val="000E20B4"/>
    <w:rsid w:val="000E4F6B"/>
    <w:rsid w:val="000F210A"/>
    <w:rsid w:val="000F42C8"/>
    <w:rsid w:val="00113051"/>
    <w:rsid w:val="00126405"/>
    <w:rsid w:val="0013646A"/>
    <w:rsid w:val="0014319A"/>
    <w:rsid w:val="00145F04"/>
    <w:rsid w:val="00150E2E"/>
    <w:rsid w:val="00156E4F"/>
    <w:rsid w:val="00170075"/>
    <w:rsid w:val="00174477"/>
    <w:rsid w:val="00177A2E"/>
    <w:rsid w:val="001A1709"/>
    <w:rsid w:val="001B1327"/>
    <w:rsid w:val="001C75F8"/>
    <w:rsid w:val="001D6EC6"/>
    <w:rsid w:val="001F5F48"/>
    <w:rsid w:val="00226492"/>
    <w:rsid w:val="00247A41"/>
    <w:rsid w:val="00261206"/>
    <w:rsid w:val="00261303"/>
    <w:rsid w:val="00261BC9"/>
    <w:rsid w:val="0027544A"/>
    <w:rsid w:val="00284E7A"/>
    <w:rsid w:val="002B4CAE"/>
    <w:rsid w:val="002D021C"/>
    <w:rsid w:val="002E14E9"/>
    <w:rsid w:val="002E74DC"/>
    <w:rsid w:val="002F4B80"/>
    <w:rsid w:val="00300D73"/>
    <w:rsid w:val="00332EC0"/>
    <w:rsid w:val="0033673C"/>
    <w:rsid w:val="00354501"/>
    <w:rsid w:val="0035727D"/>
    <w:rsid w:val="00362217"/>
    <w:rsid w:val="00363CEB"/>
    <w:rsid w:val="00373CEC"/>
    <w:rsid w:val="00375A9E"/>
    <w:rsid w:val="00383A02"/>
    <w:rsid w:val="00384DCB"/>
    <w:rsid w:val="00396F03"/>
    <w:rsid w:val="003A1178"/>
    <w:rsid w:val="003A3D99"/>
    <w:rsid w:val="003A6EEA"/>
    <w:rsid w:val="003C4FC0"/>
    <w:rsid w:val="003D3C20"/>
    <w:rsid w:val="003D4AB6"/>
    <w:rsid w:val="003D59F8"/>
    <w:rsid w:val="003E6ED7"/>
    <w:rsid w:val="00406A11"/>
    <w:rsid w:val="00410E46"/>
    <w:rsid w:val="00413D26"/>
    <w:rsid w:val="00433183"/>
    <w:rsid w:val="004432C5"/>
    <w:rsid w:val="0044530C"/>
    <w:rsid w:val="00451874"/>
    <w:rsid w:val="00462ADE"/>
    <w:rsid w:val="0046568B"/>
    <w:rsid w:val="00471360"/>
    <w:rsid w:val="00490EE2"/>
    <w:rsid w:val="004B076A"/>
    <w:rsid w:val="004C2109"/>
    <w:rsid w:val="004D3963"/>
    <w:rsid w:val="004D7B94"/>
    <w:rsid w:val="00500FC0"/>
    <w:rsid w:val="00506E4A"/>
    <w:rsid w:val="00520BF0"/>
    <w:rsid w:val="00523FBB"/>
    <w:rsid w:val="00533CBA"/>
    <w:rsid w:val="005356FC"/>
    <w:rsid w:val="0057043D"/>
    <w:rsid w:val="0058188F"/>
    <w:rsid w:val="005A05FA"/>
    <w:rsid w:val="005A205D"/>
    <w:rsid w:val="005A36C8"/>
    <w:rsid w:val="005B2324"/>
    <w:rsid w:val="005C3268"/>
    <w:rsid w:val="005D54BD"/>
    <w:rsid w:val="005D6B38"/>
    <w:rsid w:val="005D7D64"/>
    <w:rsid w:val="005E10C5"/>
    <w:rsid w:val="005E38DC"/>
    <w:rsid w:val="006136A0"/>
    <w:rsid w:val="00630B5A"/>
    <w:rsid w:val="00632CCE"/>
    <w:rsid w:val="0065388B"/>
    <w:rsid w:val="00653DCB"/>
    <w:rsid w:val="00665E9D"/>
    <w:rsid w:val="00694A4D"/>
    <w:rsid w:val="006A04FD"/>
    <w:rsid w:val="006B6741"/>
    <w:rsid w:val="006B7D96"/>
    <w:rsid w:val="006C5FF9"/>
    <w:rsid w:val="006D238F"/>
    <w:rsid w:val="006D26EC"/>
    <w:rsid w:val="006E3CF2"/>
    <w:rsid w:val="006F25B0"/>
    <w:rsid w:val="006F4159"/>
    <w:rsid w:val="00705E84"/>
    <w:rsid w:val="00707DE8"/>
    <w:rsid w:val="007132C6"/>
    <w:rsid w:val="007173FC"/>
    <w:rsid w:val="007239CB"/>
    <w:rsid w:val="00750CF9"/>
    <w:rsid w:val="007642C2"/>
    <w:rsid w:val="0077773F"/>
    <w:rsid w:val="007932A3"/>
    <w:rsid w:val="00794B1F"/>
    <w:rsid w:val="007A0DCA"/>
    <w:rsid w:val="007B084B"/>
    <w:rsid w:val="007B781C"/>
    <w:rsid w:val="007C2058"/>
    <w:rsid w:val="007E6C14"/>
    <w:rsid w:val="007E7588"/>
    <w:rsid w:val="00811E0C"/>
    <w:rsid w:val="008124DB"/>
    <w:rsid w:val="008141F3"/>
    <w:rsid w:val="00823981"/>
    <w:rsid w:val="00836720"/>
    <w:rsid w:val="00837411"/>
    <w:rsid w:val="0086288C"/>
    <w:rsid w:val="00871E72"/>
    <w:rsid w:val="00875E42"/>
    <w:rsid w:val="008A0182"/>
    <w:rsid w:val="008B4A25"/>
    <w:rsid w:val="008B71A0"/>
    <w:rsid w:val="008D4095"/>
    <w:rsid w:val="008D66D7"/>
    <w:rsid w:val="008E5EB2"/>
    <w:rsid w:val="008F0EFB"/>
    <w:rsid w:val="00907211"/>
    <w:rsid w:val="00916F20"/>
    <w:rsid w:val="00935016"/>
    <w:rsid w:val="00942E9D"/>
    <w:rsid w:val="009557D9"/>
    <w:rsid w:val="009651A0"/>
    <w:rsid w:val="00970C98"/>
    <w:rsid w:val="00981C3B"/>
    <w:rsid w:val="00997B90"/>
    <w:rsid w:val="009A491F"/>
    <w:rsid w:val="009A56CD"/>
    <w:rsid w:val="009B6716"/>
    <w:rsid w:val="009D4643"/>
    <w:rsid w:val="00A10769"/>
    <w:rsid w:val="00A479AC"/>
    <w:rsid w:val="00A546E6"/>
    <w:rsid w:val="00A552D7"/>
    <w:rsid w:val="00A57C40"/>
    <w:rsid w:val="00A629E6"/>
    <w:rsid w:val="00A84EFB"/>
    <w:rsid w:val="00A918CC"/>
    <w:rsid w:val="00A9606C"/>
    <w:rsid w:val="00A962BC"/>
    <w:rsid w:val="00AA250B"/>
    <w:rsid w:val="00AA36D2"/>
    <w:rsid w:val="00AA6531"/>
    <w:rsid w:val="00AB17CA"/>
    <w:rsid w:val="00AB78EC"/>
    <w:rsid w:val="00AC163F"/>
    <w:rsid w:val="00AC385A"/>
    <w:rsid w:val="00AC7304"/>
    <w:rsid w:val="00AE0E83"/>
    <w:rsid w:val="00AE4B2D"/>
    <w:rsid w:val="00AE58F1"/>
    <w:rsid w:val="00B15106"/>
    <w:rsid w:val="00B16894"/>
    <w:rsid w:val="00B16F9D"/>
    <w:rsid w:val="00B350BE"/>
    <w:rsid w:val="00B6406C"/>
    <w:rsid w:val="00B705BD"/>
    <w:rsid w:val="00B8411E"/>
    <w:rsid w:val="00B8512E"/>
    <w:rsid w:val="00BA2ACF"/>
    <w:rsid w:val="00BC1699"/>
    <w:rsid w:val="00BC66CE"/>
    <w:rsid w:val="00BF35B7"/>
    <w:rsid w:val="00C0349D"/>
    <w:rsid w:val="00C10623"/>
    <w:rsid w:val="00C21146"/>
    <w:rsid w:val="00C23CE8"/>
    <w:rsid w:val="00C556DE"/>
    <w:rsid w:val="00C6388F"/>
    <w:rsid w:val="00C66706"/>
    <w:rsid w:val="00C67BE1"/>
    <w:rsid w:val="00C7011F"/>
    <w:rsid w:val="00C7320B"/>
    <w:rsid w:val="00C80DDE"/>
    <w:rsid w:val="00C83347"/>
    <w:rsid w:val="00C8789C"/>
    <w:rsid w:val="00C91860"/>
    <w:rsid w:val="00C91BE1"/>
    <w:rsid w:val="00C920D5"/>
    <w:rsid w:val="00C92E6E"/>
    <w:rsid w:val="00CA71CF"/>
    <w:rsid w:val="00CB0966"/>
    <w:rsid w:val="00CB4FDF"/>
    <w:rsid w:val="00CC1166"/>
    <w:rsid w:val="00CC2B95"/>
    <w:rsid w:val="00CC5A42"/>
    <w:rsid w:val="00CC7E53"/>
    <w:rsid w:val="00CD1388"/>
    <w:rsid w:val="00CE24A8"/>
    <w:rsid w:val="00CE352A"/>
    <w:rsid w:val="00CF39EC"/>
    <w:rsid w:val="00D035A1"/>
    <w:rsid w:val="00D11F16"/>
    <w:rsid w:val="00D22547"/>
    <w:rsid w:val="00D3015A"/>
    <w:rsid w:val="00D472AF"/>
    <w:rsid w:val="00D55F4A"/>
    <w:rsid w:val="00D67880"/>
    <w:rsid w:val="00D825F8"/>
    <w:rsid w:val="00D91108"/>
    <w:rsid w:val="00D96C79"/>
    <w:rsid w:val="00D96D79"/>
    <w:rsid w:val="00DC46D6"/>
    <w:rsid w:val="00DD746A"/>
    <w:rsid w:val="00E01881"/>
    <w:rsid w:val="00E0333F"/>
    <w:rsid w:val="00E11A2D"/>
    <w:rsid w:val="00E11F44"/>
    <w:rsid w:val="00E14BE9"/>
    <w:rsid w:val="00E24D0E"/>
    <w:rsid w:val="00E31015"/>
    <w:rsid w:val="00E45D58"/>
    <w:rsid w:val="00E479C2"/>
    <w:rsid w:val="00E62E38"/>
    <w:rsid w:val="00E72419"/>
    <w:rsid w:val="00E872E1"/>
    <w:rsid w:val="00EA0970"/>
    <w:rsid w:val="00EA18CA"/>
    <w:rsid w:val="00EB1D45"/>
    <w:rsid w:val="00ED7C17"/>
    <w:rsid w:val="00EF2B90"/>
    <w:rsid w:val="00F209B3"/>
    <w:rsid w:val="00F22BDC"/>
    <w:rsid w:val="00F25C04"/>
    <w:rsid w:val="00F26856"/>
    <w:rsid w:val="00F616E1"/>
    <w:rsid w:val="00F74E6F"/>
    <w:rsid w:val="00F76C34"/>
    <w:rsid w:val="00F94987"/>
    <w:rsid w:val="00FA09B3"/>
    <w:rsid w:val="00FA2D73"/>
    <w:rsid w:val="00FA5A0C"/>
    <w:rsid w:val="1951459B"/>
    <w:rsid w:val="2372473F"/>
    <w:rsid w:val="44DB0F71"/>
    <w:rsid w:val="66417A3E"/>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360" w:lineRule="auto"/>
      <w:jc w:val="both"/>
    </w:pPr>
    <w:rPr>
      <w:rFonts w:ascii="Times New Roman" w:hAnsi="Times New Roman" w:eastAsia="Times New Roman" w:cs="Times New Roman"/>
      <w:kern w:val="0"/>
      <w:sz w:val="24"/>
      <w:szCs w:val="24"/>
      <w:lang w:val="en" w:eastAsia="en-IN" w:bidi="ar-SA"/>
      <w14:ligatures w14:val="none"/>
    </w:rPr>
  </w:style>
  <w:style w:type="paragraph" w:styleId="2">
    <w:name w:val="heading 1"/>
    <w:basedOn w:val="1"/>
    <w:next w:val="1"/>
    <w:link w:val="21"/>
    <w:qFormat/>
    <w:uiPriority w:val="9"/>
    <w:pPr>
      <w:keepNext/>
      <w:keepLines/>
      <w:outlineLvl w:val="0"/>
    </w:pPr>
    <w:rPr>
      <w:b/>
      <w:sz w:val="28"/>
      <w:szCs w:val="28"/>
    </w:rPr>
  </w:style>
  <w:style w:type="paragraph" w:styleId="3">
    <w:name w:val="heading 2"/>
    <w:basedOn w:val="1"/>
    <w:next w:val="1"/>
    <w:link w:val="22"/>
    <w:unhideWhenUsed/>
    <w:qFormat/>
    <w:uiPriority w:val="9"/>
    <w:pPr>
      <w:keepNext/>
      <w:keepLines/>
      <w:outlineLvl w:val="1"/>
    </w:pPr>
    <w:rPr>
      <w:b/>
    </w:rPr>
  </w:style>
  <w:style w:type="paragraph" w:styleId="4">
    <w:name w:val="heading 3"/>
    <w:basedOn w:val="1"/>
    <w:next w:val="1"/>
    <w:link w:val="23"/>
    <w:unhideWhenUsed/>
    <w:qFormat/>
    <w:uiPriority w:val="9"/>
    <w:pPr>
      <w:keepNext/>
      <w:keepLines/>
      <w:outlineLvl w:val="2"/>
    </w:pPr>
    <w:rPr>
      <w:rFonts w:eastAsiaTheme="majorEastAsia"/>
      <w:b/>
      <w:bCs/>
    </w:rPr>
  </w:style>
  <w:style w:type="paragraph" w:styleId="5">
    <w:name w:val="heading 4"/>
    <w:basedOn w:val="1"/>
    <w:next w:val="1"/>
    <w:link w:val="24"/>
    <w:semiHidden/>
    <w:unhideWhenUsed/>
    <w:qFormat/>
    <w:uiPriority w:val="9"/>
    <w:pPr>
      <w:keepNext/>
      <w:keepLines/>
      <w:spacing w:before="80" w:after="40"/>
      <w:outlineLvl w:val="3"/>
    </w:pPr>
    <w:rPr>
      <w:rFonts w:asciiTheme="minorHAnsi" w:hAnsiTheme="minorHAnsi" w:eastAsiaTheme="majorEastAsia" w:cstheme="majorBidi"/>
      <w:i/>
      <w:iCs/>
      <w:color w:val="2F5597" w:themeColor="accent1" w:themeShade="BF"/>
    </w:rPr>
  </w:style>
  <w:style w:type="paragraph" w:styleId="6">
    <w:name w:val="heading 5"/>
    <w:basedOn w:val="1"/>
    <w:next w:val="1"/>
    <w:link w:val="25"/>
    <w:semiHidden/>
    <w:unhideWhenUsed/>
    <w:qFormat/>
    <w:uiPriority w:val="9"/>
    <w:pPr>
      <w:keepNext/>
      <w:keepLines/>
      <w:spacing w:before="80" w:after="40"/>
      <w:outlineLvl w:val="4"/>
    </w:pPr>
    <w:rPr>
      <w:rFonts w:asciiTheme="minorHAnsi" w:hAnsiTheme="minorHAnsi" w:eastAsiaTheme="majorEastAsia" w:cstheme="majorBidi"/>
      <w:color w:val="2F5597" w:themeColor="accent1" w:themeShade="BF"/>
    </w:rPr>
  </w:style>
  <w:style w:type="paragraph" w:styleId="7">
    <w:name w:val="heading 6"/>
    <w:basedOn w:val="1"/>
    <w:next w:val="1"/>
    <w:link w:val="26"/>
    <w:semiHidden/>
    <w:unhideWhenUsed/>
    <w:qFormat/>
    <w:uiPriority w:val="9"/>
    <w:pPr>
      <w:keepNext/>
      <w:keepLines/>
      <w:spacing w:before="40"/>
      <w:outlineLvl w:val="5"/>
    </w:pPr>
    <w:rPr>
      <w:rFonts w:asciiTheme="minorHAnsi" w:hAnsiTheme="minorHAnsi"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7"/>
    <w:semiHidden/>
    <w:unhideWhenUsed/>
    <w:qFormat/>
    <w:uiPriority w:val="9"/>
    <w:pPr>
      <w:keepNext/>
      <w:keepLines/>
      <w:spacing w:before="40"/>
      <w:outlineLvl w:val="6"/>
    </w:pPr>
    <w:rPr>
      <w:rFonts w:asciiTheme="minorHAnsi" w:hAnsiTheme="minorHAnsi"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8"/>
    <w:semiHidden/>
    <w:unhideWhenUsed/>
    <w:qFormat/>
    <w:uiPriority w:val="9"/>
    <w:pPr>
      <w:keepNext/>
      <w:keepLines/>
      <w:outlineLvl w:val="7"/>
    </w:pPr>
    <w:rPr>
      <w:rFonts w:asciiTheme="minorHAnsi" w:hAnsiTheme="minorHAnsi"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9"/>
    <w:semiHidden/>
    <w:unhideWhenUsed/>
    <w:qFormat/>
    <w:uiPriority w:val="9"/>
    <w:pPr>
      <w:keepNext/>
      <w:keepLines/>
      <w:outlineLvl w:val="8"/>
    </w:pPr>
    <w:rPr>
      <w:rFonts w:asciiTheme="minorHAnsi" w:hAnsiTheme="minorHAnsi"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footer"/>
    <w:basedOn w:val="1"/>
    <w:link w:val="41"/>
    <w:unhideWhenUsed/>
    <w:qFormat/>
    <w:uiPriority w:val="99"/>
    <w:pPr>
      <w:tabs>
        <w:tab w:val="center" w:pos="4513"/>
        <w:tab w:val="right" w:pos="9026"/>
      </w:tabs>
      <w:spacing w:line="240" w:lineRule="auto"/>
    </w:pPr>
  </w:style>
  <w:style w:type="paragraph" w:styleId="14">
    <w:name w:val="header"/>
    <w:basedOn w:val="1"/>
    <w:link w:val="40"/>
    <w:unhideWhenUsed/>
    <w:qFormat/>
    <w:uiPriority w:val="99"/>
    <w:pPr>
      <w:tabs>
        <w:tab w:val="center" w:pos="4513"/>
        <w:tab w:val="right" w:pos="9026"/>
      </w:tabs>
      <w:spacing w:line="240" w:lineRule="auto"/>
    </w:pPr>
  </w:style>
  <w:style w:type="character" w:styleId="15">
    <w:name w:val="Hyperlink"/>
    <w:basedOn w:val="11"/>
    <w:unhideWhenUsed/>
    <w:qFormat/>
    <w:uiPriority w:val="99"/>
    <w:rPr>
      <w:color w:val="0563C1" w:themeColor="hyperlink"/>
      <w:u w:val="single"/>
      <w14:textFill>
        <w14:solidFill>
          <w14:schemeClr w14:val="hlink"/>
        </w14:solidFill>
      </w14:textFill>
    </w:rPr>
  </w:style>
  <w:style w:type="paragraph" w:styleId="16">
    <w:name w:val="Subtitle"/>
    <w:basedOn w:val="1"/>
    <w:next w:val="1"/>
    <w:link w:val="31"/>
    <w:qFormat/>
    <w:uiPriority w:val="11"/>
    <w:rPr>
      <w:rFonts w:asciiTheme="minorHAnsi" w:hAnsiTheme="min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7">
    <w:name w:val="Title"/>
    <w:basedOn w:val="1"/>
    <w:next w:val="1"/>
    <w:link w:val="30"/>
    <w:qFormat/>
    <w:uiPriority w:val="10"/>
    <w:pPr>
      <w:spacing w:after="80" w:line="240" w:lineRule="auto"/>
      <w:contextualSpacing/>
    </w:pPr>
    <w:rPr>
      <w:rFonts w:asciiTheme="majorHAnsi" w:hAnsiTheme="majorHAnsi" w:eastAsiaTheme="majorEastAsia" w:cstheme="majorBidi"/>
      <w:spacing w:val="-10"/>
      <w:kern w:val="28"/>
      <w:sz w:val="56"/>
      <w:szCs w:val="56"/>
    </w:rPr>
  </w:style>
  <w:style w:type="paragraph" w:styleId="18">
    <w:name w:val="toc 1"/>
    <w:basedOn w:val="1"/>
    <w:next w:val="1"/>
    <w:autoRedefine/>
    <w:unhideWhenUsed/>
    <w:qFormat/>
    <w:uiPriority w:val="39"/>
    <w:pPr>
      <w:spacing w:after="100"/>
    </w:pPr>
  </w:style>
  <w:style w:type="paragraph" w:styleId="19">
    <w:name w:val="toc 2"/>
    <w:basedOn w:val="1"/>
    <w:next w:val="1"/>
    <w:autoRedefine/>
    <w:unhideWhenUsed/>
    <w:qFormat/>
    <w:uiPriority w:val="39"/>
    <w:pPr>
      <w:spacing w:after="100"/>
      <w:ind w:left="240"/>
    </w:pPr>
  </w:style>
  <w:style w:type="paragraph" w:styleId="20">
    <w:name w:val="toc 3"/>
    <w:basedOn w:val="1"/>
    <w:next w:val="1"/>
    <w:autoRedefine/>
    <w:unhideWhenUsed/>
    <w:qFormat/>
    <w:uiPriority w:val="39"/>
    <w:pPr>
      <w:spacing w:after="100"/>
      <w:ind w:left="480"/>
    </w:pPr>
  </w:style>
  <w:style w:type="character" w:customStyle="1" w:styleId="21">
    <w:name w:val="Heading 1 Char"/>
    <w:basedOn w:val="11"/>
    <w:link w:val="2"/>
    <w:qFormat/>
    <w:uiPriority w:val="9"/>
    <w:rPr>
      <w:rFonts w:ascii="Times New Roman" w:hAnsi="Times New Roman" w:eastAsia="Times New Roman" w:cs="Times New Roman"/>
      <w:b/>
      <w:kern w:val="0"/>
      <w:sz w:val="28"/>
      <w:szCs w:val="28"/>
      <w:lang w:val="en-GB"/>
      <w14:ligatures w14:val="none"/>
    </w:rPr>
  </w:style>
  <w:style w:type="character" w:customStyle="1" w:styleId="22">
    <w:name w:val="Heading 2 Char"/>
    <w:basedOn w:val="11"/>
    <w:link w:val="3"/>
    <w:qFormat/>
    <w:uiPriority w:val="9"/>
    <w:rPr>
      <w:rFonts w:ascii="Times New Roman" w:hAnsi="Times New Roman" w:eastAsia="Times New Roman" w:cs="Times New Roman"/>
      <w:b/>
      <w:kern w:val="0"/>
      <w:sz w:val="24"/>
      <w:szCs w:val="24"/>
      <w:lang w:val="en" w:eastAsia="en-IN"/>
      <w14:ligatures w14:val="none"/>
    </w:rPr>
  </w:style>
  <w:style w:type="character" w:customStyle="1" w:styleId="23">
    <w:name w:val="Heading 3 Char"/>
    <w:basedOn w:val="11"/>
    <w:link w:val="4"/>
    <w:qFormat/>
    <w:uiPriority w:val="9"/>
    <w:rPr>
      <w:rFonts w:ascii="Times New Roman" w:hAnsi="Times New Roman" w:cs="Times New Roman" w:eastAsiaTheme="majorEastAsia"/>
      <w:b/>
      <w:bCs/>
      <w:kern w:val="0"/>
      <w:sz w:val="24"/>
      <w:szCs w:val="24"/>
      <w:lang w:val="en" w:eastAsia="en-IN"/>
      <w14:ligatures w14:val="none"/>
    </w:rPr>
  </w:style>
  <w:style w:type="character" w:customStyle="1" w:styleId="24">
    <w:name w:val="Heading 4 Char"/>
    <w:basedOn w:val="11"/>
    <w:link w:val="5"/>
    <w:semiHidden/>
    <w:qFormat/>
    <w:uiPriority w:val="9"/>
    <w:rPr>
      <w:rFonts w:eastAsiaTheme="majorEastAsia" w:cstheme="majorBidi"/>
      <w:i/>
      <w:iCs/>
      <w:color w:val="2F5597" w:themeColor="accent1" w:themeShade="BF"/>
      <w:kern w:val="0"/>
      <w:sz w:val="24"/>
      <w:lang w:val="en-GB"/>
      <w14:ligatures w14:val="none"/>
    </w:rPr>
  </w:style>
  <w:style w:type="character" w:customStyle="1" w:styleId="25">
    <w:name w:val="Heading 5 Char"/>
    <w:basedOn w:val="11"/>
    <w:link w:val="6"/>
    <w:semiHidden/>
    <w:qFormat/>
    <w:uiPriority w:val="9"/>
    <w:rPr>
      <w:rFonts w:eastAsiaTheme="majorEastAsia" w:cstheme="majorBidi"/>
      <w:color w:val="2F5597" w:themeColor="accent1" w:themeShade="BF"/>
      <w:kern w:val="0"/>
      <w:sz w:val="24"/>
      <w:lang w:val="en-GB"/>
      <w14:ligatures w14:val="none"/>
    </w:rPr>
  </w:style>
  <w:style w:type="character" w:customStyle="1" w:styleId="26">
    <w:name w:val="Heading 6 Char"/>
    <w:basedOn w:val="11"/>
    <w:link w:val="7"/>
    <w:semiHidden/>
    <w:qFormat/>
    <w:uiPriority w:val="9"/>
    <w:rPr>
      <w:rFonts w:eastAsiaTheme="majorEastAsia" w:cstheme="majorBidi"/>
      <w:i/>
      <w:iCs/>
      <w:color w:val="595959" w:themeColor="text1" w:themeTint="A6"/>
      <w:kern w:val="0"/>
      <w:sz w:val="24"/>
      <w:lang w:val="en-GB"/>
      <w14:textFill>
        <w14:solidFill>
          <w14:schemeClr w14:val="tx1">
            <w14:lumMod w14:val="65000"/>
            <w14:lumOff w14:val="35000"/>
          </w14:schemeClr>
        </w14:solidFill>
      </w14:textFill>
      <w14:ligatures w14:val="none"/>
    </w:rPr>
  </w:style>
  <w:style w:type="character" w:customStyle="1" w:styleId="27">
    <w:name w:val="Heading 7 Char"/>
    <w:basedOn w:val="11"/>
    <w:link w:val="8"/>
    <w:semiHidden/>
    <w:qFormat/>
    <w:uiPriority w:val="9"/>
    <w:rPr>
      <w:rFonts w:eastAsiaTheme="majorEastAsia" w:cstheme="majorBidi"/>
      <w:color w:val="595959" w:themeColor="text1" w:themeTint="A6"/>
      <w:kern w:val="0"/>
      <w:sz w:val="24"/>
      <w:lang w:val="en-GB"/>
      <w14:textFill>
        <w14:solidFill>
          <w14:schemeClr w14:val="tx1">
            <w14:lumMod w14:val="65000"/>
            <w14:lumOff w14:val="35000"/>
          </w14:schemeClr>
        </w14:solidFill>
      </w14:textFill>
      <w14:ligatures w14:val="none"/>
    </w:rPr>
  </w:style>
  <w:style w:type="character" w:customStyle="1" w:styleId="28">
    <w:name w:val="Heading 8 Char"/>
    <w:basedOn w:val="11"/>
    <w:link w:val="9"/>
    <w:semiHidden/>
    <w:qFormat/>
    <w:uiPriority w:val="9"/>
    <w:rPr>
      <w:rFonts w:eastAsiaTheme="majorEastAsia" w:cstheme="majorBidi"/>
      <w:i/>
      <w:iCs/>
      <w:color w:val="262626" w:themeColor="text1" w:themeTint="D9"/>
      <w:kern w:val="0"/>
      <w:sz w:val="24"/>
      <w:lang w:val="en-GB"/>
      <w14:textFill>
        <w14:solidFill>
          <w14:schemeClr w14:val="tx1">
            <w14:lumMod w14:val="85000"/>
            <w14:lumOff w14:val="15000"/>
          </w14:schemeClr>
        </w14:solidFill>
      </w14:textFill>
      <w14:ligatures w14:val="none"/>
    </w:rPr>
  </w:style>
  <w:style w:type="character" w:customStyle="1" w:styleId="29">
    <w:name w:val="Heading 9 Char"/>
    <w:basedOn w:val="11"/>
    <w:link w:val="10"/>
    <w:semiHidden/>
    <w:qFormat/>
    <w:uiPriority w:val="9"/>
    <w:rPr>
      <w:rFonts w:eastAsiaTheme="majorEastAsia" w:cstheme="majorBidi"/>
      <w:color w:val="262626" w:themeColor="text1" w:themeTint="D9"/>
      <w:kern w:val="0"/>
      <w:sz w:val="24"/>
      <w:lang w:val="en-GB"/>
      <w14:textFill>
        <w14:solidFill>
          <w14:schemeClr w14:val="tx1">
            <w14:lumMod w14:val="85000"/>
            <w14:lumOff w14:val="15000"/>
          </w14:schemeClr>
        </w14:solidFill>
      </w14:textFill>
      <w14:ligatures w14:val="none"/>
    </w:rPr>
  </w:style>
  <w:style w:type="character" w:customStyle="1" w:styleId="30">
    <w:name w:val="Title Char"/>
    <w:basedOn w:val="11"/>
    <w:link w:val="17"/>
    <w:qFormat/>
    <w:uiPriority w:val="10"/>
    <w:rPr>
      <w:rFonts w:asciiTheme="majorHAnsi" w:hAnsiTheme="majorHAnsi" w:eastAsiaTheme="majorEastAsia" w:cstheme="majorBidi"/>
      <w:spacing w:val="-10"/>
      <w:kern w:val="28"/>
      <w:sz w:val="56"/>
      <w:szCs w:val="56"/>
      <w:lang w:val="en-GB"/>
      <w14:ligatures w14:val="none"/>
    </w:rPr>
  </w:style>
  <w:style w:type="character" w:customStyle="1" w:styleId="31">
    <w:name w:val="Subtitle Char"/>
    <w:basedOn w:val="11"/>
    <w:link w:val="16"/>
    <w:qFormat/>
    <w:uiPriority w:val="11"/>
    <w:rPr>
      <w:rFonts w:eastAsiaTheme="majorEastAsia" w:cstheme="majorBidi"/>
      <w:color w:val="595959" w:themeColor="text1" w:themeTint="A6"/>
      <w:spacing w:val="15"/>
      <w:kern w:val="0"/>
      <w:sz w:val="28"/>
      <w:szCs w:val="28"/>
      <w:lang w:val="en-GB"/>
      <w14:textFill>
        <w14:solidFill>
          <w14:schemeClr w14:val="tx1">
            <w14:lumMod w14:val="65000"/>
            <w14:lumOff w14:val="35000"/>
          </w14:schemeClr>
        </w14:solidFill>
      </w14:textFill>
      <w14:ligatures w14:val="none"/>
    </w:rPr>
  </w:style>
  <w:style w:type="paragraph" w:styleId="32">
    <w:name w:val="Quote"/>
    <w:basedOn w:val="1"/>
    <w:next w:val="1"/>
    <w:link w:val="33"/>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3">
    <w:name w:val="Quote Char"/>
    <w:basedOn w:val="11"/>
    <w:link w:val="32"/>
    <w:qFormat/>
    <w:uiPriority w:val="29"/>
    <w:rPr>
      <w:rFonts w:ascii="Times New Roman" w:hAnsi="Times New Roman"/>
      <w:i/>
      <w:iCs/>
      <w:color w:val="404040" w:themeColor="text1" w:themeTint="BF"/>
      <w:kern w:val="0"/>
      <w:sz w:val="24"/>
      <w:lang w:val="en-GB"/>
      <w14:textFill>
        <w14:solidFill>
          <w14:schemeClr w14:val="tx1">
            <w14:lumMod w14:val="75000"/>
            <w14:lumOff w14:val="25000"/>
          </w14:schemeClr>
        </w14:solidFill>
      </w14:textFill>
      <w14:ligatures w14:val="none"/>
    </w:rPr>
  </w:style>
  <w:style w:type="paragraph" w:styleId="34">
    <w:name w:val="List Paragraph"/>
    <w:basedOn w:val="1"/>
    <w:qFormat/>
    <w:uiPriority w:val="34"/>
    <w:pPr>
      <w:ind w:left="720"/>
      <w:contextualSpacing/>
    </w:pPr>
  </w:style>
  <w:style w:type="character" w:customStyle="1" w:styleId="35">
    <w:name w:val="Intense Emphasis"/>
    <w:basedOn w:val="11"/>
    <w:qFormat/>
    <w:uiPriority w:val="21"/>
    <w:rPr>
      <w:i/>
      <w:iCs/>
      <w:color w:val="2F5597" w:themeColor="accent1" w:themeShade="BF"/>
    </w:rPr>
  </w:style>
  <w:style w:type="paragraph" w:styleId="36">
    <w:name w:val="Intense Quote"/>
    <w:basedOn w:val="1"/>
    <w:next w:val="1"/>
    <w:link w:val="37"/>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7">
    <w:name w:val="Intense Quote Char"/>
    <w:basedOn w:val="11"/>
    <w:link w:val="36"/>
    <w:qFormat/>
    <w:uiPriority w:val="30"/>
    <w:rPr>
      <w:rFonts w:ascii="Times New Roman" w:hAnsi="Times New Roman"/>
      <w:i/>
      <w:iCs/>
      <w:color w:val="2F5597" w:themeColor="accent1" w:themeShade="BF"/>
      <w:kern w:val="0"/>
      <w:sz w:val="24"/>
      <w:lang w:val="en-GB"/>
      <w14:ligatures w14:val="none"/>
    </w:rPr>
  </w:style>
  <w:style w:type="character" w:customStyle="1" w:styleId="38">
    <w:name w:val="Intense Reference"/>
    <w:basedOn w:val="11"/>
    <w:qFormat/>
    <w:uiPriority w:val="32"/>
    <w:rPr>
      <w:b/>
      <w:bCs/>
      <w:smallCaps/>
      <w:color w:val="2F5597" w:themeColor="accent1" w:themeShade="BF"/>
      <w:spacing w:val="5"/>
    </w:rPr>
  </w:style>
  <w:style w:type="character" w:customStyle="1" w:styleId="39">
    <w:name w:val="Unresolved Mention"/>
    <w:basedOn w:val="11"/>
    <w:semiHidden/>
    <w:unhideWhenUsed/>
    <w:qFormat/>
    <w:uiPriority w:val="99"/>
    <w:rPr>
      <w:color w:val="605E5C"/>
      <w:shd w:val="clear" w:color="auto" w:fill="E1DFDD"/>
    </w:rPr>
  </w:style>
  <w:style w:type="character" w:customStyle="1" w:styleId="40">
    <w:name w:val="Header Char"/>
    <w:basedOn w:val="11"/>
    <w:link w:val="14"/>
    <w:qFormat/>
    <w:uiPriority w:val="99"/>
    <w:rPr>
      <w:rFonts w:ascii="Times New Roman" w:hAnsi="Times New Roman" w:eastAsia="Times New Roman" w:cs="Times New Roman"/>
      <w:kern w:val="0"/>
      <w:sz w:val="24"/>
      <w:szCs w:val="24"/>
      <w:lang w:val="en" w:eastAsia="en-IN"/>
      <w14:ligatures w14:val="none"/>
    </w:rPr>
  </w:style>
  <w:style w:type="character" w:customStyle="1" w:styleId="41">
    <w:name w:val="Footer Char"/>
    <w:basedOn w:val="11"/>
    <w:link w:val="13"/>
    <w:qFormat/>
    <w:uiPriority w:val="99"/>
    <w:rPr>
      <w:rFonts w:ascii="Times New Roman" w:hAnsi="Times New Roman" w:eastAsia="Times New Roman" w:cs="Times New Roman"/>
      <w:kern w:val="0"/>
      <w:sz w:val="24"/>
      <w:szCs w:val="24"/>
      <w:lang w:val="en" w:eastAsia="en-IN"/>
      <w14:ligatures w14:val="none"/>
    </w:rPr>
  </w:style>
  <w:style w:type="paragraph" w:customStyle="1" w:styleId="42">
    <w:name w:val="TOC Heading"/>
    <w:basedOn w:val="2"/>
    <w:next w:val="1"/>
    <w:unhideWhenUsed/>
    <w:qFormat/>
    <w:uiPriority w:val="39"/>
    <w:pPr>
      <w:spacing w:before="240" w:line="259" w:lineRule="auto"/>
      <w:jc w:val="left"/>
      <w:outlineLvl w:val="9"/>
    </w:pPr>
    <w:rPr>
      <w:rFonts w:asciiTheme="majorHAnsi" w:hAnsiTheme="majorHAnsi" w:eastAsiaTheme="majorEastAsia" w:cstheme="majorBidi"/>
      <w:b w:val="0"/>
      <w:color w:val="2F5597" w:themeColor="accent1" w:themeShade="BF"/>
      <w:sz w:val="32"/>
      <w:szCs w:val="32"/>
      <w:lang w:val="en-US" w:eastAsia="en-U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299C3B5-BB92-49C7-9DB6-AE8FD3842C9C}">
  <ds:schemaRefs/>
</ds:datastoreItem>
</file>

<file path=docProps/app.xml><?xml version="1.0" encoding="utf-8"?>
<Properties xmlns="http://schemas.openxmlformats.org/officeDocument/2006/extended-properties" xmlns:vt="http://schemas.openxmlformats.org/officeDocument/2006/docPropsVTypes">
  <Template>Normal</Template>
  <Pages>11</Pages>
  <Words>5571</Words>
  <Characters>35655</Characters>
  <Lines>594</Lines>
  <Paragraphs>175</Paragraphs>
  <TotalTime>7</TotalTime>
  <ScaleCrop>false</ScaleCrop>
  <LinksUpToDate>false</LinksUpToDate>
  <CharactersWithSpaces>41051</CharactersWithSpaces>
  <Application>WPS Office_12.2.0.19805_F1E327BC-269C-435d-A152-05C5408002CA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2025-01-25T11:27:00Z</dcterms:created>
  <dcterms:modified xsi:type="dcterms:W3CDTF">2025-02-05T11:18:35Z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8bbdbbd91c00d6799de687c0db3bc21da9c5b58234837265a812ef33435cb246</vt:lpwstr>
  </property>
  <property fmtid="{D5CDD505-2E9C-101B-9397-08002B2CF9AE}" pid="3" name="KSOProductBuildVer">
    <vt:lpwstr>2057-12.2.0.19805</vt:lpwstr>
  </property>
  <property fmtid="{D5CDD505-2E9C-101B-9397-08002B2CF9AE}" pid="4" name="ICV">
    <vt:lpwstr>86C4FDDAD2C449F499D948B89690AFB3_12</vt:lpwstr>
  </property>
</Properties>
</file>