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64812563" w:displacedByCustomXml="next"/>
    <w:bookmarkEnd w:id="0" w:displacedByCustomXml="next"/>
    <w:sdt>
      <w:sdtPr>
        <w:rPr>
          <w:rFonts w:ascii="Times New Roman" w:hAnsi="Times New Roman" w:cs="Times New Roman"/>
        </w:rPr>
        <w:id w:val="-1540809017"/>
        <w:docPartObj>
          <w:docPartGallery w:val="Cover Pages"/>
          <w:docPartUnique/>
        </w:docPartObj>
      </w:sdtPr>
      <w:sdtContent>
        <w:p w14:paraId="0540069F" w14:textId="1F1C41E0" w:rsidR="006B468A" w:rsidRPr="00B63E94" w:rsidRDefault="006B468A" w:rsidP="006B468A">
          <w:pPr>
            <w:jc w:val="center"/>
            <w:rPr>
              <w:rFonts w:ascii="Times New Roman" w:hAnsi="Times New Roman" w:cs="Times New Roman"/>
              <w:b/>
              <w:bCs/>
            </w:rPr>
          </w:pPr>
        </w:p>
        <w:p w14:paraId="044AB9E3" w14:textId="204F9070" w:rsidR="006B468A" w:rsidRPr="00B63E94" w:rsidRDefault="00B63E94" w:rsidP="00B63E94">
          <w:pPr>
            <w:jc w:val="center"/>
            <w:rPr>
              <w:rFonts w:ascii="Times New Roman" w:hAnsi="Times New Roman" w:cs="Times New Roman"/>
              <w:b/>
              <w:bCs/>
            </w:rPr>
          </w:pPr>
          <w:r w:rsidRPr="00B63E94">
            <w:rPr>
              <w:rFonts w:ascii="Times New Roman" w:hAnsi="Times New Roman" w:cs="Times New Roman"/>
              <w:noProof/>
            </w:rPr>
            <w:drawing>
              <wp:inline distT="0" distB="0" distL="0" distR="0" wp14:anchorId="2764D1DC" wp14:editId="79087699">
                <wp:extent cx="2245776" cy="1158240"/>
                <wp:effectExtent l="0" t="0" r="2540" b="3810"/>
                <wp:docPr id="1028348979" name="Picture 1" descr="A logo of a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348979" name="Picture 1" descr="A logo of a university"/>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16950" t="22540" r="9152" b="20450"/>
                        <a:stretch/>
                      </pic:blipFill>
                      <pic:spPr bwMode="auto">
                        <a:xfrm>
                          <a:off x="0" y="0"/>
                          <a:ext cx="2280116" cy="1175951"/>
                        </a:xfrm>
                        <a:prstGeom prst="rect">
                          <a:avLst/>
                        </a:prstGeom>
                        <a:noFill/>
                        <a:ln>
                          <a:noFill/>
                        </a:ln>
                        <a:extLst>
                          <a:ext uri="{53640926-AAD7-44D8-BBD7-CCE9431645EC}">
                            <a14:shadowObscured xmlns:a14="http://schemas.microsoft.com/office/drawing/2010/main"/>
                          </a:ext>
                        </a:extLst>
                      </pic:spPr>
                    </pic:pic>
                  </a:graphicData>
                </a:graphic>
              </wp:inline>
            </w:drawing>
          </w:r>
        </w:p>
        <w:p w14:paraId="41C9EED0" w14:textId="77777777" w:rsidR="006B468A" w:rsidRPr="00B63E94" w:rsidRDefault="006B468A" w:rsidP="006B468A">
          <w:pPr>
            <w:jc w:val="center"/>
            <w:rPr>
              <w:rFonts w:ascii="Times New Roman" w:hAnsi="Times New Roman" w:cs="Times New Roman"/>
              <w:b/>
              <w:bCs/>
            </w:rPr>
          </w:pPr>
        </w:p>
        <w:p w14:paraId="7ADB87FC" w14:textId="77777777" w:rsidR="006B468A" w:rsidRPr="00B63E94" w:rsidRDefault="006B468A" w:rsidP="006B468A">
          <w:pPr>
            <w:jc w:val="center"/>
            <w:rPr>
              <w:rFonts w:ascii="Times New Roman" w:hAnsi="Times New Roman" w:cs="Times New Roman"/>
              <w:b/>
              <w:bCs/>
            </w:rPr>
          </w:pPr>
        </w:p>
        <w:p w14:paraId="52FCDA5D" w14:textId="77777777" w:rsidR="006B468A" w:rsidRPr="00B63E94" w:rsidRDefault="006B468A" w:rsidP="006B468A">
          <w:pPr>
            <w:jc w:val="center"/>
            <w:rPr>
              <w:rFonts w:ascii="Times New Roman" w:hAnsi="Times New Roman" w:cs="Times New Roman"/>
              <w:b/>
              <w:bCs/>
            </w:rPr>
          </w:pPr>
        </w:p>
        <w:p w14:paraId="68DE7E6A" w14:textId="77777777" w:rsidR="006B468A" w:rsidRPr="00B63E94" w:rsidRDefault="006B468A" w:rsidP="005376ED">
          <w:pPr>
            <w:rPr>
              <w:rFonts w:ascii="Times New Roman" w:hAnsi="Times New Roman" w:cs="Times New Roman"/>
              <w:b/>
              <w:bCs/>
            </w:rPr>
          </w:pPr>
        </w:p>
        <w:p w14:paraId="3AA4A890" w14:textId="77777777" w:rsidR="006B468A" w:rsidRPr="00B63E94" w:rsidRDefault="006B468A" w:rsidP="006B468A">
          <w:pPr>
            <w:jc w:val="center"/>
            <w:rPr>
              <w:rFonts w:ascii="Times New Roman" w:hAnsi="Times New Roman" w:cs="Times New Roman"/>
              <w:b/>
              <w:bCs/>
            </w:rPr>
          </w:pPr>
        </w:p>
        <w:p w14:paraId="59E3600C" w14:textId="418C01DC" w:rsidR="006B468A" w:rsidRPr="00813738" w:rsidRDefault="00813738" w:rsidP="006B468A">
          <w:pPr>
            <w:jc w:val="center"/>
            <w:rPr>
              <w:rFonts w:ascii="Times New Roman" w:hAnsi="Times New Roman" w:cs="Times New Roman"/>
              <w:b/>
              <w:bCs/>
              <w:sz w:val="48"/>
              <w:szCs w:val="48"/>
            </w:rPr>
          </w:pPr>
          <w:r w:rsidRPr="00813738">
            <w:rPr>
              <w:rFonts w:ascii="Times New Roman" w:hAnsi="Times New Roman" w:cs="Times New Roman"/>
              <w:b/>
              <w:bCs/>
              <w:sz w:val="48"/>
              <w:szCs w:val="48"/>
            </w:rPr>
            <w:t>COSTCO CORPORATION</w:t>
          </w:r>
        </w:p>
        <w:p w14:paraId="6E2CD0BD" w14:textId="77777777" w:rsidR="00813738" w:rsidRDefault="00813738" w:rsidP="006B468A">
          <w:pPr>
            <w:jc w:val="center"/>
            <w:rPr>
              <w:rFonts w:ascii="Times New Roman" w:hAnsi="Times New Roman" w:cs="Times New Roman"/>
              <w:b/>
              <w:bCs/>
              <w:sz w:val="32"/>
              <w:szCs w:val="32"/>
            </w:rPr>
          </w:pPr>
        </w:p>
        <w:p w14:paraId="05C2C5FC" w14:textId="77777777" w:rsidR="005376ED" w:rsidRPr="00B63E94" w:rsidRDefault="005376ED" w:rsidP="006B468A">
          <w:pPr>
            <w:jc w:val="center"/>
            <w:rPr>
              <w:rFonts w:ascii="Times New Roman" w:hAnsi="Times New Roman" w:cs="Times New Roman"/>
              <w:b/>
              <w:bCs/>
              <w:sz w:val="32"/>
              <w:szCs w:val="32"/>
            </w:rPr>
          </w:pPr>
        </w:p>
        <w:p w14:paraId="02E88DFF" w14:textId="65E1C19B" w:rsidR="006B468A" w:rsidRPr="00813738" w:rsidRDefault="006B468A" w:rsidP="006B468A">
          <w:pPr>
            <w:jc w:val="center"/>
            <w:rPr>
              <w:rFonts w:ascii="Times New Roman" w:hAnsi="Times New Roman" w:cs="Times New Roman"/>
              <w:b/>
              <w:bCs/>
              <w:sz w:val="28"/>
              <w:szCs w:val="28"/>
            </w:rPr>
          </w:pPr>
          <w:r w:rsidRPr="00813738">
            <w:rPr>
              <w:rFonts w:ascii="Times New Roman" w:hAnsi="Times New Roman" w:cs="Times New Roman"/>
              <w:b/>
              <w:bCs/>
              <w:sz w:val="28"/>
              <w:szCs w:val="28"/>
            </w:rPr>
            <w:t>M</w:t>
          </w:r>
          <w:r w:rsidR="00B63E94" w:rsidRPr="00813738">
            <w:rPr>
              <w:rFonts w:ascii="Times New Roman" w:hAnsi="Times New Roman" w:cs="Times New Roman"/>
              <w:b/>
              <w:bCs/>
              <w:sz w:val="28"/>
              <w:szCs w:val="28"/>
            </w:rPr>
            <w:t>ODULE -</w:t>
          </w:r>
          <w:r w:rsidRPr="00813738">
            <w:rPr>
              <w:rFonts w:ascii="Times New Roman" w:hAnsi="Times New Roman" w:cs="Times New Roman"/>
              <w:b/>
              <w:bCs/>
              <w:sz w:val="28"/>
              <w:szCs w:val="28"/>
            </w:rPr>
            <w:t xml:space="preserve"> </w:t>
          </w:r>
          <w:r w:rsidR="00B63E94" w:rsidRPr="00813738">
            <w:rPr>
              <w:rFonts w:ascii="Times New Roman" w:hAnsi="Times New Roman" w:cs="Times New Roman"/>
              <w:b/>
              <w:bCs/>
              <w:sz w:val="28"/>
              <w:szCs w:val="28"/>
            </w:rPr>
            <w:t>FINANCIAL MANAGEMENT</w:t>
          </w:r>
        </w:p>
        <w:p w14:paraId="2E9C16C0" w14:textId="751360B1" w:rsidR="006B468A" w:rsidRPr="00813738" w:rsidRDefault="006B468A" w:rsidP="006B468A">
          <w:pPr>
            <w:jc w:val="center"/>
            <w:rPr>
              <w:rFonts w:ascii="Times New Roman" w:hAnsi="Times New Roman" w:cs="Times New Roman"/>
              <w:b/>
              <w:bCs/>
              <w:sz w:val="28"/>
              <w:szCs w:val="28"/>
            </w:rPr>
          </w:pPr>
          <w:r w:rsidRPr="00813738">
            <w:rPr>
              <w:rFonts w:ascii="Times New Roman" w:hAnsi="Times New Roman" w:cs="Times New Roman"/>
              <w:b/>
              <w:bCs/>
              <w:sz w:val="28"/>
              <w:szCs w:val="28"/>
            </w:rPr>
            <w:t>M</w:t>
          </w:r>
          <w:r w:rsidR="00B63E94" w:rsidRPr="00813738">
            <w:rPr>
              <w:rFonts w:ascii="Times New Roman" w:hAnsi="Times New Roman" w:cs="Times New Roman"/>
              <w:b/>
              <w:bCs/>
              <w:sz w:val="28"/>
              <w:szCs w:val="28"/>
            </w:rPr>
            <w:t xml:space="preserve">ODULE CODE - </w:t>
          </w:r>
          <w:r w:rsidRPr="00813738">
            <w:rPr>
              <w:rFonts w:ascii="Times New Roman" w:hAnsi="Times New Roman" w:cs="Times New Roman"/>
              <w:b/>
              <w:bCs/>
              <w:sz w:val="28"/>
              <w:szCs w:val="28"/>
            </w:rPr>
            <w:t>LCMB70</w:t>
          </w:r>
          <w:r w:rsidR="00B63E94" w:rsidRPr="00813738">
            <w:rPr>
              <w:rFonts w:ascii="Times New Roman" w:hAnsi="Times New Roman" w:cs="Times New Roman"/>
              <w:b/>
              <w:bCs/>
              <w:sz w:val="28"/>
              <w:szCs w:val="28"/>
            </w:rPr>
            <w:t>02</w:t>
          </w:r>
        </w:p>
        <w:p w14:paraId="3521968D" w14:textId="77777777" w:rsidR="006B468A" w:rsidRPr="00B63E94" w:rsidRDefault="006B468A" w:rsidP="006B468A">
          <w:pPr>
            <w:jc w:val="center"/>
            <w:rPr>
              <w:rFonts w:ascii="Times New Roman" w:hAnsi="Times New Roman" w:cs="Times New Roman"/>
              <w:b/>
              <w:bCs/>
            </w:rPr>
          </w:pPr>
        </w:p>
        <w:p w14:paraId="64995EAF" w14:textId="77777777" w:rsidR="006B468A" w:rsidRPr="00B63E94" w:rsidRDefault="006B468A" w:rsidP="006B468A">
          <w:pPr>
            <w:jc w:val="center"/>
            <w:rPr>
              <w:rFonts w:ascii="Times New Roman" w:hAnsi="Times New Roman" w:cs="Times New Roman"/>
              <w:b/>
              <w:bCs/>
            </w:rPr>
          </w:pPr>
        </w:p>
        <w:p w14:paraId="6AD25A01" w14:textId="77777777" w:rsidR="006B468A" w:rsidRPr="00B63E94" w:rsidRDefault="006B468A" w:rsidP="006B468A">
          <w:pPr>
            <w:jc w:val="center"/>
            <w:rPr>
              <w:rFonts w:ascii="Times New Roman" w:hAnsi="Times New Roman" w:cs="Times New Roman"/>
              <w:b/>
              <w:bCs/>
            </w:rPr>
          </w:pPr>
        </w:p>
        <w:p w14:paraId="22D3D0ED" w14:textId="77777777" w:rsidR="006B468A" w:rsidRPr="00B63E94" w:rsidRDefault="006B468A" w:rsidP="006B468A">
          <w:pPr>
            <w:jc w:val="center"/>
            <w:rPr>
              <w:rFonts w:ascii="Times New Roman" w:hAnsi="Times New Roman" w:cs="Times New Roman"/>
              <w:b/>
              <w:bCs/>
            </w:rPr>
          </w:pPr>
        </w:p>
        <w:p w14:paraId="3302D19D" w14:textId="77777777" w:rsidR="006B468A" w:rsidRPr="00B63E94" w:rsidRDefault="006B468A" w:rsidP="006B468A">
          <w:pPr>
            <w:jc w:val="center"/>
            <w:rPr>
              <w:rFonts w:ascii="Times New Roman" w:hAnsi="Times New Roman" w:cs="Times New Roman"/>
              <w:b/>
              <w:bCs/>
            </w:rPr>
          </w:pPr>
        </w:p>
        <w:p w14:paraId="0E3052BF" w14:textId="77777777" w:rsidR="006B468A" w:rsidRPr="00B63E94" w:rsidRDefault="006B468A" w:rsidP="006B468A">
          <w:pPr>
            <w:jc w:val="center"/>
            <w:rPr>
              <w:rFonts w:ascii="Times New Roman" w:hAnsi="Times New Roman" w:cs="Times New Roman"/>
              <w:b/>
              <w:bCs/>
            </w:rPr>
          </w:pPr>
        </w:p>
        <w:p w14:paraId="6EE333A3" w14:textId="77777777" w:rsidR="006B468A" w:rsidRPr="00B63E94" w:rsidRDefault="006B468A" w:rsidP="006B468A">
          <w:pPr>
            <w:jc w:val="center"/>
            <w:rPr>
              <w:rFonts w:ascii="Times New Roman" w:hAnsi="Times New Roman" w:cs="Times New Roman"/>
              <w:b/>
              <w:bCs/>
            </w:rPr>
          </w:pPr>
        </w:p>
        <w:p w14:paraId="1D40F4A5" w14:textId="77777777" w:rsidR="006B468A" w:rsidRPr="00B63E94" w:rsidRDefault="006B468A" w:rsidP="006B468A">
          <w:pPr>
            <w:jc w:val="center"/>
            <w:rPr>
              <w:rFonts w:ascii="Times New Roman" w:hAnsi="Times New Roman" w:cs="Times New Roman"/>
              <w:b/>
              <w:bCs/>
            </w:rPr>
          </w:pPr>
        </w:p>
        <w:p w14:paraId="5FF61E4E" w14:textId="77777777" w:rsidR="006B468A" w:rsidRPr="00B63E94" w:rsidRDefault="006B468A" w:rsidP="006B468A">
          <w:pPr>
            <w:jc w:val="center"/>
            <w:rPr>
              <w:rFonts w:ascii="Times New Roman" w:hAnsi="Times New Roman" w:cs="Times New Roman"/>
              <w:b/>
              <w:bCs/>
            </w:rPr>
          </w:pPr>
        </w:p>
        <w:p w14:paraId="7FF5714C" w14:textId="77777777" w:rsidR="006B468A" w:rsidRPr="00B63E94" w:rsidRDefault="006B468A" w:rsidP="006B468A">
          <w:pPr>
            <w:jc w:val="center"/>
            <w:rPr>
              <w:rFonts w:ascii="Times New Roman" w:hAnsi="Times New Roman" w:cs="Times New Roman"/>
              <w:b/>
              <w:bCs/>
            </w:rPr>
          </w:pPr>
        </w:p>
        <w:p w14:paraId="06085E15" w14:textId="77777777" w:rsidR="006B468A" w:rsidRPr="00B63E94" w:rsidRDefault="006B468A" w:rsidP="006B468A">
          <w:pPr>
            <w:jc w:val="center"/>
            <w:rPr>
              <w:rFonts w:ascii="Times New Roman" w:hAnsi="Times New Roman" w:cs="Times New Roman"/>
              <w:b/>
              <w:bCs/>
            </w:rPr>
          </w:pPr>
        </w:p>
        <w:p w14:paraId="0A0E0DA5" w14:textId="77777777" w:rsidR="006B468A" w:rsidRPr="00B63E94" w:rsidRDefault="006B468A" w:rsidP="006B468A">
          <w:pPr>
            <w:jc w:val="center"/>
            <w:rPr>
              <w:rFonts w:ascii="Times New Roman" w:hAnsi="Times New Roman" w:cs="Times New Roman"/>
              <w:b/>
              <w:bCs/>
            </w:rPr>
          </w:pPr>
        </w:p>
        <w:p w14:paraId="582E2764" w14:textId="7CD9107D" w:rsidR="006B468A" w:rsidRPr="00813738" w:rsidRDefault="006B468A" w:rsidP="006B468A">
          <w:pPr>
            <w:jc w:val="center"/>
            <w:rPr>
              <w:rFonts w:ascii="Times New Roman" w:hAnsi="Times New Roman" w:cs="Times New Roman"/>
              <w:b/>
              <w:bCs/>
              <w:sz w:val="28"/>
              <w:szCs w:val="28"/>
            </w:rPr>
          </w:pPr>
          <w:r w:rsidRPr="00813738">
            <w:rPr>
              <w:rFonts w:ascii="Times New Roman" w:hAnsi="Times New Roman" w:cs="Times New Roman"/>
              <w:b/>
              <w:bCs/>
              <w:sz w:val="28"/>
              <w:szCs w:val="28"/>
            </w:rPr>
            <w:t>K</w:t>
          </w:r>
          <w:r w:rsidR="004F010C" w:rsidRPr="00813738">
            <w:rPr>
              <w:rFonts w:ascii="Times New Roman" w:hAnsi="Times New Roman" w:cs="Times New Roman"/>
              <w:b/>
              <w:bCs/>
              <w:sz w:val="28"/>
              <w:szCs w:val="28"/>
            </w:rPr>
            <w:t>RINA KOTADIYA</w:t>
          </w:r>
        </w:p>
        <w:p w14:paraId="7F0A24E0" w14:textId="2BF24997" w:rsidR="00842B62" w:rsidRPr="00B63E94" w:rsidRDefault="006B468A" w:rsidP="005159FF">
          <w:pPr>
            <w:spacing w:line="276" w:lineRule="auto"/>
            <w:jc w:val="center"/>
            <w:rPr>
              <w:rFonts w:ascii="Times New Roman" w:hAnsi="Times New Roman" w:cs="Times New Roman"/>
              <w:b/>
              <w:bCs/>
              <w:sz w:val="32"/>
              <w:szCs w:val="32"/>
            </w:rPr>
          </w:pPr>
          <w:r w:rsidRPr="00813738">
            <w:rPr>
              <w:rFonts w:ascii="Times New Roman" w:hAnsi="Times New Roman" w:cs="Times New Roman"/>
              <w:b/>
              <w:bCs/>
              <w:sz w:val="28"/>
              <w:szCs w:val="28"/>
            </w:rPr>
            <w:t>S</w:t>
          </w:r>
          <w:r w:rsidR="004F010C" w:rsidRPr="00813738">
            <w:rPr>
              <w:rFonts w:ascii="Times New Roman" w:hAnsi="Times New Roman" w:cs="Times New Roman"/>
              <w:b/>
              <w:bCs/>
              <w:sz w:val="28"/>
              <w:szCs w:val="28"/>
            </w:rPr>
            <w:t>TUDENT</w:t>
          </w:r>
          <w:r w:rsidRPr="00813738">
            <w:rPr>
              <w:rFonts w:ascii="Times New Roman" w:hAnsi="Times New Roman" w:cs="Times New Roman"/>
              <w:b/>
              <w:bCs/>
              <w:sz w:val="28"/>
              <w:szCs w:val="28"/>
            </w:rPr>
            <w:t xml:space="preserve"> ID </w:t>
          </w:r>
          <w:r w:rsidR="004F010C" w:rsidRPr="00813738">
            <w:rPr>
              <w:rFonts w:ascii="Times New Roman" w:hAnsi="Times New Roman" w:cs="Times New Roman"/>
              <w:b/>
              <w:bCs/>
              <w:sz w:val="28"/>
              <w:szCs w:val="28"/>
            </w:rPr>
            <w:t xml:space="preserve">- </w:t>
          </w:r>
          <w:r w:rsidRPr="00813738">
            <w:rPr>
              <w:rFonts w:ascii="Times New Roman" w:hAnsi="Times New Roman" w:cs="Times New Roman"/>
              <w:b/>
              <w:bCs/>
              <w:sz w:val="28"/>
              <w:szCs w:val="28"/>
            </w:rPr>
            <w:t>2323499</w:t>
          </w:r>
        </w:p>
      </w:sdtContent>
    </w:sdt>
    <w:sdt>
      <w:sdtPr>
        <w:rPr>
          <w:rFonts w:ascii="Times New Roman" w:eastAsiaTheme="minorHAnsi" w:hAnsi="Times New Roman" w:cs="Times New Roman"/>
          <w:color w:val="auto"/>
          <w:kern w:val="2"/>
          <w:sz w:val="22"/>
          <w:szCs w:val="22"/>
          <w:lang w:val="en-IN" w:bidi="gu-IN"/>
          <w14:ligatures w14:val="standardContextual"/>
        </w:rPr>
        <w:id w:val="350841600"/>
        <w:docPartObj>
          <w:docPartGallery w:val="Table of Contents"/>
          <w:docPartUnique/>
        </w:docPartObj>
      </w:sdtPr>
      <w:sdtEndPr>
        <w:rPr>
          <w:b/>
          <w:bCs/>
          <w:noProof/>
        </w:rPr>
      </w:sdtEndPr>
      <w:sdtContent>
        <w:p w14:paraId="27A5F60B" w14:textId="637B40DF" w:rsidR="00365E40" w:rsidRPr="006742B0" w:rsidRDefault="00365E40" w:rsidP="00FB254D">
          <w:pPr>
            <w:pStyle w:val="TOCHeading"/>
            <w:spacing w:line="276" w:lineRule="auto"/>
            <w:jc w:val="center"/>
            <w:rPr>
              <w:rFonts w:ascii="Times New Roman" w:hAnsi="Times New Roman" w:cs="Times New Roman"/>
              <w:b/>
              <w:bCs/>
              <w:color w:val="auto"/>
              <w:sz w:val="28"/>
              <w:szCs w:val="28"/>
            </w:rPr>
          </w:pPr>
          <w:r w:rsidRPr="006742B0">
            <w:rPr>
              <w:rFonts w:ascii="Times New Roman" w:hAnsi="Times New Roman" w:cs="Times New Roman"/>
              <w:b/>
              <w:bCs/>
              <w:color w:val="auto"/>
              <w:sz w:val="28"/>
              <w:szCs w:val="28"/>
            </w:rPr>
            <w:t>Table of Contents</w:t>
          </w:r>
        </w:p>
        <w:p w14:paraId="2DE2E519" w14:textId="4D0C1F15" w:rsidR="00AE7CB5" w:rsidRDefault="00365E40">
          <w:pPr>
            <w:pStyle w:val="TOC1"/>
            <w:tabs>
              <w:tab w:val="right" w:leader="dot" w:pos="9016"/>
            </w:tabs>
            <w:rPr>
              <w:rFonts w:eastAsiaTheme="minorEastAsia" w:cstheme="minorBidi"/>
              <w:noProof/>
              <w:sz w:val="24"/>
              <w:szCs w:val="24"/>
              <w:lang w:val="en-GB" w:eastAsia="en-GB" w:bidi="ar-SA"/>
            </w:rPr>
          </w:pPr>
          <w:r w:rsidRPr="006742B0">
            <w:rPr>
              <w:rFonts w:ascii="Times New Roman" w:hAnsi="Times New Roman" w:cs="Times New Roman"/>
            </w:rPr>
            <w:fldChar w:fldCharType="begin"/>
          </w:r>
          <w:r w:rsidRPr="006742B0">
            <w:rPr>
              <w:rFonts w:ascii="Times New Roman" w:hAnsi="Times New Roman" w:cs="Times New Roman"/>
            </w:rPr>
            <w:instrText xml:space="preserve"> TOC \o "1-3" \h \z \u </w:instrText>
          </w:r>
          <w:r w:rsidRPr="006742B0">
            <w:rPr>
              <w:rFonts w:ascii="Times New Roman" w:hAnsi="Times New Roman" w:cs="Times New Roman"/>
            </w:rPr>
            <w:fldChar w:fldCharType="separate"/>
          </w:r>
          <w:hyperlink w:anchor="_Toc164812035" w:history="1">
            <w:r w:rsidR="00AE7CB5" w:rsidRPr="005375EF">
              <w:rPr>
                <w:rStyle w:val="Hyperlink"/>
                <w:rFonts w:ascii="Times New Roman" w:hAnsi="Times New Roman" w:cs="Times New Roman"/>
                <w:b/>
                <w:bCs/>
                <w:noProof/>
                <w:lang w:val="en-US"/>
              </w:rPr>
              <w:t>1. PART A</w:t>
            </w:r>
            <w:r w:rsidR="00AE7CB5">
              <w:rPr>
                <w:noProof/>
                <w:webHidden/>
              </w:rPr>
              <w:tab/>
            </w:r>
            <w:r w:rsidR="00AE7CB5">
              <w:rPr>
                <w:noProof/>
                <w:webHidden/>
              </w:rPr>
              <w:fldChar w:fldCharType="begin"/>
            </w:r>
            <w:r w:rsidR="00AE7CB5">
              <w:rPr>
                <w:noProof/>
                <w:webHidden/>
              </w:rPr>
              <w:instrText xml:space="preserve"> PAGEREF _Toc164812035 \h </w:instrText>
            </w:r>
            <w:r w:rsidR="00AE7CB5">
              <w:rPr>
                <w:noProof/>
                <w:webHidden/>
              </w:rPr>
            </w:r>
            <w:r w:rsidR="00AE7CB5">
              <w:rPr>
                <w:noProof/>
                <w:webHidden/>
              </w:rPr>
              <w:fldChar w:fldCharType="separate"/>
            </w:r>
            <w:r w:rsidR="005159FF">
              <w:rPr>
                <w:noProof/>
                <w:webHidden/>
              </w:rPr>
              <w:t>3</w:t>
            </w:r>
            <w:r w:rsidR="00AE7CB5">
              <w:rPr>
                <w:noProof/>
                <w:webHidden/>
              </w:rPr>
              <w:fldChar w:fldCharType="end"/>
            </w:r>
          </w:hyperlink>
        </w:p>
        <w:p w14:paraId="747BB550" w14:textId="64C7C964" w:rsidR="00AE7CB5" w:rsidRDefault="00000000">
          <w:pPr>
            <w:pStyle w:val="TOC2"/>
            <w:tabs>
              <w:tab w:val="right" w:leader="dot" w:pos="9016"/>
            </w:tabs>
            <w:rPr>
              <w:rFonts w:eastAsiaTheme="minorEastAsia" w:cstheme="minorBidi"/>
              <w:noProof/>
              <w:sz w:val="24"/>
              <w:szCs w:val="24"/>
              <w:lang w:val="en-GB" w:eastAsia="en-GB" w:bidi="ar-SA"/>
            </w:rPr>
          </w:pPr>
          <w:hyperlink w:anchor="_Toc164812036" w:history="1">
            <w:r w:rsidR="00AE7CB5" w:rsidRPr="005375EF">
              <w:rPr>
                <w:rStyle w:val="Hyperlink"/>
                <w:rFonts w:ascii="Times New Roman" w:hAnsi="Times New Roman" w:cs="Times New Roman"/>
                <w:b/>
                <w:bCs/>
                <w:noProof/>
                <w:lang w:val="en-US"/>
              </w:rPr>
              <w:t>1.1 INTRODUCTION</w:t>
            </w:r>
            <w:r w:rsidR="00AE7CB5">
              <w:rPr>
                <w:noProof/>
                <w:webHidden/>
              </w:rPr>
              <w:tab/>
            </w:r>
            <w:r w:rsidR="00AE7CB5">
              <w:rPr>
                <w:noProof/>
                <w:webHidden/>
              </w:rPr>
              <w:fldChar w:fldCharType="begin"/>
            </w:r>
            <w:r w:rsidR="00AE7CB5">
              <w:rPr>
                <w:noProof/>
                <w:webHidden/>
              </w:rPr>
              <w:instrText xml:space="preserve"> PAGEREF _Toc164812036 \h </w:instrText>
            </w:r>
            <w:r w:rsidR="00AE7CB5">
              <w:rPr>
                <w:noProof/>
                <w:webHidden/>
              </w:rPr>
            </w:r>
            <w:r w:rsidR="00AE7CB5">
              <w:rPr>
                <w:noProof/>
                <w:webHidden/>
              </w:rPr>
              <w:fldChar w:fldCharType="separate"/>
            </w:r>
            <w:r w:rsidR="005159FF">
              <w:rPr>
                <w:noProof/>
                <w:webHidden/>
              </w:rPr>
              <w:t>3</w:t>
            </w:r>
            <w:r w:rsidR="00AE7CB5">
              <w:rPr>
                <w:noProof/>
                <w:webHidden/>
              </w:rPr>
              <w:fldChar w:fldCharType="end"/>
            </w:r>
          </w:hyperlink>
        </w:p>
        <w:p w14:paraId="48E7B7F8" w14:textId="2E35A6C9" w:rsidR="00AE7CB5" w:rsidRDefault="00000000">
          <w:pPr>
            <w:pStyle w:val="TOC2"/>
            <w:tabs>
              <w:tab w:val="right" w:leader="dot" w:pos="9016"/>
            </w:tabs>
            <w:rPr>
              <w:rFonts w:eastAsiaTheme="minorEastAsia" w:cstheme="minorBidi"/>
              <w:noProof/>
              <w:sz w:val="24"/>
              <w:szCs w:val="24"/>
              <w:lang w:val="en-GB" w:eastAsia="en-GB" w:bidi="ar-SA"/>
            </w:rPr>
          </w:pPr>
          <w:hyperlink w:anchor="_Toc164812037" w:history="1">
            <w:r w:rsidR="00AE7CB5" w:rsidRPr="005375EF">
              <w:rPr>
                <w:rStyle w:val="Hyperlink"/>
                <w:rFonts w:ascii="Times New Roman" w:hAnsi="Times New Roman" w:cs="Times New Roman"/>
                <w:b/>
                <w:bCs/>
                <w:noProof/>
                <w:shd w:val="clear" w:color="auto" w:fill="FFFFFF"/>
              </w:rPr>
              <w:t>1.2 HISTORY OF BUSINESS MODEL</w:t>
            </w:r>
            <w:r w:rsidR="00AE7CB5">
              <w:rPr>
                <w:noProof/>
                <w:webHidden/>
              </w:rPr>
              <w:tab/>
            </w:r>
            <w:r w:rsidR="00AE7CB5">
              <w:rPr>
                <w:noProof/>
                <w:webHidden/>
              </w:rPr>
              <w:fldChar w:fldCharType="begin"/>
            </w:r>
            <w:r w:rsidR="00AE7CB5">
              <w:rPr>
                <w:noProof/>
                <w:webHidden/>
              </w:rPr>
              <w:instrText xml:space="preserve"> PAGEREF _Toc164812037 \h </w:instrText>
            </w:r>
            <w:r w:rsidR="00AE7CB5">
              <w:rPr>
                <w:noProof/>
                <w:webHidden/>
              </w:rPr>
            </w:r>
            <w:r w:rsidR="00AE7CB5">
              <w:rPr>
                <w:noProof/>
                <w:webHidden/>
              </w:rPr>
              <w:fldChar w:fldCharType="separate"/>
            </w:r>
            <w:r w:rsidR="005159FF">
              <w:rPr>
                <w:noProof/>
                <w:webHidden/>
              </w:rPr>
              <w:t>3</w:t>
            </w:r>
            <w:r w:rsidR="00AE7CB5">
              <w:rPr>
                <w:noProof/>
                <w:webHidden/>
              </w:rPr>
              <w:fldChar w:fldCharType="end"/>
            </w:r>
          </w:hyperlink>
        </w:p>
        <w:p w14:paraId="7C89934F" w14:textId="14FCFD7D" w:rsidR="00AE7CB5" w:rsidRDefault="00000000">
          <w:pPr>
            <w:pStyle w:val="TOC2"/>
            <w:tabs>
              <w:tab w:val="right" w:leader="dot" w:pos="9016"/>
            </w:tabs>
            <w:rPr>
              <w:rFonts w:eastAsiaTheme="minorEastAsia" w:cstheme="minorBidi"/>
              <w:noProof/>
              <w:sz w:val="24"/>
              <w:szCs w:val="24"/>
              <w:lang w:val="en-GB" w:eastAsia="en-GB" w:bidi="ar-SA"/>
            </w:rPr>
          </w:pPr>
          <w:hyperlink w:anchor="_Toc164812038" w:history="1">
            <w:r w:rsidR="00AE7CB5" w:rsidRPr="005375EF">
              <w:rPr>
                <w:rStyle w:val="Hyperlink"/>
                <w:rFonts w:ascii="Times New Roman" w:hAnsi="Times New Roman" w:cs="Times New Roman"/>
                <w:b/>
                <w:bCs/>
                <w:noProof/>
                <w:shd w:val="clear" w:color="auto" w:fill="FFFFFF"/>
              </w:rPr>
              <w:t>1.3 MARKET PRESENCE AND MAJOR COMPETITORS</w:t>
            </w:r>
            <w:r w:rsidR="00AE7CB5">
              <w:rPr>
                <w:noProof/>
                <w:webHidden/>
              </w:rPr>
              <w:tab/>
            </w:r>
            <w:r w:rsidR="00AE7CB5">
              <w:rPr>
                <w:noProof/>
                <w:webHidden/>
              </w:rPr>
              <w:fldChar w:fldCharType="begin"/>
            </w:r>
            <w:r w:rsidR="00AE7CB5">
              <w:rPr>
                <w:noProof/>
                <w:webHidden/>
              </w:rPr>
              <w:instrText xml:space="preserve"> PAGEREF _Toc164812038 \h </w:instrText>
            </w:r>
            <w:r w:rsidR="00AE7CB5">
              <w:rPr>
                <w:noProof/>
                <w:webHidden/>
              </w:rPr>
            </w:r>
            <w:r w:rsidR="00AE7CB5">
              <w:rPr>
                <w:noProof/>
                <w:webHidden/>
              </w:rPr>
              <w:fldChar w:fldCharType="separate"/>
            </w:r>
            <w:r w:rsidR="005159FF">
              <w:rPr>
                <w:noProof/>
                <w:webHidden/>
              </w:rPr>
              <w:t>3</w:t>
            </w:r>
            <w:r w:rsidR="00AE7CB5">
              <w:rPr>
                <w:noProof/>
                <w:webHidden/>
              </w:rPr>
              <w:fldChar w:fldCharType="end"/>
            </w:r>
          </w:hyperlink>
        </w:p>
        <w:p w14:paraId="44E54552" w14:textId="2702B27D" w:rsidR="00AE7CB5" w:rsidRDefault="00000000">
          <w:pPr>
            <w:pStyle w:val="TOC2"/>
            <w:tabs>
              <w:tab w:val="right" w:leader="dot" w:pos="9016"/>
            </w:tabs>
            <w:rPr>
              <w:rFonts w:eastAsiaTheme="minorEastAsia" w:cstheme="minorBidi"/>
              <w:noProof/>
              <w:sz w:val="24"/>
              <w:szCs w:val="24"/>
              <w:lang w:val="en-GB" w:eastAsia="en-GB" w:bidi="ar-SA"/>
            </w:rPr>
          </w:pPr>
          <w:hyperlink w:anchor="_Toc164812039" w:history="1">
            <w:r w:rsidR="00AE7CB5" w:rsidRPr="005375EF">
              <w:rPr>
                <w:rStyle w:val="Hyperlink"/>
                <w:rFonts w:ascii="Times New Roman" w:hAnsi="Times New Roman" w:cs="Times New Roman"/>
                <w:b/>
                <w:bCs/>
                <w:noProof/>
                <w:shd w:val="clear" w:color="auto" w:fill="FFFFFF"/>
              </w:rPr>
              <w:t>1.4 MAJOR EVENTS OVER THE PAST FIVE YEARS</w:t>
            </w:r>
            <w:r w:rsidR="00AE7CB5">
              <w:rPr>
                <w:noProof/>
                <w:webHidden/>
              </w:rPr>
              <w:tab/>
            </w:r>
            <w:r w:rsidR="00AE7CB5">
              <w:rPr>
                <w:noProof/>
                <w:webHidden/>
              </w:rPr>
              <w:fldChar w:fldCharType="begin"/>
            </w:r>
            <w:r w:rsidR="00AE7CB5">
              <w:rPr>
                <w:noProof/>
                <w:webHidden/>
              </w:rPr>
              <w:instrText xml:space="preserve"> PAGEREF _Toc164812039 \h </w:instrText>
            </w:r>
            <w:r w:rsidR="00AE7CB5">
              <w:rPr>
                <w:noProof/>
                <w:webHidden/>
              </w:rPr>
            </w:r>
            <w:r w:rsidR="00AE7CB5">
              <w:rPr>
                <w:noProof/>
                <w:webHidden/>
              </w:rPr>
              <w:fldChar w:fldCharType="separate"/>
            </w:r>
            <w:r w:rsidR="005159FF">
              <w:rPr>
                <w:noProof/>
                <w:webHidden/>
              </w:rPr>
              <w:t>3</w:t>
            </w:r>
            <w:r w:rsidR="00AE7CB5">
              <w:rPr>
                <w:noProof/>
                <w:webHidden/>
              </w:rPr>
              <w:fldChar w:fldCharType="end"/>
            </w:r>
          </w:hyperlink>
        </w:p>
        <w:p w14:paraId="2AA12BF0" w14:textId="0F808B18" w:rsidR="00AE7CB5" w:rsidRDefault="00000000">
          <w:pPr>
            <w:pStyle w:val="TOC1"/>
            <w:tabs>
              <w:tab w:val="right" w:leader="dot" w:pos="9016"/>
            </w:tabs>
            <w:rPr>
              <w:rFonts w:eastAsiaTheme="minorEastAsia" w:cstheme="minorBidi"/>
              <w:noProof/>
              <w:sz w:val="24"/>
              <w:szCs w:val="24"/>
              <w:lang w:val="en-GB" w:eastAsia="en-GB" w:bidi="ar-SA"/>
            </w:rPr>
          </w:pPr>
          <w:hyperlink w:anchor="_Toc164812040" w:history="1">
            <w:r w:rsidR="00AE7CB5" w:rsidRPr="005375EF">
              <w:rPr>
                <w:rStyle w:val="Hyperlink"/>
                <w:rFonts w:ascii="Times New Roman" w:hAnsi="Times New Roman" w:cs="Times New Roman"/>
                <w:b/>
                <w:bCs/>
                <w:noProof/>
                <w:shd w:val="clear" w:color="auto" w:fill="FFFFFF"/>
              </w:rPr>
              <w:t>2. PART-B</w:t>
            </w:r>
            <w:r w:rsidR="00AE7CB5">
              <w:rPr>
                <w:noProof/>
                <w:webHidden/>
              </w:rPr>
              <w:tab/>
            </w:r>
            <w:r w:rsidR="00AE7CB5">
              <w:rPr>
                <w:noProof/>
                <w:webHidden/>
              </w:rPr>
              <w:fldChar w:fldCharType="begin"/>
            </w:r>
            <w:r w:rsidR="00AE7CB5">
              <w:rPr>
                <w:noProof/>
                <w:webHidden/>
              </w:rPr>
              <w:instrText xml:space="preserve"> PAGEREF _Toc164812040 \h </w:instrText>
            </w:r>
            <w:r w:rsidR="00AE7CB5">
              <w:rPr>
                <w:noProof/>
                <w:webHidden/>
              </w:rPr>
            </w:r>
            <w:r w:rsidR="00AE7CB5">
              <w:rPr>
                <w:noProof/>
                <w:webHidden/>
              </w:rPr>
              <w:fldChar w:fldCharType="separate"/>
            </w:r>
            <w:r w:rsidR="005159FF">
              <w:rPr>
                <w:noProof/>
                <w:webHidden/>
              </w:rPr>
              <w:t>4</w:t>
            </w:r>
            <w:r w:rsidR="00AE7CB5">
              <w:rPr>
                <w:noProof/>
                <w:webHidden/>
              </w:rPr>
              <w:fldChar w:fldCharType="end"/>
            </w:r>
          </w:hyperlink>
        </w:p>
        <w:p w14:paraId="041F652A" w14:textId="221EF6FC" w:rsidR="00AE7CB5" w:rsidRDefault="00000000">
          <w:pPr>
            <w:pStyle w:val="TOC2"/>
            <w:tabs>
              <w:tab w:val="right" w:leader="dot" w:pos="9016"/>
            </w:tabs>
            <w:rPr>
              <w:rFonts w:eastAsiaTheme="minorEastAsia" w:cstheme="minorBidi"/>
              <w:noProof/>
              <w:sz w:val="24"/>
              <w:szCs w:val="24"/>
              <w:lang w:val="en-GB" w:eastAsia="en-GB" w:bidi="ar-SA"/>
            </w:rPr>
          </w:pPr>
          <w:hyperlink w:anchor="_Toc164812041" w:history="1">
            <w:r w:rsidR="00AE7CB5" w:rsidRPr="005375EF">
              <w:rPr>
                <w:rStyle w:val="Hyperlink"/>
                <w:rFonts w:ascii="Times New Roman" w:hAnsi="Times New Roman" w:cs="Times New Roman"/>
                <w:b/>
                <w:bCs/>
                <w:noProof/>
                <w:shd w:val="clear" w:color="auto" w:fill="FFFFFF"/>
              </w:rPr>
              <w:t>2.1 COSTCO FINANCIAL PERFORMANCE</w:t>
            </w:r>
            <w:r w:rsidR="00AE7CB5">
              <w:rPr>
                <w:noProof/>
                <w:webHidden/>
              </w:rPr>
              <w:tab/>
            </w:r>
            <w:r w:rsidR="00AE7CB5">
              <w:rPr>
                <w:noProof/>
                <w:webHidden/>
              </w:rPr>
              <w:fldChar w:fldCharType="begin"/>
            </w:r>
            <w:r w:rsidR="00AE7CB5">
              <w:rPr>
                <w:noProof/>
                <w:webHidden/>
              </w:rPr>
              <w:instrText xml:space="preserve"> PAGEREF _Toc164812041 \h </w:instrText>
            </w:r>
            <w:r w:rsidR="00AE7CB5">
              <w:rPr>
                <w:noProof/>
                <w:webHidden/>
              </w:rPr>
            </w:r>
            <w:r w:rsidR="00AE7CB5">
              <w:rPr>
                <w:noProof/>
                <w:webHidden/>
              </w:rPr>
              <w:fldChar w:fldCharType="separate"/>
            </w:r>
            <w:r w:rsidR="005159FF">
              <w:rPr>
                <w:noProof/>
                <w:webHidden/>
              </w:rPr>
              <w:t>4</w:t>
            </w:r>
            <w:r w:rsidR="00AE7CB5">
              <w:rPr>
                <w:noProof/>
                <w:webHidden/>
              </w:rPr>
              <w:fldChar w:fldCharType="end"/>
            </w:r>
          </w:hyperlink>
        </w:p>
        <w:p w14:paraId="4378C0F8" w14:textId="2E5286CE" w:rsidR="00AE7CB5" w:rsidRDefault="00000000">
          <w:pPr>
            <w:pStyle w:val="TOC2"/>
            <w:tabs>
              <w:tab w:val="right" w:leader="dot" w:pos="9016"/>
            </w:tabs>
            <w:rPr>
              <w:rFonts w:eastAsiaTheme="minorEastAsia" w:cstheme="minorBidi"/>
              <w:noProof/>
              <w:sz w:val="24"/>
              <w:szCs w:val="24"/>
              <w:lang w:val="en-GB" w:eastAsia="en-GB" w:bidi="ar-SA"/>
            </w:rPr>
          </w:pPr>
          <w:hyperlink w:anchor="_Toc164812042" w:history="1">
            <w:r w:rsidR="00AE7CB5" w:rsidRPr="005375EF">
              <w:rPr>
                <w:rStyle w:val="Hyperlink"/>
                <w:rFonts w:ascii="Times New Roman" w:hAnsi="Times New Roman" w:cs="Times New Roman"/>
                <w:b/>
                <w:bCs/>
                <w:noProof/>
                <w:shd w:val="clear" w:color="auto" w:fill="FFFFFF"/>
              </w:rPr>
              <w:t>2.2 LIQUIDITY RATIO</w:t>
            </w:r>
            <w:r w:rsidR="00AE7CB5">
              <w:rPr>
                <w:noProof/>
                <w:webHidden/>
              </w:rPr>
              <w:tab/>
            </w:r>
            <w:r w:rsidR="00AE7CB5">
              <w:rPr>
                <w:noProof/>
                <w:webHidden/>
              </w:rPr>
              <w:fldChar w:fldCharType="begin"/>
            </w:r>
            <w:r w:rsidR="00AE7CB5">
              <w:rPr>
                <w:noProof/>
                <w:webHidden/>
              </w:rPr>
              <w:instrText xml:space="preserve"> PAGEREF _Toc164812042 \h </w:instrText>
            </w:r>
            <w:r w:rsidR="00AE7CB5">
              <w:rPr>
                <w:noProof/>
                <w:webHidden/>
              </w:rPr>
            </w:r>
            <w:r w:rsidR="00AE7CB5">
              <w:rPr>
                <w:noProof/>
                <w:webHidden/>
              </w:rPr>
              <w:fldChar w:fldCharType="separate"/>
            </w:r>
            <w:r w:rsidR="005159FF">
              <w:rPr>
                <w:noProof/>
                <w:webHidden/>
              </w:rPr>
              <w:t>5</w:t>
            </w:r>
            <w:r w:rsidR="00AE7CB5">
              <w:rPr>
                <w:noProof/>
                <w:webHidden/>
              </w:rPr>
              <w:fldChar w:fldCharType="end"/>
            </w:r>
          </w:hyperlink>
        </w:p>
        <w:p w14:paraId="0A8FB33A" w14:textId="39B65330" w:rsidR="00AE7CB5" w:rsidRDefault="00000000">
          <w:pPr>
            <w:pStyle w:val="TOC3"/>
            <w:tabs>
              <w:tab w:val="right" w:leader="dot" w:pos="9016"/>
            </w:tabs>
            <w:rPr>
              <w:rFonts w:eastAsiaTheme="minorEastAsia" w:cstheme="minorBidi"/>
              <w:noProof/>
              <w:sz w:val="24"/>
              <w:szCs w:val="24"/>
              <w:lang w:val="en-GB" w:eastAsia="en-GB" w:bidi="ar-SA"/>
            </w:rPr>
          </w:pPr>
          <w:hyperlink w:anchor="_Toc164812043" w:history="1">
            <w:r w:rsidR="00AE7CB5" w:rsidRPr="005375EF">
              <w:rPr>
                <w:rStyle w:val="Hyperlink"/>
                <w:rFonts w:ascii="Times New Roman" w:hAnsi="Times New Roman" w:cs="Times New Roman"/>
                <w:b/>
                <w:bCs/>
                <w:noProof/>
                <w:shd w:val="clear" w:color="auto" w:fill="FFFFFF"/>
              </w:rPr>
              <w:t>2.2.1. CURRENT RATIO</w:t>
            </w:r>
            <w:r w:rsidR="00AE7CB5">
              <w:rPr>
                <w:noProof/>
                <w:webHidden/>
              </w:rPr>
              <w:tab/>
            </w:r>
            <w:r w:rsidR="00AE7CB5">
              <w:rPr>
                <w:noProof/>
                <w:webHidden/>
              </w:rPr>
              <w:fldChar w:fldCharType="begin"/>
            </w:r>
            <w:r w:rsidR="00AE7CB5">
              <w:rPr>
                <w:noProof/>
                <w:webHidden/>
              </w:rPr>
              <w:instrText xml:space="preserve"> PAGEREF _Toc164812043 \h </w:instrText>
            </w:r>
            <w:r w:rsidR="00AE7CB5">
              <w:rPr>
                <w:noProof/>
                <w:webHidden/>
              </w:rPr>
            </w:r>
            <w:r w:rsidR="00AE7CB5">
              <w:rPr>
                <w:noProof/>
                <w:webHidden/>
              </w:rPr>
              <w:fldChar w:fldCharType="separate"/>
            </w:r>
            <w:r w:rsidR="005159FF">
              <w:rPr>
                <w:noProof/>
                <w:webHidden/>
              </w:rPr>
              <w:t>6</w:t>
            </w:r>
            <w:r w:rsidR="00AE7CB5">
              <w:rPr>
                <w:noProof/>
                <w:webHidden/>
              </w:rPr>
              <w:fldChar w:fldCharType="end"/>
            </w:r>
          </w:hyperlink>
        </w:p>
        <w:p w14:paraId="45DB7656" w14:textId="440DB85A" w:rsidR="00AE7CB5" w:rsidRDefault="00000000">
          <w:pPr>
            <w:pStyle w:val="TOC3"/>
            <w:tabs>
              <w:tab w:val="right" w:leader="dot" w:pos="9016"/>
            </w:tabs>
            <w:rPr>
              <w:rFonts w:eastAsiaTheme="minorEastAsia" w:cstheme="minorBidi"/>
              <w:noProof/>
              <w:sz w:val="24"/>
              <w:szCs w:val="24"/>
              <w:lang w:val="en-GB" w:eastAsia="en-GB" w:bidi="ar-SA"/>
            </w:rPr>
          </w:pPr>
          <w:hyperlink w:anchor="_Toc164812044" w:history="1">
            <w:r w:rsidR="00AE7CB5" w:rsidRPr="005375EF">
              <w:rPr>
                <w:rStyle w:val="Hyperlink"/>
                <w:rFonts w:ascii="Times New Roman" w:hAnsi="Times New Roman" w:cs="Times New Roman"/>
                <w:b/>
                <w:bCs/>
                <w:noProof/>
                <w:shd w:val="clear" w:color="auto" w:fill="FFFFFF"/>
              </w:rPr>
              <w:t>2.2.2. LIQUIDITY RATIO</w:t>
            </w:r>
            <w:r w:rsidR="00AE7CB5">
              <w:rPr>
                <w:noProof/>
                <w:webHidden/>
              </w:rPr>
              <w:tab/>
            </w:r>
            <w:r w:rsidR="00AE7CB5">
              <w:rPr>
                <w:noProof/>
                <w:webHidden/>
              </w:rPr>
              <w:fldChar w:fldCharType="begin"/>
            </w:r>
            <w:r w:rsidR="00AE7CB5">
              <w:rPr>
                <w:noProof/>
                <w:webHidden/>
              </w:rPr>
              <w:instrText xml:space="preserve"> PAGEREF _Toc164812044 \h </w:instrText>
            </w:r>
            <w:r w:rsidR="00AE7CB5">
              <w:rPr>
                <w:noProof/>
                <w:webHidden/>
              </w:rPr>
            </w:r>
            <w:r w:rsidR="00AE7CB5">
              <w:rPr>
                <w:noProof/>
                <w:webHidden/>
              </w:rPr>
              <w:fldChar w:fldCharType="separate"/>
            </w:r>
            <w:r w:rsidR="005159FF">
              <w:rPr>
                <w:noProof/>
                <w:webHidden/>
              </w:rPr>
              <w:t>6</w:t>
            </w:r>
            <w:r w:rsidR="00AE7CB5">
              <w:rPr>
                <w:noProof/>
                <w:webHidden/>
              </w:rPr>
              <w:fldChar w:fldCharType="end"/>
            </w:r>
          </w:hyperlink>
        </w:p>
        <w:p w14:paraId="0F5798E9" w14:textId="3489EA24" w:rsidR="00AE7CB5" w:rsidRDefault="00000000">
          <w:pPr>
            <w:pStyle w:val="TOC3"/>
            <w:tabs>
              <w:tab w:val="right" w:leader="dot" w:pos="9016"/>
            </w:tabs>
            <w:rPr>
              <w:rFonts w:eastAsiaTheme="minorEastAsia" w:cstheme="minorBidi"/>
              <w:noProof/>
              <w:sz w:val="24"/>
              <w:szCs w:val="24"/>
              <w:lang w:val="en-GB" w:eastAsia="en-GB" w:bidi="ar-SA"/>
            </w:rPr>
          </w:pPr>
          <w:hyperlink w:anchor="_Toc164812045" w:history="1">
            <w:r w:rsidR="00AE7CB5" w:rsidRPr="005375EF">
              <w:rPr>
                <w:rStyle w:val="Hyperlink"/>
                <w:rFonts w:ascii="Times New Roman" w:hAnsi="Times New Roman" w:cs="Times New Roman"/>
                <w:b/>
                <w:bCs/>
                <w:noProof/>
                <w:shd w:val="clear" w:color="auto" w:fill="FFFFFF"/>
              </w:rPr>
              <w:t>2.2.3. ASSET COVER</w:t>
            </w:r>
            <w:r w:rsidR="00AE7CB5">
              <w:rPr>
                <w:noProof/>
                <w:webHidden/>
              </w:rPr>
              <w:tab/>
            </w:r>
            <w:r w:rsidR="00AE7CB5">
              <w:rPr>
                <w:noProof/>
                <w:webHidden/>
              </w:rPr>
              <w:fldChar w:fldCharType="begin"/>
            </w:r>
            <w:r w:rsidR="00AE7CB5">
              <w:rPr>
                <w:noProof/>
                <w:webHidden/>
              </w:rPr>
              <w:instrText xml:space="preserve"> PAGEREF _Toc164812045 \h </w:instrText>
            </w:r>
            <w:r w:rsidR="00AE7CB5">
              <w:rPr>
                <w:noProof/>
                <w:webHidden/>
              </w:rPr>
            </w:r>
            <w:r w:rsidR="00AE7CB5">
              <w:rPr>
                <w:noProof/>
                <w:webHidden/>
              </w:rPr>
              <w:fldChar w:fldCharType="separate"/>
            </w:r>
            <w:r w:rsidR="005159FF">
              <w:rPr>
                <w:noProof/>
                <w:webHidden/>
              </w:rPr>
              <w:t>6</w:t>
            </w:r>
            <w:r w:rsidR="00AE7CB5">
              <w:rPr>
                <w:noProof/>
                <w:webHidden/>
              </w:rPr>
              <w:fldChar w:fldCharType="end"/>
            </w:r>
          </w:hyperlink>
        </w:p>
        <w:p w14:paraId="2E91EA0D" w14:textId="4BAB0497" w:rsidR="00AE7CB5" w:rsidRDefault="00000000">
          <w:pPr>
            <w:pStyle w:val="TOC2"/>
            <w:tabs>
              <w:tab w:val="right" w:leader="dot" w:pos="9016"/>
            </w:tabs>
            <w:rPr>
              <w:rFonts w:eastAsiaTheme="minorEastAsia" w:cstheme="minorBidi"/>
              <w:noProof/>
              <w:sz w:val="24"/>
              <w:szCs w:val="24"/>
              <w:lang w:val="en-GB" w:eastAsia="en-GB" w:bidi="ar-SA"/>
            </w:rPr>
          </w:pPr>
          <w:hyperlink w:anchor="_Toc164812046" w:history="1">
            <w:r w:rsidR="00AE7CB5" w:rsidRPr="005375EF">
              <w:rPr>
                <w:rStyle w:val="Hyperlink"/>
                <w:rFonts w:ascii="Times New Roman" w:hAnsi="Times New Roman" w:cs="Times New Roman"/>
                <w:b/>
                <w:bCs/>
                <w:noProof/>
                <w:shd w:val="clear" w:color="auto" w:fill="FFFFFF"/>
              </w:rPr>
              <w:t>2.3 GEARING RATIOS</w:t>
            </w:r>
            <w:r w:rsidR="00AE7CB5">
              <w:rPr>
                <w:noProof/>
                <w:webHidden/>
              </w:rPr>
              <w:tab/>
            </w:r>
            <w:r w:rsidR="00AE7CB5">
              <w:rPr>
                <w:noProof/>
                <w:webHidden/>
              </w:rPr>
              <w:fldChar w:fldCharType="begin"/>
            </w:r>
            <w:r w:rsidR="00AE7CB5">
              <w:rPr>
                <w:noProof/>
                <w:webHidden/>
              </w:rPr>
              <w:instrText xml:space="preserve"> PAGEREF _Toc164812046 \h </w:instrText>
            </w:r>
            <w:r w:rsidR="00AE7CB5">
              <w:rPr>
                <w:noProof/>
                <w:webHidden/>
              </w:rPr>
            </w:r>
            <w:r w:rsidR="00AE7CB5">
              <w:rPr>
                <w:noProof/>
                <w:webHidden/>
              </w:rPr>
              <w:fldChar w:fldCharType="separate"/>
            </w:r>
            <w:r w:rsidR="005159FF">
              <w:rPr>
                <w:noProof/>
                <w:webHidden/>
              </w:rPr>
              <w:t>7</w:t>
            </w:r>
            <w:r w:rsidR="00AE7CB5">
              <w:rPr>
                <w:noProof/>
                <w:webHidden/>
              </w:rPr>
              <w:fldChar w:fldCharType="end"/>
            </w:r>
          </w:hyperlink>
        </w:p>
        <w:p w14:paraId="2ECCD289" w14:textId="61A05D00" w:rsidR="00AE7CB5" w:rsidRDefault="00000000">
          <w:pPr>
            <w:pStyle w:val="TOC2"/>
            <w:tabs>
              <w:tab w:val="right" w:leader="dot" w:pos="9016"/>
            </w:tabs>
            <w:rPr>
              <w:rFonts w:eastAsiaTheme="minorEastAsia" w:cstheme="minorBidi"/>
              <w:noProof/>
              <w:sz w:val="24"/>
              <w:szCs w:val="24"/>
              <w:lang w:val="en-GB" w:eastAsia="en-GB" w:bidi="ar-SA"/>
            </w:rPr>
          </w:pPr>
          <w:hyperlink w:anchor="_Toc164812047" w:history="1">
            <w:r w:rsidR="00AE7CB5" w:rsidRPr="005375EF">
              <w:rPr>
                <w:rStyle w:val="Hyperlink"/>
                <w:rFonts w:ascii="Times New Roman" w:hAnsi="Times New Roman" w:cs="Times New Roman"/>
                <w:b/>
                <w:bCs/>
                <w:noProof/>
                <w:shd w:val="clear" w:color="auto" w:fill="FFFFFF"/>
              </w:rPr>
              <w:t>2.4 EFFICIENCY RATIO</w:t>
            </w:r>
            <w:r w:rsidR="00AE7CB5">
              <w:rPr>
                <w:noProof/>
                <w:webHidden/>
              </w:rPr>
              <w:tab/>
            </w:r>
            <w:r w:rsidR="00AE7CB5">
              <w:rPr>
                <w:noProof/>
                <w:webHidden/>
              </w:rPr>
              <w:fldChar w:fldCharType="begin"/>
            </w:r>
            <w:r w:rsidR="00AE7CB5">
              <w:rPr>
                <w:noProof/>
                <w:webHidden/>
              </w:rPr>
              <w:instrText xml:space="preserve"> PAGEREF _Toc164812047 \h </w:instrText>
            </w:r>
            <w:r w:rsidR="00AE7CB5">
              <w:rPr>
                <w:noProof/>
                <w:webHidden/>
              </w:rPr>
            </w:r>
            <w:r w:rsidR="00AE7CB5">
              <w:rPr>
                <w:noProof/>
                <w:webHidden/>
              </w:rPr>
              <w:fldChar w:fldCharType="separate"/>
            </w:r>
            <w:r w:rsidR="005159FF">
              <w:rPr>
                <w:noProof/>
                <w:webHidden/>
              </w:rPr>
              <w:t>8</w:t>
            </w:r>
            <w:r w:rsidR="00AE7CB5">
              <w:rPr>
                <w:noProof/>
                <w:webHidden/>
              </w:rPr>
              <w:fldChar w:fldCharType="end"/>
            </w:r>
          </w:hyperlink>
        </w:p>
        <w:p w14:paraId="02B59522" w14:textId="46B3D75D" w:rsidR="00AE7CB5" w:rsidRDefault="00000000">
          <w:pPr>
            <w:pStyle w:val="TOC3"/>
            <w:tabs>
              <w:tab w:val="right" w:leader="dot" w:pos="9016"/>
            </w:tabs>
            <w:rPr>
              <w:rFonts w:eastAsiaTheme="minorEastAsia" w:cstheme="minorBidi"/>
              <w:noProof/>
              <w:sz w:val="24"/>
              <w:szCs w:val="24"/>
              <w:lang w:val="en-GB" w:eastAsia="en-GB" w:bidi="ar-SA"/>
            </w:rPr>
          </w:pPr>
          <w:hyperlink w:anchor="_Toc164812048" w:history="1">
            <w:r w:rsidR="00AE7CB5" w:rsidRPr="005375EF">
              <w:rPr>
                <w:rStyle w:val="Hyperlink"/>
                <w:rFonts w:ascii="Times New Roman" w:hAnsi="Times New Roman" w:cs="Times New Roman"/>
                <w:b/>
                <w:bCs/>
                <w:noProof/>
                <w:shd w:val="clear" w:color="auto" w:fill="FFFFFF"/>
              </w:rPr>
              <w:t>2.4.1 NET ASSETS TURNOVER (X)</w:t>
            </w:r>
            <w:r w:rsidR="00AE7CB5">
              <w:rPr>
                <w:noProof/>
                <w:webHidden/>
              </w:rPr>
              <w:tab/>
            </w:r>
            <w:r w:rsidR="00AE7CB5">
              <w:rPr>
                <w:noProof/>
                <w:webHidden/>
              </w:rPr>
              <w:fldChar w:fldCharType="begin"/>
            </w:r>
            <w:r w:rsidR="00AE7CB5">
              <w:rPr>
                <w:noProof/>
                <w:webHidden/>
              </w:rPr>
              <w:instrText xml:space="preserve"> PAGEREF _Toc164812048 \h </w:instrText>
            </w:r>
            <w:r w:rsidR="00AE7CB5">
              <w:rPr>
                <w:noProof/>
                <w:webHidden/>
              </w:rPr>
            </w:r>
            <w:r w:rsidR="00AE7CB5">
              <w:rPr>
                <w:noProof/>
                <w:webHidden/>
              </w:rPr>
              <w:fldChar w:fldCharType="separate"/>
            </w:r>
            <w:r w:rsidR="005159FF">
              <w:rPr>
                <w:noProof/>
                <w:webHidden/>
              </w:rPr>
              <w:t>8</w:t>
            </w:r>
            <w:r w:rsidR="00AE7CB5">
              <w:rPr>
                <w:noProof/>
                <w:webHidden/>
              </w:rPr>
              <w:fldChar w:fldCharType="end"/>
            </w:r>
          </w:hyperlink>
        </w:p>
        <w:p w14:paraId="0B26F825" w14:textId="1DC77544" w:rsidR="00AE7CB5" w:rsidRDefault="00000000">
          <w:pPr>
            <w:pStyle w:val="TOC3"/>
            <w:tabs>
              <w:tab w:val="right" w:leader="dot" w:pos="9016"/>
            </w:tabs>
            <w:rPr>
              <w:rFonts w:eastAsiaTheme="minorEastAsia" w:cstheme="minorBidi"/>
              <w:noProof/>
              <w:sz w:val="24"/>
              <w:szCs w:val="24"/>
              <w:lang w:val="en-GB" w:eastAsia="en-GB" w:bidi="ar-SA"/>
            </w:rPr>
          </w:pPr>
          <w:hyperlink w:anchor="_Toc164812049" w:history="1">
            <w:r w:rsidR="00AE7CB5" w:rsidRPr="005375EF">
              <w:rPr>
                <w:rStyle w:val="Hyperlink"/>
                <w:rFonts w:ascii="Times New Roman" w:hAnsi="Times New Roman" w:cs="Times New Roman"/>
                <w:b/>
                <w:bCs/>
                <w:noProof/>
                <w:shd w:val="clear" w:color="auto" w:fill="FFFFFF"/>
              </w:rPr>
              <w:t>2.4.2 FIXED ASSETS TURNOVER (X)</w:t>
            </w:r>
            <w:r w:rsidR="00AE7CB5">
              <w:rPr>
                <w:noProof/>
                <w:webHidden/>
              </w:rPr>
              <w:tab/>
            </w:r>
            <w:r w:rsidR="00AE7CB5">
              <w:rPr>
                <w:noProof/>
                <w:webHidden/>
              </w:rPr>
              <w:fldChar w:fldCharType="begin"/>
            </w:r>
            <w:r w:rsidR="00AE7CB5">
              <w:rPr>
                <w:noProof/>
                <w:webHidden/>
              </w:rPr>
              <w:instrText xml:space="preserve"> PAGEREF _Toc164812049 \h </w:instrText>
            </w:r>
            <w:r w:rsidR="00AE7CB5">
              <w:rPr>
                <w:noProof/>
                <w:webHidden/>
              </w:rPr>
            </w:r>
            <w:r w:rsidR="00AE7CB5">
              <w:rPr>
                <w:noProof/>
                <w:webHidden/>
              </w:rPr>
              <w:fldChar w:fldCharType="separate"/>
            </w:r>
            <w:r w:rsidR="005159FF">
              <w:rPr>
                <w:noProof/>
                <w:webHidden/>
              </w:rPr>
              <w:t>9</w:t>
            </w:r>
            <w:r w:rsidR="00AE7CB5">
              <w:rPr>
                <w:noProof/>
                <w:webHidden/>
              </w:rPr>
              <w:fldChar w:fldCharType="end"/>
            </w:r>
          </w:hyperlink>
        </w:p>
        <w:p w14:paraId="710A5F29" w14:textId="4AEFB111" w:rsidR="00AE7CB5" w:rsidRDefault="00000000">
          <w:pPr>
            <w:pStyle w:val="TOC3"/>
            <w:tabs>
              <w:tab w:val="right" w:leader="dot" w:pos="9016"/>
            </w:tabs>
            <w:rPr>
              <w:rFonts w:eastAsiaTheme="minorEastAsia" w:cstheme="minorBidi"/>
              <w:noProof/>
              <w:sz w:val="24"/>
              <w:szCs w:val="24"/>
              <w:lang w:val="en-GB" w:eastAsia="en-GB" w:bidi="ar-SA"/>
            </w:rPr>
          </w:pPr>
          <w:hyperlink w:anchor="_Toc164812050" w:history="1">
            <w:r w:rsidR="00AE7CB5" w:rsidRPr="005375EF">
              <w:rPr>
                <w:rStyle w:val="Hyperlink"/>
                <w:rFonts w:ascii="Times New Roman" w:hAnsi="Times New Roman" w:cs="Times New Roman"/>
                <w:b/>
                <w:bCs/>
                <w:noProof/>
                <w:shd w:val="clear" w:color="auto" w:fill="FFFFFF"/>
              </w:rPr>
              <w:t>2.4.3 INTEREST COVER (X)</w:t>
            </w:r>
            <w:r w:rsidR="00AE7CB5">
              <w:rPr>
                <w:noProof/>
                <w:webHidden/>
              </w:rPr>
              <w:tab/>
            </w:r>
            <w:r w:rsidR="00AE7CB5">
              <w:rPr>
                <w:noProof/>
                <w:webHidden/>
              </w:rPr>
              <w:fldChar w:fldCharType="begin"/>
            </w:r>
            <w:r w:rsidR="00AE7CB5">
              <w:rPr>
                <w:noProof/>
                <w:webHidden/>
              </w:rPr>
              <w:instrText xml:space="preserve"> PAGEREF _Toc164812050 \h </w:instrText>
            </w:r>
            <w:r w:rsidR="00AE7CB5">
              <w:rPr>
                <w:noProof/>
                <w:webHidden/>
              </w:rPr>
            </w:r>
            <w:r w:rsidR="00AE7CB5">
              <w:rPr>
                <w:noProof/>
                <w:webHidden/>
              </w:rPr>
              <w:fldChar w:fldCharType="separate"/>
            </w:r>
            <w:r w:rsidR="005159FF">
              <w:rPr>
                <w:noProof/>
                <w:webHidden/>
              </w:rPr>
              <w:t>9</w:t>
            </w:r>
            <w:r w:rsidR="00AE7CB5">
              <w:rPr>
                <w:noProof/>
                <w:webHidden/>
              </w:rPr>
              <w:fldChar w:fldCharType="end"/>
            </w:r>
          </w:hyperlink>
        </w:p>
        <w:p w14:paraId="35F18FD0" w14:textId="12EABAAA" w:rsidR="00AE7CB5" w:rsidRDefault="00000000">
          <w:pPr>
            <w:pStyle w:val="TOC3"/>
            <w:tabs>
              <w:tab w:val="right" w:leader="dot" w:pos="9016"/>
            </w:tabs>
            <w:rPr>
              <w:rFonts w:eastAsiaTheme="minorEastAsia" w:cstheme="minorBidi"/>
              <w:noProof/>
              <w:sz w:val="24"/>
              <w:szCs w:val="24"/>
              <w:lang w:val="en-GB" w:eastAsia="en-GB" w:bidi="ar-SA"/>
            </w:rPr>
          </w:pPr>
          <w:hyperlink w:anchor="_Toc164812051" w:history="1">
            <w:r w:rsidR="00AE7CB5" w:rsidRPr="005375EF">
              <w:rPr>
                <w:rStyle w:val="Hyperlink"/>
                <w:rFonts w:ascii="Times New Roman" w:hAnsi="Times New Roman" w:cs="Times New Roman"/>
                <w:b/>
                <w:bCs/>
                <w:noProof/>
                <w:shd w:val="clear" w:color="auto" w:fill="FFFFFF"/>
              </w:rPr>
              <w:t>2.4.4 STOCK TURNOVER (X)</w:t>
            </w:r>
            <w:r w:rsidR="00AE7CB5">
              <w:rPr>
                <w:noProof/>
                <w:webHidden/>
              </w:rPr>
              <w:tab/>
            </w:r>
            <w:r w:rsidR="00AE7CB5">
              <w:rPr>
                <w:noProof/>
                <w:webHidden/>
              </w:rPr>
              <w:fldChar w:fldCharType="begin"/>
            </w:r>
            <w:r w:rsidR="00AE7CB5">
              <w:rPr>
                <w:noProof/>
                <w:webHidden/>
              </w:rPr>
              <w:instrText xml:space="preserve"> PAGEREF _Toc164812051 \h </w:instrText>
            </w:r>
            <w:r w:rsidR="00AE7CB5">
              <w:rPr>
                <w:noProof/>
                <w:webHidden/>
              </w:rPr>
            </w:r>
            <w:r w:rsidR="00AE7CB5">
              <w:rPr>
                <w:noProof/>
                <w:webHidden/>
              </w:rPr>
              <w:fldChar w:fldCharType="separate"/>
            </w:r>
            <w:r w:rsidR="005159FF">
              <w:rPr>
                <w:noProof/>
                <w:webHidden/>
              </w:rPr>
              <w:t>9</w:t>
            </w:r>
            <w:r w:rsidR="00AE7CB5">
              <w:rPr>
                <w:noProof/>
                <w:webHidden/>
              </w:rPr>
              <w:fldChar w:fldCharType="end"/>
            </w:r>
          </w:hyperlink>
        </w:p>
        <w:p w14:paraId="0F26E6B9" w14:textId="0EB32D4D" w:rsidR="00AE7CB5" w:rsidRDefault="00000000">
          <w:pPr>
            <w:pStyle w:val="TOC3"/>
            <w:tabs>
              <w:tab w:val="right" w:leader="dot" w:pos="9016"/>
            </w:tabs>
            <w:rPr>
              <w:rFonts w:eastAsiaTheme="minorEastAsia" w:cstheme="minorBidi"/>
              <w:noProof/>
              <w:sz w:val="24"/>
              <w:szCs w:val="24"/>
              <w:lang w:val="en-GB" w:eastAsia="en-GB" w:bidi="ar-SA"/>
            </w:rPr>
          </w:pPr>
          <w:hyperlink w:anchor="_Toc164812052" w:history="1">
            <w:r w:rsidR="00AE7CB5" w:rsidRPr="005375EF">
              <w:rPr>
                <w:rStyle w:val="Hyperlink"/>
                <w:rFonts w:ascii="Times New Roman" w:hAnsi="Times New Roman" w:cs="Times New Roman"/>
                <w:b/>
                <w:bCs/>
                <w:noProof/>
                <w:shd w:val="clear" w:color="auto" w:fill="FFFFFF"/>
              </w:rPr>
              <w:t>2.4.5 DEBTORS TURNOVER (X)</w:t>
            </w:r>
            <w:r w:rsidR="00AE7CB5">
              <w:rPr>
                <w:noProof/>
                <w:webHidden/>
              </w:rPr>
              <w:tab/>
            </w:r>
            <w:r w:rsidR="00AE7CB5">
              <w:rPr>
                <w:noProof/>
                <w:webHidden/>
              </w:rPr>
              <w:fldChar w:fldCharType="begin"/>
            </w:r>
            <w:r w:rsidR="00AE7CB5">
              <w:rPr>
                <w:noProof/>
                <w:webHidden/>
              </w:rPr>
              <w:instrText xml:space="preserve"> PAGEREF _Toc164812052 \h </w:instrText>
            </w:r>
            <w:r w:rsidR="00AE7CB5">
              <w:rPr>
                <w:noProof/>
                <w:webHidden/>
              </w:rPr>
            </w:r>
            <w:r w:rsidR="00AE7CB5">
              <w:rPr>
                <w:noProof/>
                <w:webHidden/>
              </w:rPr>
              <w:fldChar w:fldCharType="separate"/>
            </w:r>
            <w:r w:rsidR="005159FF">
              <w:rPr>
                <w:noProof/>
                <w:webHidden/>
              </w:rPr>
              <w:t>9</w:t>
            </w:r>
            <w:r w:rsidR="00AE7CB5">
              <w:rPr>
                <w:noProof/>
                <w:webHidden/>
              </w:rPr>
              <w:fldChar w:fldCharType="end"/>
            </w:r>
          </w:hyperlink>
        </w:p>
        <w:p w14:paraId="626DF79C" w14:textId="701B5FE1" w:rsidR="00AE7CB5" w:rsidRDefault="00000000">
          <w:pPr>
            <w:pStyle w:val="TOC3"/>
            <w:tabs>
              <w:tab w:val="right" w:leader="dot" w:pos="9016"/>
            </w:tabs>
            <w:rPr>
              <w:rFonts w:eastAsiaTheme="minorEastAsia" w:cstheme="minorBidi"/>
              <w:noProof/>
              <w:sz w:val="24"/>
              <w:szCs w:val="24"/>
              <w:lang w:val="en-GB" w:eastAsia="en-GB" w:bidi="ar-SA"/>
            </w:rPr>
          </w:pPr>
          <w:hyperlink w:anchor="_Toc164812053" w:history="1">
            <w:r w:rsidR="00AE7CB5" w:rsidRPr="005375EF">
              <w:rPr>
                <w:rStyle w:val="Hyperlink"/>
                <w:rFonts w:ascii="Times New Roman" w:hAnsi="Times New Roman" w:cs="Times New Roman"/>
                <w:b/>
                <w:bCs/>
                <w:noProof/>
                <w:shd w:val="clear" w:color="auto" w:fill="FFFFFF"/>
              </w:rPr>
              <w:t>2.4.6 DEBTOR COLLECTION (DAYS)</w:t>
            </w:r>
            <w:r w:rsidR="00AE7CB5">
              <w:rPr>
                <w:noProof/>
                <w:webHidden/>
              </w:rPr>
              <w:tab/>
            </w:r>
            <w:r w:rsidR="00AE7CB5">
              <w:rPr>
                <w:noProof/>
                <w:webHidden/>
              </w:rPr>
              <w:fldChar w:fldCharType="begin"/>
            </w:r>
            <w:r w:rsidR="00AE7CB5">
              <w:rPr>
                <w:noProof/>
                <w:webHidden/>
              </w:rPr>
              <w:instrText xml:space="preserve"> PAGEREF _Toc164812053 \h </w:instrText>
            </w:r>
            <w:r w:rsidR="00AE7CB5">
              <w:rPr>
                <w:noProof/>
                <w:webHidden/>
              </w:rPr>
            </w:r>
            <w:r w:rsidR="00AE7CB5">
              <w:rPr>
                <w:noProof/>
                <w:webHidden/>
              </w:rPr>
              <w:fldChar w:fldCharType="separate"/>
            </w:r>
            <w:r w:rsidR="005159FF">
              <w:rPr>
                <w:noProof/>
                <w:webHidden/>
              </w:rPr>
              <w:t>9</w:t>
            </w:r>
            <w:r w:rsidR="00AE7CB5">
              <w:rPr>
                <w:noProof/>
                <w:webHidden/>
              </w:rPr>
              <w:fldChar w:fldCharType="end"/>
            </w:r>
          </w:hyperlink>
        </w:p>
        <w:p w14:paraId="2FC1028D" w14:textId="05BA83E3" w:rsidR="00AE7CB5" w:rsidRDefault="00000000">
          <w:pPr>
            <w:pStyle w:val="TOC3"/>
            <w:tabs>
              <w:tab w:val="right" w:leader="dot" w:pos="9016"/>
            </w:tabs>
            <w:rPr>
              <w:rFonts w:eastAsiaTheme="minorEastAsia" w:cstheme="minorBidi"/>
              <w:noProof/>
              <w:sz w:val="24"/>
              <w:szCs w:val="24"/>
              <w:lang w:val="en-GB" w:eastAsia="en-GB" w:bidi="ar-SA"/>
            </w:rPr>
          </w:pPr>
          <w:hyperlink w:anchor="_Toc164812054" w:history="1">
            <w:r w:rsidR="00AE7CB5" w:rsidRPr="005375EF">
              <w:rPr>
                <w:rStyle w:val="Hyperlink"/>
                <w:rFonts w:ascii="Times New Roman" w:hAnsi="Times New Roman" w:cs="Times New Roman"/>
                <w:b/>
                <w:bCs/>
                <w:noProof/>
                <w:shd w:val="clear" w:color="auto" w:fill="FFFFFF"/>
              </w:rPr>
              <w:t>2.4.7 CREDITORS PAYMENT (DAYS)</w:t>
            </w:r>
            <w:r w:rsidR="00AE7CB5">
              <w:rPr>
                <w:noProof/>
                <w:webHidden/>
              </w:rPr>
              <w:tab/>
            </w:r>
            <w:r w:rsidR="00AE7CB5">
              <w:rPr>
                <w:noProof/>
                <w:webHidden/>
              </w:rPr>
              <w:fldChar w:fldCharType="begin"/>
            </w:r>
            <w:r w:rsidR="00AE7CB5">
              <w:rPr>
                <w:noProof/>
                <w:webHidden/>
              </w:rPr>
              <w:instrText xml:space="preserve"> PAGEREF _Toc164812054 \h </w:instrText>
            </w:r>
            <w:r w:rsidR="00AE7CB5">
              <w:rPr>
                <w:noProof/>
                <w:webHidden/>
              </w:rPr>
            </w:r>
            <w:r w:rsidR="00AE7CB5">
              <w:rPr>
                <w:noProof/>
                <w:webHidden/>
              </w:rPr>
              <w:fldChar w:fldCharType="separate"/>
            </w:r>
            <w:r w:rsidR="005159FF">
              <w:rPr>
                <w:noProof/>
                <w:webHidden/>
              </w:rPr>
              <w:t>10</w:t>
            </w:r>
            <w:r w:rsidR="00AE7CB5">
              <w:rPr>
                <w:noProof/>
                <w:webHidden/>
              </w:rPr>
              <w:fldChar w:fldCharType="end"/>
            </w:r>
          </w:hyperlink>
        </w:p>
        <w:p w14:paraId="1A8B9DC3" w14:textId="5B4FD024" w:rsidR="00AE7CB5" w:rsidRDefault="00000000">
          <w:pPr>
            <w:pStyle w:val="TOC3"/>
            <w:tabs>
              <w:tab w:val="right" w:leader="dot" w:pos="9016"/>
            </w:tabs>
            <w:rPr>
              <w:rFonts w:eastAsiaTheme="minorEastAsia" w:cstheme="minorBidi"/>
              <w:noProof/>
              <w:sz w:val="24"/>
              <w:szCs w:val="24"/>
              <w:lang w:val="en-GB" w:eastAsia="en-GB" w:bidi="ar-SA"/>
            </w:rPr>
          </w:pPr>
          <w:hyperlink w:anchor="_Toc164812055" w:history="1">
            <w:r w:rsidR="00AE7CB5" w:rsidRPr="005375EF">
              <w:rPr>
                <w:rStyle w:val="Hyperlink"/>
                <w:rFonts w:ascii="Times New Roman" w:hAnsi="Times New Roman" w:cs="Times New Roman"/>
                <w:b/>
                <w:bCs/>
                <w:noProof/>
                <w:shd w:val="clear" w:color="auto" w:fill="FFFFFF"/>
              </w:rPr>
              <w:t>2.4.8 RECOMMENDATION : how to improve the financial management of Costco</w:t>
            </w:r>
            <w:r w:rsidR="00AE7CB5">
              <w:rPr>
                <w:noProof/>
                <w:webHidden/>
              </w:rPr>
              <w:tab/>
            </w:r>
            <w:r w:rsidR="00AE7CB5">
              <w:rPr>
                <w:noProof/>
                <w:webHidden/>
              </w:rPr>
              <w:fldChar w:fldCharType="begin"/>
            </w:r>
            <w:r w:rsidR="00AE7CB5">
              <w:rPr>
                <w:noProof/>
                <w:webHidden/>
              </w:rPr>
              <w:instrText xml:space="preserve"> PAGEREF _Toc164812055 \h </w:instrText>
            </w:r>
            <w:r w:rsidR="00AE7CB5">
              <w:rPr>
                <w:noProof/>
                <w:webHidden/>
              </w:rPr>
            </w:r>
            <w:r w:rsidR="00AE7CB5">
              <w:rPr>
                <w:noProof/>
                <w:webHidden/>
              </w:rPr>
              <w:fldChar w:fldCharType="separate"/>
            </w:r>
            <w:r w:rsidR="005159FF">
              <w:rPr>
                <w:noProof/>
                <w:webHidden/>
              </w:rPr>
              <w:t>10</w:t>
            </w:r>
            <w:r w:rsidR="00AE7CB5">
              <w:rPr>
                <w:noProof/>
                <w:webHidden/>
              </w:rPr>
              <w:fldChar w:fldCharType="end"/>
            </w:r>
          </w:hyperlink>
        </w:p>
        <w:p w14:paraId="793000B4" w14:textId="76FF1F5B" w:rsidR="00AE7CB5" w:rsidRDefault="00000000">
          <w:pPr>
            <w:pStyle w:val="TOC1"/>
            <w:tabs>
              <w:tab w:val="right" w:leader="dot" w:pos="9016"/>
            </w:tabs>
            <w:rPr>
              <w:rFonts w:eastAsiaTheme="minorEastAsia" w:cstheme="minorBidi"/>
              <w:noProof/>
              <w:sz w:val="24"/>
              <w:szCs w:val="24"/>
              <w:lang w:val="en-GB" w:eastAsia="en-GB" w:bidi="ar-SA"/>
            </w:rPr>
          </w:pPr>
          <w:hyperlink w:anchor="_Toc164812056" w:history="1">
            <w:r w:rsidR="00AE7CB5" w:rsidRPr="005375EF">
              <w:rPr>
                <w:rStyle w:val="Hyperlink"/>
                <w:rFonts w:ascii="Times New Roman" w:hAnsi="Times New Roman" w:cs="Times New Roman"/>
                <w:b/>
                <w:bCs/>
                <w:noProof/>
                <w:shd w:val="clear" w:color="auto" w:fill="FFFFFF"/>
              </w:rPr>
              <w:t>3. PART C</w:t>
            </w:r>
            <w:r w:rsidR="00AE7CB5">
              <w:rPr>
                <w:noProof/>
                <w:webHidden/>
              </w:rPr>
              <w:tab/>
            </w:r>
            <w:r w:rsidR="00AE7CB5">
              <w:rPr>
                <w:noProof/>
                <w:webHidden/>
              </w:rPr>
              <w:fldChar w:fldCharType="begin"/>
            </w:r>
            <w:r w:rsidR="00AE7CB5">
              <w:rPr>
                <w:noProof/>
                <w:webHidden/>
              </w:rPr>
              <w:instrText xml:space="preserve"> PAGEREF _Toc164812056 \h </w:instrText>
            </w:r>
            <w:r w:rsidR="00AE7CB5">
              <w:rPr>
                <w:noProof/>
                <w:webHidden/>
              </w:rPr>
            </w:r>
            <w:r w:rsidR="00AE7CB5">
              <w:rPr>
                <w:noProof/>
                <w:webHidden/>
              </w:rPr>
              <w:fldChar w:fldCharType="separate"/>
            </w:r>
            <w:r w:rsidR="005159FF">
              <w:rPr>
                <w:noProof/>
                <w:webHidden/>
              </w:rPr>
              <w:t>11</w:t>
            </w:r>
            <w:r w:rsidR="00AE7CB5">
              <w:rPr>
                <w:noProof/>
                <w:webHidden/>
              </w:rPr>
              <w:fldChar w:fldCharType="end"/>
            </w:r>
          </w:hyperlink>
        </w:p>
        <w:p w14:paraId="4197E271" w14:textId="4F42A004" w:rsidR="00AE7CB5" w:rsidRDefault="00000000">
          <w:pPr>
            <w:pStyle w:val="TOC2"/>
            <w:tabs>
              <w:tab w:val="right" w:leader="dot" w:pos="9016"/>
            </w:tabs>
            <w:rPr>
              <w:rFonts w:eastAsiaTheme="minorEastAsia" w:cstheme="minorBidi"/>
              <w:noProof/>
              <w:sz w:val="24"/>
              <w:szCs w:val="24"/>
              <w:lang w:val="en-GB" w:eastAsia="en-GB" w:bidi="ar-SA"/>
            </w:rPr>
          </w:pPr>
          <w:hyperlink w:anchor="_Toc164812057" w:history="1">
            <w:r w:rsidR="00AE7CB5" w:rsidRPr="005375EF">
              <w:rPr>
                <w:rStyle w:val="Hyperlink"/>
                <w:rFonts w:ascii="Times New Roman" w:hAnsi="Times New Roman" w:cs="Times New Roman"/>
                <w:b/>
                <w:bCs/>
                <w:noProof/>
                <w:shd w:val="clear" w:color="auto" w:fill="FFFFFF"/>
              </w:rPr>
              <w:t>3.1 PART 1</w:t>
            </w:r>
            <w:r w:rsidR="00AE7CB5">
              <w:rPr>
                <w:noProof/>
                <w:webHidden/>
              </w:rPr>
              <w:tab/>
            </w:r>
            <w:r w:rsidR="00AE7CB5">
              <w:rPr>
                <w:noProof/>
                <w:webHidden/>
              </w:rPr>
              <w:fldChar w:fldCharType="begin"/>
            </w:r>
            <w:r w:rsidR="00AE7CB5">
              <w:rPr>
                <w:noProof/>
                <w:webHidden/>
              </w:rPr>
              <w:instrText xml:space="preserve"> PAGEREF _Toc164812057 \h </w:instrText>
            </w:r>
            <w:r w:rsidR="00AE7CB5">
              <w:rPr>
                <w:noProof/>
                <w:webHidden/>
              </w:rPr>
            </w:r>
            <w:r w:rsidR="00AE7CB5">
              <w:rPr>
                <w:noProof/>
                <w:webHidden/>
              </w:rPr>
              <w:fldChar w:fldCharType="separate"/>
            </w:r>
            <w:r w:rsidR="005159FF">
              <w:rPr>
                <w:noProof/>
                <w:webHidden/>
              </w:rPr>
              <w:t>11</w:t>
            </w:r>
            <w:r w:rsidR="00AE7CB5">
              <w:rPr>
                <w:noProof/>
                <w:webHidden/>
              </w:rPr>
              <w:fldChar w:fldCharType="end"/>
            </w:r>
          </w:hyperlink>
        </w:p>
        <w:p w14:paraId="7AD6D600" w14:textId="3C64F46C" w:rsidR="00AE7CB5" w:rsidRDefault="00000000">
          <w:pPr>
            <w:pStyle w:val="TOC3"/>
            <w:tabs>
              <w:tab w:val="right" w:leader="dot" w:pos="9016"/>
            </w:tabs>
            <w:rPr>
              <w:rFonts w:eastAsiaTheme="minorEastAsia" w:cstheme="minorBidi"/>
              <w:noProof/>
              <w:sz w:val="24"/>
              <w:szCs w:val="24"/>
              <w:lang w:val="en-GB" w:eastAsia="en-GB" w:bidi="ar-SA"/>
            </w:rPr>
          </w:pPr>
          <w:hyperlink w:anchor="_Toc164812058" w:history="1">
            <w:r w:rsidR="00AE7CB5" w:rsidRPr="005375EF">
              <w:rPr>
                <w:rStyle w:val="Hyperlink"/>
                <w:rFonts w:ascii="Times New Roman" w:hAnsi="Times New Roman" w:cs="Times New Roman"/>
                <w:b/>
                <w:bCs/>
                <w:noProof/>
                <w:shd w:val="clear" w:color="auto" w:fill="FFFFFF"/>
              </w:rPr>
              <w:t>3.1.1 PAYBACK PERIOD (PBP)</w:t>
            </w:r>
            <w:r w:rsidR="00AE7CB5">
              <w:rPr>
                <w:noProof/>
                <w:webHidden/>
              </w:rPr>
              <w:tab/>
            </w:r>
            <w:r w:rsidR="00AE7CB5">
              <w:rPr>
                <w:noProof/>
                <w:webHidden/>
              </w:rPr>
              <w:fldChar w:fldCharType="begin"/>
            </w:r>
            <w:r w:rsidR="00AE7CB5">
              <w:rPr>
                <w:noProof/>
                <w:webHidden/>
              </w:rPr>
              <w:instrText xml:space="preserve"> PAGEREF _Toc164812058 \h </w:instrText>
            </w:r>
            <w:r w:rsidR="00AE7CB5">
              <w:rPr>
                <w:noProof/>
                <w:webHidden/>
              </w:rPr>
            </w:r>
            <w:r w:rsidR="00AE7CB5">
              <w:rPr>
                <w:noProof/>
                <w:webHidden/>
              </w:rPr>
              <w:fldChar w:fldCharType="separate"/>
            </w:r>
            <w:r w:rsidR="005159FF">
              <w:rPr>
                <w:noProof/>
                <w:webHidden/>
              </w:rPr>
              <w:t>11</w:t>
            </w:r>
            <w:r w:rsidR="00AE7CB5">
              <w:rPr>
                <w:noProof/>
                <w:webHidden/>
              </w:rPr>
              <w:fldChar w:fldCharType="end"/>
            </w:r>
          </w:hyperlink>
        </w:p>
        <w:p w14:paraId="1EDCACBF" w14:textId="444DD895" w:rsidR="00AE7CB5" w:rsidRDefault="00000000">
          <w:pPr>
            <w:pStyle w:val="TOC3"/>
            <w:tabs>
              <w:tab w:val="right" w:leader="dot" w:pos="9016"/>
            </w:tabs>
            <w:rPr>
              <w:rFonts w:eastAsiaTheme="minorEastAsia" w:cstheme="minorBidi"/>
              <w:noProof/>
              <w:sz w:val="24"/>
              <w:szCs w:val="24"/>
              <w:lang w:val="en-GB" w:eastAsia="en-GB" w:bidi="ar-SA"/>
            </w:rPr>
          </w:pPr>
          <w:hyperlink w:anchor="_Toc164812059" w:history="1">
            <w:r w:rsidR="00AE7CB5" w:rsidRPr="005375EF">
              <w:rPr>
                <w:rStyle w:val="Hyperlink"/>
                <w:rFonts w:ascii="Times New Roman" w:hAnsi="Times New Roman" w:cs="Times New Roman"/>
                <w:b/>
                <w:bCs/>
                <w:noProof/>
                <w:shd w:val="clear" w:color="auto" w:fill="FFFFFF"/>
              </w:rPr>
              <w:t>3.1.2 ACCOUNTING RATE OF RETURN (ARR)</w:t>
            </w:r>
            <w:r w:rsidR="00AE7CB5">
              <w:rPr>
                <w:noProof/>
                <w:webHidden/>
              </w:rPr>
              <w:tab/>
            </w:r>
            <w:r w:rsidR="00AE7CB5">
              <w:rPr>
                <w:noProof/>
                <w:webHidden/>
              </w:rPr>
              <w:fldChar w:fldCharType="begin"/>
            </w:r>
            <w:r w:rsidR="00AE7CB5">
              <w:rPr>
                <w:noProof/>
                <w:webHidden/>
              </w:rPr>
              <w:instrText xml:space="preserve"> PAGEREF _Toc164812059 \h </w:instrText>
            </w:r>
            <w:r w:rsidR="00AE7CB5">
              <w:rPr>
                <w:noProof/>
                <w:webHidden/>
              </w:rPr>
            </w:r>
            <w:r w:rsidR="00AE7CB5">
              <w:rPr>
                <w:noProof/>
                <w:webHidden/>
              </w:rPr>
              <w:fldChar w:fldCharType="separate"/>
            </w:r>
            <w:r w:rsidR="005159FF">
              <w:rPr>
                <w:noProof/>
                <w:webHidden/>
              </w:rPr>
              <w:t>11</w:t>
            </w:r>
            <w:r w:rsidR="00AE7CB5">
              <w:rPr>
                <w:noProof/>
                <w:webHidden/>
              </w:rPr>
              <w:fldChar w:fldCharType="end"/>
            </w:r>
          </w:hyperlink>
        </w:p>
        <w:p w14:paraId="12DBE0D9" w14:textId="706C1634" w:rsidR="00AE7CB5" w:rsidRDefault="00000000">
          <w:pPr>
            <w:pStyle w:val="TOC3"/>
            <w:tabs>
              <w:tab w:val="right" w:leader="dot" w:pos="9016"/>
            </w:tabs>
            <w:rPr>
              <w:rFonts w:eastAsiaTheme="minorEastAsia" w:cstheme="minorBidi"/>
              <w:noProof/>
              <w:sz w:val="24"/>
              <w:szCs w:val="24"/>
              <w:lang w:val="en-GB" w:eastAsia="en-GB" w:bidi="ar-SA"/>
            </w:rPr>
          </w:pPr>
          <w:hyperlink w:anchor="_Toc164812060" w:history="1">
            <w:r w:rsidR="00AE7CB5" w:rsidRPr="005375EF">
              <w:rPr>
                <w:rStyle w:val="Hyperlink"/>
                <w:rFonts w:ascii="Times New Roman" w:hAnsi="Times New Roman" w:cs="Times New Roman"/>
                <w:b/>
                <w:bCs/>
                <w:noProof/>
                <w:shd w:val="clear" w:color="auto" w:fill="FFFFFF"/>
              </w:rPr>
              <w:t>3.1.3 NET PRESENT VALUE (NPV)</w:t>
            </w:r>
            <w:r w:rsidR="00AE7CB5">
              <w:rPr>
                <w:noProof/>
                <w:webHidden/>
              </w:rPr>
              <w:tab/>
            </w:r>
            <w:r w:rsidR="00AE7CB5">
              <w:rPr>
                <w:noProof/>
                <w:webHidden/>
              </w:rPr>
              <w:fldChar w:fldCharType="begin"/>
            </w:r>
            <w:r w:rsidR="00AE7CB5">
              <w:rPr>
                <w:noProof/>
                <w:webHidden/>
              </w:rPr>
              <w:instrText xml:space="preserve"> PAGEREF _Toc164812060 \h </w:instrText>
            </w:r>
            <w:r w:rsidR="00AE7CB5">
              <w:rPr>
                <w:noProof/>
                <w:webHidden/>
              </w:rPr>
            </w:r>
            <w:r w:rsidR="00AE7CB5">
              <w:rPr>
                <w:noProof/>
                <w:webHidden/>
              </w:rPr>
              <w:fldChar w:fldCharType="separate"/>
            </w:r>
            <w:r w:rsidR="005159FF">
              <w:rPr>
                <w:noProof/>
                <w:webHidden/>
              </w:rPr>
              <w:t>12</w:t>
            </w:r>
            <w:r w:rsidR="00AE7CB5">
              <w:rPr>
                <w:noProof/>
                <w:webHidden/>
              </w:rPr>
              <w:fldChar w:fldCharType="end"/>
            </w:r>
          </w:hyperlink>
        </w:p>
        <w:p w14:paraId="184DA6EC" w14:textId="01E43A97" w:rsidR="00AE7CB5" w:rsidRDefault="00000000">
          <w:pPr>
            <w:pStyle w:val="TOC3"/>
            <w:tabs>
              <w:tab w:val="right" w:leader="dot" w:pos="9016"/>
            </w:tabs>
            <w:rPr>
              <w:rFonts w:eastAsiaTheme="minorEastAsia" w:cstheme="minorBidi"/>
              <w:noProof/>
              <w:sz w:val="24"/>
              <w:szCs w:val="24"/>
              <w:lang w:val="en-GB" w:eastAsia="en-GB" w:bidi="ar-SA"/>
            </w:rPr>
          </w:pPr>
          <w:hyperlink w:anchor="_Toc164812061" w:history="1">
            <w:r w:rsidR="00AE7CB5" w:rsidRPr="005375EF">
              <w:rPr>
                <w:rStyle w:val="Hyperlink"/>
                <w:rFonts w:ascii="Times New Roman" w:hAnsi="Times New Roman" w:cs="Times New Roman"/>
                <w:b/>
                <w:bCs/>
                <w:noProof/>
                <w:shd w:val="clear" w:color="auto" w:fill="FFFFFF"/>
              </w:rPr>
              <w:t>3.1.4 RECOMMENDATION AND CONCLUSION</w:t>
            </w:r>
            <w:r w:rsidR="00AE7CB5">
              <w:rPr>
                <w:noProof/>
                <w:webHidden/>
              </w:rPr>
              <w:tab/>
            </w:r>
            <w:r w:rsidR="00AE7CB5">
              <w:rPr>
                <w:noProof/>
                <w:webHidden/>
              </w:rPr>
              <w:fldChar w:fldCharType="begin"/>
            </w:r>
            <w:r w:rsidR="00AE7CB5">
              <w:rPr>
                <w:noProof/>
                <w:webHidden/>
              </w:rPr>
              <w:instrText xml:space="preserve"> PAGEREF _Toc164812061 \h </w:instrText>
            </w:r>
            <w:r w:rsidR="00AE7CB5">
              <w:rPr>
                <w:noProof/>
                <w:webHidden/>
              </w:rPr>
            </w:r>
            <w:r w:rsidR="00AE7CB5">
              <w:rPr>
                <w:noProof/>
                <w:webHidden/>
              </w:rPr>
              <w:fldChar w:fldCharType="separate"/>
            </w:r>
            <w:r w:rsidR="005159FF">
              <w:rPr>
                <w:noProof/>
                <w:webHidden/>
              </w:rPr>
              <w:t>12</w:t>
            </w:r>
            <w:r w:rsidR="00AE7CB5">
              <w:rPr>
                <w:noProof/>
                <w:webHidden/>
              </w:rPr>
              <w:fldChar w:fldCharType="end"/>
            </w:r>
          </w:hyperlink>
        </w:p>
        <w:p w14:paraId="76096726" w14:textId="78C64164" w:rsidR="00AE7CB5" w:rsidRDefault="00000000">
          <w:pPr>
            <w:pStyle w:val="TOC2"/>
            <w:tabs>
              <w:tab w:val="right" w:leader="dot" w:pos="9016"/>
            </w:tabs>
            <w:rPr>
              <w:rFonts w:eastAsiaTheme="minorEastAsia" w:cstheme="minorBidi"/>
              <w:noProof/>
              <w:sz w:val="24"/>
              <w:szCs w:val="24"/>
              <w:lang w:val="en-GB" w:eastAsia="en-GB" w:bidi="ar-SA"/>
            </w:rPr>
          </w:pPr>
          <w:hyperlink w:anchor="_Toc164812062" w:history="1">
            <w:r w:rsidR="00AE7CB5" w:rsidRPr="005375EF">
              <w:rPr>
                <w:rStyle w:val="Hyperlink"/>
                <w:rFonts w:ascii="Times New Roman" w:hAnsi="Times New Roman" w:cs="Times New Roman"/>
                <w:b/>
                <w:bCs/>
                <w:noProof/>
                <w:shd w:val="clear" w:color="auto" w:fill="FFFFFF"/>
              </w:rPr>
              <w:t>3.2 PART 2</w:t>
            </w:r>
            <w:r w:rsidR="00AE7CB5">
              <w:rPr>
                <w:noProof/>
                <w:webHidden/>
              </w:rPr>
              <w:tab/>
            </w:r>
            <w:r w:rsidR="00AE7CB5">
              <w:rPr>
                <w:noProof/>
                <w:webHidden/>
              </w:rPr>
              <w:fldChar w:fldCharType="begin"/>
            </w:r>
            <w:r w:rsidR="00AE7CB5">
              <w:rPr>
                <w:noProof/>
                <w:webHidden/>
              </w:rPr>
              <w:instrText xml:space="preserve"> PAGEREF _Toc164812062 \h </w:instrText>
            </w:r>
            <w:r w:rsidR="00AE7CB5">
              <w:rPr>
                <w:noProof/>
                <w:webHidden/>
              </w:rPr>
            </w:r>
            <w:r w:rsidR="00AE7CB5">
              <w:rPr>
                <w:noProof/>
                <w:webHidden/>
              </w:rPr>
              <w:fldChar w:fldCharType="separate"/>
            </w:r>
            <w:r w:rsidR="005159FF">
              <w:rPr>
                <w:noProof/>
                <w:webHidden/>
              </w:rPr>
              <w:t>12</w:t>
            </w:r>
            <w:r w:rsidR="00AE7CB5">
              <w:rPr>
                <w:noProof/>
                <w:webHidden/>
              </w:rPr>
              <w:fldChar w:fldCharType="end"/>
            </w:r>
          </w:hyperlink>
        </w:p>
        <w:p w14:paraId="61C71E94" w14:textId="4C84E64A" w:rsidR="00AE7CB5" w:rsidRDefault="00000000">
          <w:pPr>
            <w:pStyle w:val="TOC3"/>
            <w:tabs>
              <w:tab w:val="right" w:leader="dot" w:pos="9016"/>
            </w:tabs>
            <w:rPr>
              <w:rFonts w:eastAsiaTheme="minorEastAsia" w:cstheme="minorBidi"/>
              <w:noProof/>
              <w:sz w:val="24"/>
              <w:szCs w:val="24"/>
              <w:lang w:val="en-GB" w:eastAsia="en-GB" w:bidi="ar-SA"/>
            </w:rPr>
          </w:pPr>
          <w:hyperlink w:anchor="_Toc164812063" w:history="1">
            <w:r w:rsidR="00AE7CB5" w:rsidRPr="005375EF">
              <w:rPr>
                <w:rStyle w:val="Hyperlink"/>
                <w:rFonts w:ascii="Times New Roman" w:hAnsi="Times New Roman" w:cs="Times New Roman"/>
                <w:b/>
                <w:bCs/>
                <w:noProof/>
                <w:shd w:val="clear" w:color="auto" w:fill="FFFFFF"/>
              </w:rPr>
              <w:t>3.2.1 ADVANTAGES AND DISADVANTAGES OF PAYBACK PERIOD (PBP):</w:t>
            </w:r>
            <w:r w:rsidR="00AE7CB5">
              <w:rPr>
                <w:noProof/>
                <w:webHidden/>
              </w:rPr>
              <w:tab/>
            </w:r>
            <w:r w:rsidR="00AE7CB5">
              <w:rPr>
                <w:noProof/>
                <w:webHidden/>
              </w:rPr>
              <w:fldChar w:fldCharType="begin"/>
            </w:r>
            <w:r w:rsidR="00AE7CB5">
              <w:rPr>
                <w:noProof/>
                <w:webHidden/>
              </w:rPr>
              <w:instrText xml:space="preserve"> PAGEREF _Toc164812063 \h </w:instrText>
            </w:r>
            <w:r w:rsidR="00AE7CB5">
              <w:rPr>
                <w:noProof/>
                <w:webHidden/>
              </w:rPr>
            </w:r>
            <w:r w:rsidR="00AE7CB5">
              <w:rPr>
                <w:noProof/>
                <w:webHidden/>
              </w:rPr>
              <w:fldChar w:fldCharType="separate"/>
            </w:r>
            <w:r w:rsidR="005159FF">
              <w:rPr>
                <w:noProof/>
                <w:webHidden/>
              </w:rPr>
              <w:t>12</w:t>
            </w:r>
            <w:r w:rsidR="00AE7CB5">
              <w:rPr>
                <w:noProof/>
                <w:webHidden/>
              </w:rPr>
              <w:fldChar w:fldCharType="end"/>
            </w:r>
          </w:hyperlink>
        </w:p>
        <w:p w14:paraId="2EED04AF" w14:textId="4B230214" w:rsidR="00AE7CB5" w:rsidRDefault="00000000">
          <w:pPr>
            <w:pStyle w:val="TOC3"/>
            <w:tabs>
              <w:tab w:val="right" w:leader="dot" w:pos="9016"/>
            </w:tabs>
            <w:rPr>
              <w:rFonts w:eastAsiaTheme="minorEastAsia" w:cstheme="minorBidi"/>
              <w:noProof/>
              <w:sz w:val="24"/>
              <w:szCs w:val="24"/>
              <w:lang w:val="en-GB" w:eastAsia="en-GB" w:bidi="ar-SA"/>
            </w:rPr>
          </w:pPr>
          <w:hyperlink w:anchor="_Toc164812064" w:history="1">
            <w:r w:rsidR="00AE7CB5" w:rsidRPr="005375EF">
              <w:rPr>
                <w:rStyle w:val="Hyperlink"/>
                <w:rFonts w:ascii="Times New Roman" w:hAnsi="Times New Roman" w:cs="Times New Roman"/>
                <w:b/>
                <w:bCs/>
                <w:noProof/>
                <w:shd w:val="clear" w:color="auto" w:fill="FFFFFF"/>
              </w:rPr>
              <w:t>3.2.2 ADVANTAGES AND DISADVANTAGES OF ACCOUNTING RATE OF RETURN (ARR)</w:t>
            </w:r>
            <w:r w:rsidR="00AE7CB5">
              <w:rPr>
                <w:noProof/>
                <w:webHidden/>
              </w:rPr>
              <w:tab/>
            </w:r>
            <w:r w:rsidR="00AE7CB5">
              <w:rPr>
                <w:noProof/>
                <w:webHidden/>
              </w:rPr>
              <w:fldChar w:fldCharType="begin"/>
            </w:r>
            <w:r w:rsidR="00AE7CB5">
              <w:rPr>
                <w:noProof/>
                <w:webHidden/>
              </w:rPr>
              <w:instrText xml:space="preserve"> PAGEREF _Toc164812064 \h </w:instrText>
            </w:r>
            <w:r w:rsidR="00AE7CB5">
              <w:rPr>
                <w:noProof/>
                <w:webHidden/>
              </w:rPr>
            </w:r>
            <w:r w:rsidR="00AE7CB5">
              <w:rPr>
                <w:noProof/>
                <w:webHidden/>
              </w:rPr>
              <w:fldChar w:fldCharType="separate"/>
            </w:r>
            <w:r w:rsidR="005159FF">
              <w:rPr>
                <w:noProof/>
                <w:webHidden/>
              </w:rPr>
              <w:t>13</w:t>
            </w:r>
            <w:r w:rsidR="00AE7CB5">
              <w:rPr>
                <w:noProof/>
                <w:webHidden/>
              </w:rPr>
              <w:fldChar w:fldCharType="end"/>
            </w:r>
          </w:hyperlink>
        </w:p>
        <w:p w14:paraId="55D97D26" w14:textId="2094923F" w:rsidR="00AE7CB5" w:rsidRDefault="00000000">
          <w:pPr>
            <w:pStyle w:val="TOC3"/>
            <w:tabs>
              <w:tab w:val="right" w:leader="dot" w:pos="9016"/>
            </w:tabs>
            <w:rPr>
              <w:rFonts w:eastAsiaTheme="minorEastAsia" w:cstheme="minorBidi"/>
              <w:noProof/>
              <w:sz w:val="24"/>
              <w:szCs w:val="24"/>
              <w:lang w:val="en-GB" w:eastAsia="en-GB" w:bidi="ar-SA"/>
            </w:rPr>
          </w:pPr>
          <w:hyperlink w:anchor="_Toc164812065" w:history="1">
            <w:r w:rsidR="00AE7CB5" w:rsidRPr="005375EF">
              <w:rPr>
                <w:rStyle w:val="Hyperlink"/>
                <w:rFonts w:ascii="Times New Roman" w:hAnsi="Times New Roman" w:cs="Times New Roman"/>
                <w:b/>
                <w:bCs/>
                <w:noProof/>
                <w:shd w:val="clear" w:color="auto" w:fill="FFFFFF"/>
              </w:rPr>
              <w:t>3.2.3 ADVANTAGES AND DISADVANTAGES OF NET PRESENT VALUE (NPV)</w:t>
            </w:r>
            <w:r w:rsidR="00AE7CB5">
              <w:rPr>
                <w:noProof/>
                <w:webHidden/>
              </w:rPr>
              <w:tab/>
            </w:r>
            <w:r w:rsidR="00AE7CB5">
              <w:rPr>
                <w:noProof/>
                <w:webHidden/>
              </w:rPr>
              <w:fldChar w:fldCharType="begin"/>
            </w:r>
            <w:r w:rsidR="00AE7CB5">
              <w:rPr>
                <w:noProof/>
                <w:webHidden/>
              </w:rPr>
              <w:instrText xml:space="preserve"> PAGEREF _Toc164812065 \h </w:instrText>
            </w:r>
            <w:r w:rsidR="00AE7CB5">
              <w:rPr>
                <w:noProof/>
                <w:webHidden/>
              </w:rPr>
            </w:r>
            <w:r w:rsidR="00AE7CB5">
              <w:rPr>
                <w:noProof/>
                <w:webHidden/>
              </w:rPr>
              <w:fldChar w:fldCharType="separate"/>
            </w:r>
            <w:r w:rsidR="005159FF">
              <w:rPr>
                <w:noProof/>
                <w:webHidden/>
              </w:rPr>
              <w:t>14</w:t>
            </w:r>
            <w:r w:rsidR="00AE7CB5">
              <w:rPr>
                <w:noProof/>
                <w:webHidden/>
              </w:rPr>
              <w:fldChar w:fldCharType="end"/>
            </w:r>
          </w:hyperlink>
        </w:p>
        <w:p w14:paraId="13A2F0E6" w14:textId="72C55FB7" w:rsidR="00AE7CB5" w:rsidRDefault="00000000">
          <w:pPr>
            <w:pStyle w:val="TOC1"/>
            <w:tabs>
              <w:tab w:val="right" w:leader="dot" w:pos="9016"/>
            </w:tabs>
            <w:rPr>
              <w:rFonts w:eastAsiaTheme="minorEastAsia" w:cstheme="minorBidi"/>
              <w:noProof/>
              <w:sz w:val="24"/>
              <w:szCs w:val="24"/>
              <w:lang w:val="en-GB" w:eastAsia="en-GB" w:bidi="ar-SA"/>
            </w:rPr>
          </w:pPr>
          <w:hyperlink w:anchor="_Toc164812066" w:history="1">
            <w:r w:rsidR="00AE7CB5" w:rsidRPr="005375EF">
              <w:rPr>
                <w:rStyle w:val="Hyperlink"/>
                <w:rFonts w:ascii="Times New Roman" w:hAnsi="Times New Roman" w:cs="Times New Roman"/>
                <w:b/>
                <w:bCs/>
                <w:noProof/>
                <w:shd w:val="clear" w:color="auto" w:fill="FFFFFF"/>
              </w:rPr>
              <w:t>REFERENCES</w:t>
            </w:r>
            <w:r w:rsidR="00AE7CB5">
              <w:rPr>
                <w:noProof/>
                <w:webHidden/>
              </w:rPr>
              <w:tab/>
            </w:r>
            <w:r w:rsidR="00AE7CB5">
              <w:rPr>
                <w:noProof/>
                <w:webHidden/>
              </w:rPr>
              <w:fldChar w:fldCharType="begin"/>
            </w:r>
            <w:r w:rsidR="00AE7CB5">
              <w:rPr>
                <w:noProof/>
                <w:webHidden/>
              </w:rPr>
              <w:instrText xml:space="preserve"> PAGEREF _Toc164812066 \h </w:instrText>
            </w:r>
            <w:r w:rsidR="00AE7CB5">
              <w:rPr>
                <w:noProof/>
                <w:webHidden/>
              </w:rPr>
            </w:r>
            <w:r w:rsidR="00AE7CB5">
              <w:rPr>
                <w:noProof/>
                <w:webHidden/>
              </w:rPr>
              <w:fldChar w:fldCharType="separate"/>
            </w:r>
            <w:r w:rsidR="005159FF">
              <w:rPr>
                <w:noProof/>
                <w:webHidden/>
              </w:rPr>
              <w:t>15</w:t>
            </w:r>
            <w:r w:rsidR="00AE7CB5">
              <w:rPr>
                <w:noProof/>
                <w:webHidden/>
              </w:rPr>
              <w:fldChar w:fldCharType="end"/>
            </w:r>
          </w:hyperlink>
        </w:p>
        <w:p w14:paraId="24DCCB7B" w14:textId="6D007614" w:rsidR="00365E40" w:rsidRPr="006742B0" w:rsidRDefault="00365E40" w:rsidP="006B43A4">
          <w:pPr>
            <w:spacing w:line="276" w:lineRule="auto"/>
            <w:jc w:val="both"/>
            <w:rPr>
              <w:rFonts w:ascii="Times New Roman" w:hAnsi="Times New Roman" w:cs="Times New Roman"/>
            </w:rPr>
          </w:pPr>
          <w:r w:rsidRPr="006742B0">
            <w:rPr>
              <w:rFonts w:ascii="Times New Roman" w:hAnsi="Times New Roman" w:cs="Times New Roman"/>
              <w:noProof/>
            </w:rPr>
            <w:fldChar w:fldCharType="end"/>
          </w:r>
        </w:p>
      </w:sdtContent>
    </w:sdt>
    <w:p w14:paraId="22E066F6" w14:textId="77777777" w:rsidR="00842B62" w:rsidRPr="006742B0" w:rsidRDefault="00842B62" w:rsidP="006B43A4">
      <w:pPr>
        <w:spacing w:line="276" w:lineRule="auto"/>
        <w:jc w:val="both"/>
        <w:rPr>
          <w:rFonts w:ascii="Times New Roman" w:hAnsi="Times New Roman" w:cs="Times New Roman"/>
          <w:b/>
          <w:bCs/>
          <w:sz w:val="24"/>
          <w:szCs w:val="24"/>
          <w:lang w:val="en-US"/>
        </w:rPr>
      </w:pPr>
    </w:p>
    <w:p w14:paraId="1C43B32C" w14:textId="327E98BE" w:rsidR="00842B62" w:rsidRPr="006742B0" w:rsidRDefault="00365E40" w:rsidP="00FB254D">
      <w:pPr>
        <w:spacing w:line="276" w:lineRule="auto"/>
        <w:jc w:val="center"/>
        <w:rPr>
          <w:rFonts w:ascii="Times New Roman" w:hAnsi="Times New Roman" w:cs="Times New Roman"/>
          <w:b/>
          <w:bCs/>
          <w:sz w:val="24"/>
          <w:szCs w:val="24"/>
          <w:lang w:val="en-US"/>
        </w:rPr>
      </w:pPr>
      <w:r w:rsidRPr="006742B0">
        <w:rPr>
          <w:rFonts w:ascii="Times New Roman" w:hAnsi="Times New Roman" w:cs="Times New Roman"/>
          <w:b/>
          <w:bCs/>
          <w:sz w:val="24"/>
          <w:szCs w:val="24"/>
          <w:lang w:val="en-US"/>
        </w:rPr>
        <w:lastRenderedPageBreak/>
        <w:t>INDEX FOR TABLES</w:t>
      </w:r>
    </w:p>
    <w:p w14:paraId="01E008A1" w14:textId="03827443" w:rsidR="00E86D16" w:rsidRPr="006742B0" w:rsidRDefault="00000000" w:rsidP="00E86D16">
      <w:pPr>
        <w:pStyle w:val="TOC1"/>
        <w:tabs>
          <w:tab w:val="right" w:leader="dot" w:pos="9016"/>
        </w:tabs>
        <w:rPr>
          <w:rFonts w:ascii="Times New Roman" w:eastAsiaTheme="minorEastAsia" w:hAnsi="Times New Roman" w:cs="Times New Roman"/>
          <w:noProof/>
          <w:lang w:val="en-GB" w:eastAsia="en-GB"/>
        </w:rPr>
      </w:pPr>
      <w:hyperlink w:anchor="_Toc164780714" w:history="1">
        <w:r w:rsidR="00E86D16" w:rsidRPr="006742B0">
          <w:rPr>
            <w:rStyle w:val="Hyperlink"/>
            <w:rFonts w:ascii="Times New Roman" w:hAnsi="Times New Roman" w:cs="Times New Roman"/>
            <w:noProof/>
            <w:color w:val="auto"/>
            <w:u w:val="none"/>
            <w:shd w:val="clear" w:color="auto" w:fill="FFFFFF"/>
          </w:rPr>
          <w:t>TABLE 1: Costco Financial Performance</w:t>
        </w:r>
        <w:r w:rsidR="00E86D16" w:rsidRPr="006742B0">
          <w:rPr>
            <w:rFonts w:ascii="Times New Roman" w:hAnsi="Times New Roman" w:cs="Times New Roman"/>
            <w:noProof/>
            <w:webHidden/>
          </w:rPr>
          <w:tab/>
        </w:r>
        <w:r w:rsidR="00D77B5B">
          <w:rPr>
            <w:rFonts w:ascii="Times New Roman" w:hAnsi="Times New Roman" w:cs="Times New Roman"/>
            <w:noProof/>
            <w:webHidden/>
          </w:rPr>
          <w:t>4</w:t>
        </w:r>
      </w:hyperlink>
    </w:p>
    <w:p w14:paraId="471A143D" w14:textId="232F0A15" w:rsidR="00E86D16" w:rsidRPr="006742B0" w:rsidRDefault="00000000" w:rsidP="00E86D16">
      <w:pPr>
        <w:pStyle w:val="TOC1"/>
        <w:tabs>
          <w:tab w:val="right" w:leader="dot" w:pos="9016"/>
        </w:tabs>
        <w:rPr>
          <w:rFonts w:ascii="Times New Roman" w:eastAsiaTheme="minorEastAsia" w:hAnsi="Times New Roman" w:cs="Times New Roman"/>
          <w:noProof/>
          <w:lang w:val="en-GB" w:eastAsia="en-GB"/>
        </w:rPr>
      </w:pPr>
      <w:hyperlink w:anchor="_Toc164780716" w:history="1">
        <w:r w:rsidR="00E86D16" w:rsidRPr="006742B0">
          <w:rPr>
            <w:rStyle w:val="Hyperlink"/>
            <w:rFonts w:ascii="Times New Roman" w:hAnsi="Times New Roman" w:cs="Times New Roman"/>
            <w:noProof/>
            <w:color w:val="auto"/>
            <w:u w:val="none"/>
            <w:shd w:val="clear" w:color="auto" w:fill="FFFFFF"/>
          </w:rPr>
          <w:t>TABLE 2: Costco Liquidity Ratio</w:t>
        </w:r>
        <w:r w:rsidR="00E86D16" w:rsidRPr="006742B0">
          <w:rPr>
            <w:rFonts w:ascii="Times New Roman" w:hAnsi="Times New Roman" w:cs="Times New Roman"/>
            <w:noProof/>
            <w:webHidden/>
          </w:rPr>
          <w:tab/>
        </w:r>
        <w:r w:rsidR="00886A4C">
          <w:rPr>
            <w:rFonts w:ascii="Times New Roman" w:hAnsi="Times New Roman" w:cs="Times New Roman"/>
            <w:noProof/>
            <w:webHidden/>
          </w:rPr>
          <w:t>6</w:t>
        </w:r>
      </w:hyperlink>
    </w:p>
    <w:p w14:paraId="36E7250E" w14:textId="1C6A74B0" w:rsidR="00E86D16" w:rsidRPr="006742B0" w:rsidRDefault="00000000" w:rsidP="00E86D16">
      <w:pPr>
        <w:pStyle w:val="TOC1"/>
        <w:tabs>
          <w:tab w:val="right" w:leader="dot" w:pos="9016"/>
        </w:tabs>
        <w:rPr>
          <w:rFonts w:ascii="Times New Roman" w:eastAsiaTheme="minorEastAsia" w:hAnsi="Times New Roman" w:cs="Times New Roman"/>
          <w:noProof/>
          <w:lang w:val="en-GB" w:eastAsia="en-GB"/>
        </w:rPr>
      </w:pPr>
      <w:hyperlink w:anchor="_Toc164780718" w:history="1">
        <w:r w:rsidR="00E86D16" w:rsidRPr="006742B0">
          <w:rPr>
            <w:rStyle w:val="Hyperlink"/>
            <w:rFonts w:ascii="Times New Roman" w:hAnsi="Times New Roman" w:cs="Times New Roman"/>
            <w:noProof/>
            <w:color w:val="auto"/>
            <w:u w:val="none"/>
            <w:shd w:val="clear" w:color="auto" w:fill="FFFFFF"/>
          </w:rPr>
          <w:t>TABLE 3: Financial Measurement</w:t>
        </w:r>
        <w:r w:rsidR="00E86D16" w:rsidRPr="006742B0">
          <w:rPr>
            <w:rFonts w:ascii="Times New Roman" w:hAnsi="Times New Roman" w:cs="Times New Roman"/>
            <w:noProof/>
            <w:webHidden/>
          </w:rPr>
          <w:tab/>
        </w:r>
        <w:r w:rsidR="00886A4C">
          <w:rPr>
            <w:rFonts w:ascii="Times New Roman" w:hAnsi="Times New Roman" w:cs="Times New Roman"/>
            <w:noProof/>
            <w:webHidden/>
          </w:rPr>
          <w:t>7</w:t>
        </w:r>
      </w:hyperlink>
    </w:p>
    <w:p w14:paraId="050F447F" w14:textId="39A16070" w:rsidR="00E86D16" w:rsidRPr="006742B0" w:rsidRDefault="00000000" w:rsidP="00E86D16">
      <w:pPr>
        <w:pStyle w:val="TOC1"/>
        <w:tabs>
          <w:tab w:val="right" w:leader="dot" w:pos="9016"/>
        </w:tabs>
        <w:rPr>
          <w:rFonts w:ascii="Times New Roman" w:eastAsiaTheme="minorEastAsia" w:hAnsi="Times New Roman" w:cs="Times New Roman"/>
          <w:noProof/>
          <w:lang w:val="en-GB" w:eastAsia="en-GB"/>
        </w:rPr>
      </w:pPr>
      <w:hyperlink w:anchor="_Toc164780720" w:history="1">
        <w:r w:rsidR="00E86D16" w:rsidRPr="006742B0">
          <w:rPr>
            <w:rStyle w:val="Hyperlink"/>
            <w:rFonts w:ascii="Times New Roman" w:hAnsi="Times New Roman" w:cs="Times New Roman"/>
            <w:noProof/>
            <w:color w:val="auto"/>
            <w:u w:val="none"/>
            <w:shd w:val="clear" w:color="auto" w:fill="FFFFFF"/>
          </w:rPr>
          <w:t>TABLE 4: Costco Efficiency Ratio</w:t>
        </w:r>
        <w:r w:rsidR="00E86D16" w:rsidRPr="006742B0">
          <w:rPr>
            <w:rFonts w:ascii="Times New Roman" w:hAnsi="Times New Roman" w:cs="Times New Roman"/>
            <w:noProof/>
            <w:webHidden/>
          </w:rPr>
          <w:tab/>
        </w:r>
        <w:r w:rsidR="00886A4C">
          <w:rPr>
            <w:rFonts w:ascii="Times New Roman" w:hAnsi="Times New Roman" w:cs="Times New Roman"/>
            <w:noProof/>
            <w:webHidden/>
          </w:rPr>
          <w:t>8</w:t>
        </w:r>
      </w:hyperlink>
    </w:p>
    <w:p w14:paraId="5A4A9803" w14:textId="5DA81A73" w:rsidR="002663DB" w:rsidRDefault="00000000" w:rsidP="002663DB">
      <w:pPr>
        <w:pStyle w:val="TOC1"/>
        <w:tabs>
          <w:tab w:val="right" w:leader="dot" w:pos="9016"/>
        </w:tabs>
        <w:rPr>
          <w:rFonts w:ascii="Times New Roman" w:hAnsi="Times New Roman" w:cs="Times New Roman"/>
          <w:noProof/>
        </w:rPr>
      </w:pPr>
      <w:hyperlink w:anchor="_Toc164780722" w:history="1">
        <w:r w:rsidR="008876BD" w:rsidRPr="006742B0">
          <w:rPr>
            <w:rStyle w:val="Hyperlink"/>
            <w:rFonts w:ascii="Times New Roman" w:hAnsi="Times New Roman" w:cs="Times New Roman"/>
            <w:noProof/>
            <w:color w:val="auto"/>
            <w:u w:val="none"/>
            <w:shd w:val="clear" w:color="auto" w:fill="FFFFFF"/>
          </w:rPr>
          <w:t>TABLE 5: Project Cash Flow (£m)</w:t>
        </w:r>
        <w:r w:rsidR="008876BD" w:rsidRPr="006742B0">
          <w:rPr>
            <w:rFonts w:ascii="Times New Roman" w:hAnsi="Times New Roman" w:cs="Times New Roman"/>
            <w:noProof/>
            <w:webHidden/>
          </w:rPr>
          <w:tab/>
        </w:r>
        <w:r w:rsidR="00886A4C">
          <w:rPr>
            <w:rFonts w:ascii="Times New Roman" w:hAnsi="Times New Roman" w:cs="Times New Roman"/>
            <w:noProof/>
            <w:webHidden/>
          </w:rPr>
          <w:t>11</w:t>
        </w:r>
      </w:hyperlink>
    </w:p>
    <w:p w14:paraId="262C4309" w14:textId="77777777" w:rsidR="002663DB" w:rsidRDefault="002663DB">
      <w:pPr>
        <w:rPr>
          <w:rFonts w:ascii="Times New Roman" w:hAnsi="Times New Roman" w:cs="Times New Roman"/>
          <w:noProof/>
        </w:rPr>
      </w:pPr>
      <w:r>
        <w:rPr>
          <w:rFonts w:ascii="Times New Roman" w:hAnsi="Times New Roman" w:cs="Times New Roman"/>
          <w:noProof/>
        </w:rPr>
        <w:br w:type="page"/>
      </w:r>
    </w:p>
    <w:p w14:paraId="2EA94363" w14:textId="77777777" w:rsidR="00842B62" w:rsidRPr="002663DB" w:rsidRDefault="00842B62" w:rsidP="002663DB">
      <w:pPr>
        <w:pStyle w:val="TOC1"/>
        <w:tabs>
          <w:tab w:val="right" w:leader="dot" w:pos="9016"/>
        </w:tabs>
        <w:rPr>
          <w:rFonts w:ascii="Times New Roman" w:hAnsi="Times New Roman" w:cs="Times New Roman"/>
          <w:noProof/>
        </w:rPr>
      </w:pPr>
    </w:p>
    <w:p w14:paraId="69FE859B" w14:textId="2941D521" w:rsidR="00842B62" w:rsidRPr="006742B0" w:rsidRDefault="00311BF1" w:rsidP="006B43A4">
      <w:pPr>
        <w:pStyle w:val="Heading1"/>
        <w:spacing w:line="276" w:lineRule="auto"/>
        <w:jc w:val="both"/>
        <w:rPr>
          <w:rFonts w:ascii="Times New Roman" w:hAnsi="Times New Roman" w:cs="Times New Roman"/>
          <w:b/>
          <w:bCs/>
          <w:color w:val="auto"/>
          <w:sz w:val="28"/>
          <w:szCs w:val="28"/>
          <w:lang w:val="en-US"/>
        </w:rPr>
      </w:pPr>
      <w:bookmarkStart w:id="1" w:name="_Toc164812035"/>
      <w:r w:rsidRPr="006742B0">
        <w:rPr>
          <w:rFonts w:ascii="Times New Roman" w:hAnsi="Times New Roman" w:cs="Times New Roman"/>
          <w:b/>
          <w:bCs/>
          <w:color w:val="auto"/>
          <w:sz w:val="28"/>
          <w:szCs w:val="28"/>
          <w:lang w:val="en-US"/>
        </w:rPr>
        <w:t xml:space="preserve">1. </w:t>
      </w:r>
      <w:r w:rsidR="00842B62" w:rsidRPr="006742B0">
        <w:rPr>
          <w:rFonts w:ascii="Times New Roman" w:hAnsi="Times New Roman" w:cs="Times New Roman"/>
          <w:b/>
          <w:bCs/>
          <w:color w:val="auto"/>
          <w:sz w:val="28"/>
          <w:szCs w:val="28"/>
          <w:lang w:val="en-US"/>
        </w:rPr>
        <w:t>PART A</w:t>
      </w:r>
      <w:bookmarkEnd w:id="1"/>
    </w:p>
    <w:p w14:paraId="64588058" w14:textId="6A00CBB0" w:rsidR="00842B62" w:rsidRPr="00B51C2C" w:rsidRDefault="00311BF1" w:rsidP="006B43A4">
      <w:pPr>
        <w:pStyle w:val="Heading2"/>
        <w:spacing w:line="276" w:lineRule="auto"/>
        <w:jc w:val="both"/>
        <w:rPr>
          <w:rFonts w:ascii="Times New Roman" w:hAnsi="Times New Roman" w:cs="Times New Roman"/>
          <w:b/>
          <w:bCs/>
          <w:color w:val="auto"/>
          <w:sz w:val="24"/>
          <w:szCs w:val="24"/>
          <w:lang w:val="en-US"/>
        </w:rPr>
      </w:pPr>
      <w:bookmarkStart w:id="2" w:name="_Toc164812036"/>
      <w:r w:rsidRPr="00B51C2C">
        <w:rPr>
          <w:rFonts w:ascii="Times New Roman" w:hAnsi="Times New Roman" w:cs="Times New Roman"/>
          <w:b/>
          <w:bCs/>
          <w:color w:val="auto"/>
          <w:sz w:val="24"/>
          <w:szCs w:val="24"/>
          <w:lang w:val="en-US"/>
        </w:rPr>
        <w:t xml:space="preserve">1.1 </w:t>
      </w:r>
      <w:r w:rsidR="00842B62" w:rsidRPr="00B51C2C">
        <w:rPr>
          <w:rFonts w:ascii="Times New Roman" w:hAnsi="Times New Roman" w:cs="Times New Roman"/>
          <w:b/>
          <w:bCs/>
          <w:color w:val="auto"/>
          <w:sz w:val="24"/>
          <w:szCs w:val="24"/>
          <w:lang w:val="en-US"/>
        </w:rPr>
        <w:t>INTRODUCTION</w:t>
      </w:r>
      <w:bookmarkEnd w:id="2"/>
    </w:p>
    <w:p w14:paraId="3240A588" w14:textId="43C1CC07" w:rsidR="00842B62" w:rsidRPr="00890668" w:rsidRDefault="005D1753" w:rsidP="00890668">
      <w:pPr>
        <w:spacing w:line="276" w:lineRule="auto"/>
        <w:jc w:val="both"/>
        <w:rPr>
          <w:rFonts w:ascii="Times New Roman" w:hAnsi="Times New Roman" w:cs="Times New Roman"/>
          <w:sz w:val="24"/>
          <w:szCs w:val="24"/>
          <w:shd w:val="clear" w:color="auto" w:fill="FFFFFF"/>
        </w:rPr>
      </w:pPr>
      <w:r w:rsidRPr="00890668">
        <w:rPr>
          <w:rFonts w:ascii="Times New Roman" w:hAnsi="Times New Roman" w:cs="Times New Roman"/>
          <w:sz w:val="24"/>
          <w:szCs w:val="24"/>
          <w:shd w:val="clear" w:color="auto" w:fill="FFFFFF"/>
        </w:rPr>
        <w:t>A shining example in the American retail scene, Costco Wholesale Corporation is well-known for its distinctive business strategy, dedication to value, and high customer satisfaction rates. Since its founding in Seattle, Washington, in 1983, Costco has become one of the biggest and most significant retail grocery chains in the world, not only in the US</w:t>
      </w:r>
      <w:r w:rsidR="00842B62" w:rsidRPr="006742B0">
        <w:rPr>
          <w:rFonts w:ascii="Times New Roman" w:hAnsi="Times New Roman" w:cs="Times New Roman"/>
          <w:sz w:val="24"/>
          <w:szCs w:val="24"/>
          <w:shd w:val="clear" w:color="auto" w:fill="FFFFFF"/>
        </w:rPr>
        <w:t xml:space="preserve"> (Spencer-McDaniel et al, 2012). With its distinctive warehouse club concept, Costco has redefined the retail industry, offering a wide array of high-quality products at wholesale prices to its members.</w:t>
      </w:r>
    </w:p>
    <w:p w14:paraId="751B2C04" w14:textId="0868BC97" w:rsidR="00842B62" w:rsidRPr="00B51C2C" w:rsidRDefault="00311BF1" w:rsidP="006B43A4">
      <w:pPr>
        <w:pStyle w:val="Heading2"/>
        <w:spacing w:line="276" w:lineRule="auto"/>
        <w:jc w:val="both"/>
        <w:rPr>
          <w:rFonts w:ascii="Times New Roman" w:hAnsi="Times New Roman" w:cs="Times New Roman"/>
          <w:b/>
          <w:bCs/>
          <w:color w:val="auto"/>
          <w:sz w:val="24"/>
          <w:szCs w:val="24"/>
          <w:shd w:val="clear" w:color="auto" w:fill="FFFFFF"/>
        </w:rPr>
      </w:pPr>
      <w:bookmarkStart w:id="3" w:name="_Toc164812037"/>
      <w:r w:rsidRPr="00B51C2C">
        <w:rPr>
          <w:rFonts w:ascii="Times New Roman" w:hAnsi="Times New Roman" w:cs="Times New Roman"/>
          <w:b/>
          <w:bCs/>
          <w:color w:val="auto"/>
          <w:sz w:val="24"/>
          <w:szCs w:val="24"/>
          <w:shd w:val="clear" w:color="auto" w:fill="FFFFFF"/>
        </w:rPr>
        <w:t xml:space="preserve">1.2 </w:t>
      </w:r>
      <w:r w:rsidR="00842B62" w:rsidRPr="00B51C2C">
        <w:rPr>
          <w:rFonts w:ascii="Times New Roman" w:hAnsi="Times New Roman" w:cs="Times New Roman"/>
          <w:b/>
          <w:bCs/>
          <w:color w:val="auto"/>
          <w:sz w:val="24"/>
          <w:szCs w:val="24"/>
          <w:shd w:val="clear" w:color="auto" w:fill="FFFFFF"/>
        </w:rPr>
        <w:t>H</w:t>
      </w:r>
      <w:r w:rsidR="00AF0E2C" w:rsidRPr="00B51C2C">
        <w:rPr>
          <w:rFonts w:ascii="Times New Roman" w:hAnsi="Times New Roman" w:cs="Times New Roman"/>
          <w:b/>
          <w:bCs/>
          <w:color w:val="auto"/>
          <w:sz w:val="24"/>
          <w:szCs w:val="24"/>
          <w:shd w:val="clear" w:color="auto" w:fill="FFFFFF"/>
        </w:rPr>
        <w:t>ISTORY OF BUSINESS</w:t>
      </w:r>
      <w:r w:rsidR="00842B62" w:rsidRPr="00B51C2C">
        <w:rPr>
          <w:rFonts w:ascii="Times New Roman" w:hAnsi="Times New Roman" w:cs="Times New Roman"/>
          <w:b/>
          <w:bCs/>
          <w:color w:val="auto"/>
          <w:sz w:val="24"/>
          <w:szCs w:val="24"/>
          <w:shd w:val="clear" w:color="auto" w:fill="FFFFFF"/>
        </w:rPr>
        <w:t xml:space="preserve"> M</w:t>
      </w:r>
      <w:r w:rsidR="00AF0E2C" w:rsidRPr="00B51C2C">
        <w:rPr>
          <w:rFonts w:ascii="Times New Roman" w:hAnsi="Times New Roman" w:cs="Times New Roman"/>
          <w:b/>
          <w:bCs/>
          <w:color w:val="auto"/>
          <w:sz w:val="24"/>
          <w:szCs w:val="24"/>
          <w:shd w:val="clear" w:color="auto" w:fill="FFFFFF"/>
        </w:rPr>
        <w:t>ODEL</w:t>
      </w:r>
      <w:bookmarkEnd w:id="3"/>
    </w:p>
    <w:p w14:paraId="2E749EF3" w14:textId="7F982652" w:rsidR="00842B62" w:rsidRPr="006742B0" w:rsidRDefault="00842B62" w:rsidP="006B43A4">
      <w:pPr>
        <w:spacing w:line="276" w:lineRule="auto"/>
        <w:jc w:val="both"/>
        <w:rPr>
          <w:rFonts w:ascii="Times New Roman" w:eastAsia="Times New Roman" w:hAnsi="Times New Roman" w:cs="Times New Roman"/>
          <w:kern w:val="0"/>
          <w:sz w:val="24"/>
          <w:szCs w:val="24"/>
          <w:lang w:val="en-GB" w:eastAsia="en-GB"/>
          <w14:ligatures w14:val="none"/>
        </w:rPr>
      </w:pPr>
      <w:r w:rsidRPr="006742B0">
        <w:rPr>
          <w:rFonts w:ascii="Times New Roman" w:hAnsi="Times New Roman" w:cs="Times New Roman"/>
          <w:sz w:val="24"/>
          <w:szCs w:val="24"/>
          <w:shd w:val="clear" w:color="auto" w:fill="FFFFFF"/>
        </w:rPr>
        <w:t xml:space="preserve">Founded by James Sinegal and Jeffrey Brotman, Costco began its journey with the vision of providing exceptional </w:t>
      </w:r>
      <w:r w:rsidR="005D1753" w:rsidRPr="006742B0">
        <w:rPr>
          <w:rFonts w:ascii="Times New Roman" w:hAnsi="Times New Roman" w:cs="Times New Roman"/>
          <w:sz w:val="24"/>
          <w:szCs w:val="24"/>
          <w:shd w:val="clear" w:color="auto" w:fill="FFFFFF"/>
        </w:rPr>
        <w:t>customer value and service</w:t>
      </w:r>
      <w:r w:rsidRPr="006742B0">
        <w:rPr>
          <w:rFonts w:ascii="Times New Roman" w:hAnsi="Times New Roman" w:cs="Times New Roman"/>
          <w:sz w:val="24"/>
          <w:szCs w:val="24"/>
          <w:shd w:val="clear" w:color="auto" w:fill="FFFFFF"/>
        </w:rPr>
        <w:t xml:space="preserve"> (Dallas, 2019). </w:t>
      </w:r>
      <w:r w:rsidR="006F7172" w:rsidRPr="006742B0">
        <w:rPr>
          <w:rFonts w:ascii="Times New Roman" w:eastAsia="Times New Roman" w:hAnsi="Times New Roman" w:cs="Times New Roman"/>
          <w:kern w:val="0"/>
          <w:sz w:val="24"/>
          <w:szCs w:val="24"/>
          <w:lang w:val="en-GB" w:eastAsia="en-GB"/>
          <w14:ligatures w14:val="none"/>
        </w:rPr>
        <w:t xml:space="preserve">The company's business strategy is membership-based retailing, in which clients pay an annual fee to </w:t>
      </w:r>
      <w:r w:rsidR="0045597A" w:rsidRPr="006742B0">
        <w:rPr>
          <w:rFonts w:ascii="Times New Roman" w:eastAsia="Times New Roman" w:hAnsi="Times New Roman" w:cs="Times New Roman"/>
          <w:kern w:val="0"/>
          <w:sz w:val="24"/>
          <w:szCs w:val="24"/>
          <w:lang w:val="en-GB" w:eastAsia="en-GB"/>
          <w14:ligatures w14:val="none"/>
        </w:rPr>
        <w:t>access</w:t>
      </w:r>
      <w:r w:rsidR="006F7172" w:rsidRPr="006742B0">
        <w:rPr>
          <w:rFonts w:ascii="Times New Roman" w:eastAsia="Times New Roman" w:hAnsi="Times New Roman" w:cs="Times New Roman"/>
          <w:kern w:val="0"/>
          <w:sz w:val="24"/>
          <w:szCs w:val="24"/>
          <w:lang w:val="en-GB" w:eastAsia="en-GB"/>
          <w14:ligatures w14:val="none"/>
        </w:rPr>
        <w:t xml:space="preserve"> Costco's enormous assortment of goods at reduced costs</w:t>
      </w:r>
      <w:r w:rsidRPr="006742B0">
        <w:rPr>
          <w:rFonts w:ascii="Times New Roman" w:hAnsi="Times New Roman" w:cs="Times New Roman"/>
          <w:sz w:val="24"/>
          <w:szCs w:val="24"/>
          <w:shd w:val="clear" w:color="auto" w:fill="FFFFFF"/>
        </w:rPr>
        <w:t xml:space="preserve">. By leveraging economies of scale and minimizing overhead costs, Costco passes on significant savings to its members while maintaining </w:t>
      </w:r>
      <w:r w:rsidR="005D1753" w:rsidRPr="006742B0">
        <w:rPr>
          <w:rFonts w:ascii="Times New Roman" w:hAnsi="Times New Roman" w:cs="Times New Roman"/>
          <w:sz w:val="24"/>
          <w:szCs w:val="24"/>
          <w:shd w:val="clear" w:color="auto" w:fill="FFFFFF"/>
        </w:rPr>
        <w:t>high-quality standards</w:t>
      </w:r>
      <w:r w:rsidRPr="006742B0">
        <w:rPr>
          <w:rFonts w:ascii="Times New Roman" w:hAnsi="Times New Roman" w:cs="Times New Roman"/>
          <w:sz w:val="24"/>
          <w:szCs w:val="24"/>
          <w:shd w:val="clear" w:color="auto" w:fill="FFFFFF"/>
        </w:rPr>
        <w:t xml:space="preserve"> across its merchandise (Dallas, 2019).</w:t>
      </w:r>
    </w:p>
    <w:p w14:paraId="4B028FBE" w14:textId="038116D7" w:rsidR="00842B62" w:rsidRPr="00B51C2C" w:rsidRDefault="00311BF1" w:rsidP="006B43A4">
      <w:pPr>
        <w:pStyle w:val="Heading2"/>
        <w:spacing w:line="276" w:lineRule="auto"/>
        <w:jc w:val="both"/>
        <w:rPr>
          <w:rFonts w:ascii="Times New Roman" w:hAnsi="Times New Roman" w:cs="Times New Roman"/>
          <w:b/>
          <w:bCs/>
          <w:color w:val="auto"/>
          <w:sz w:val="24"/>
          <w:szCs w:val="24"/>
          <w:shd w:val="clear" w:color="auto" w:fill="FFFFFF"/>
        </w:rPr>
      </w:pPr>
      <w:bookmarkStart w:id="4" w:name="_Toc164812038"/>
      <w:r w:rsidRPr="00B51C2C">
        <w:rPr>
          <w:rFonts w:ascii="Times New Roman" w:hAnsi="Times New Roman" w:cs="Times New Roman"/>
          <w:b/>
          <w:bCs/>
          <w:color w:val="auto"/>
          <w:sz w:val="24"/>
          <w:szCs w:val="24"/>
          <w:shd w:val="clear" w:color="auto" w:fill="FFFFFF"/>
        </w:rPr>
        <w:t xml:space="preserve">1.3 </w:t>
      </w:r>
      <w:r w:rsidR="00842B62" w:rsidRPr="00B51C2C">
        <w:rPr>
          <w:rFonts w:ascii="Times New Roman" w:hAnsi="Times New Roman" w:cs="Times New Roman"/>
          <w:b/>
          <w:bCs/>
          <w:color w:val="auto"/>
          <w:sz w:val="24"/>
          <w:szCs w:val="24"/>
          <w:shd w:val="clear" w:color="auto" w:fill="FFFFFF"/>
        </w:rPr>
        <w:t>M</w:t>
      </w:r>
      <w:r w:rsidR="00AF0E2C" w:rsidRPr="00B51C2C">
        <w:rPr>
          <w:rFonts w:ascii="Times New Roman" w:hAnsi="Times New Roman" w:cs="Times New Roman"/>
          <w:b/>
          <w:bCs/>
          <w:color w:val="auto"/>
          <w:sz w:val="24"/>
          <w:szCs w:val="24"/>
          <w:shd w:val="clear" w:color="auto" w:fill="FFFFFF"/>
        </w:rPr>
        <w:t>ARKET</w:t>
      </w:r>
      <w:r w:rsidR="00842B62" w:rsidRPr="00B51C2C">
        <w:rPr>
          <w:rFonts w:ascii="Times New Roman" w:hAnsi="Times New Roman" w:cs="Times New Roman"/>
          <w:b/>
          <w:bCs/>
          <w:color w:val="auto"/>
          <w:sz w:val="24"/>
          <w:szCs w:val="24"/>
          <w:shd w:val="clear" w:color="auto" w:fill="FFFFFF"/>
        </w:rPr>
        <w:t xml:space="preserve"> P</w:t>
      </w:r>
      <w:r w:rsidR="00AF0E2C" w:rsidRPr="00B51C2C">
        <w:rPr>
          <w:rFonts w:ascii="Times New Roman" w:hAnsi="Times New Roman" w:cs="Times New Roman"/>
          <w:b/>
          <w:bCs/>
          <w:color w:val="auto"/>
          <w:sz w:val="24"/>
          <w:szCs w:val="24"/>
          <w:shd w:val="clear" w:color="auto" w:fill="FFFFFF"/>
        </w:rPr>
        <w:t>RESENCE</w:t>
      </w:r>
      <w:r w:rsidR="00842B62" w:rsidRPr="00B51C2C">
        <w:rPr>
          <w:rFonts w:ascii="Times New Roman" w:hAnsi="Times New Roman" w:cs="Times New Roman"/>
          <w:b/>
          <w:bCs/>
          <w:color w:val="auto"/>
          <w:sz w:val="24"/>
          <w:szCs w:val="24"/>
          <w:shd w:val="clear" w:color="auto" w:fill="FFFFFF"/>
        </w:rPr>
        <w:t xml:space="preserve"> </w:t>
      </w:r>
      <w:r w:rsidR="00AF0E2C" w:rsidRPr="00B51C2C">
        <w:rPr>
          <w:rFonts w:ascii="Times New Roman" w:hAnsi="Times New Roman" w:cs="Times New Roman"/>
          <w:b/>
          <w:bCs/>
          <w:color w:val="auto"/>
          <w:sz w:val="24"/>
          <w:szCs w:val="24"/>
          <w:shd w:val="clear" w:color="auto" w:fill="FFFFFF"/>
        </w:rPr>
        <w:t>AND</w:t>
      </w:r>
      <w:r w:rsidR="00842B62" w:rsidRPr="00B51C2C">
        <w:rPr>
          <w:rFonts w:ascii="Times New Roman" w:hAnsi="Times New Roman" w:cs="Times New Roman"/>
          <w:b/>
          <w:bCs/>
          <w:color w:val="auto"/>
          <w:sz w:val="24"/>
          <w:szCs w:val="24"/>
          <w:shd w:val="clear" w:color="auto" w:fill="FFFFFF"/>
        </w:rPr>
        <w:t xml:space="preserve"> M</w:t>
      </w:r>
      <w:r w:rsidR="00AF0E2C" w:rsidRPr="00B51C2C">
        <w:rPr>
          <w:rFonts w:ascii="Times New Roman" w:hAnsi="Times New Roman" w:cs="Times New Roman"/>
          <w:b/>
          <w:bCs/>
          <w:color w:val="auto"/>
          <w:sz w:val="24"/>
          <w:szCs w:val="24"/>
          <w:shd w:val="clear" w:color="auto" w:fill="FFFFFF"/>
        </w:rPr>
        <w:t>AJOR</w:t>
      </w:r>
      <w:r w:rsidR="00842B62" w:rsidRPr="00B51C2C">
        <w:rPr>
          <w:rFonts w:ascii="Times New Roman" w:hAnsi="Times New Roman" w:cs="Times New Roman"/>
          <w:b/>
          <w:bCs/>
          <w:color w:val="auto"/>
          <w:sz w:val="24"/>
          <w:szCs w:val="24"/>
          <w:shd w:val="clear" w:color="auto" w:fill="FFFFFF"/>
        </w:rPr>
        <w:t xml:space="preserve"> </w:t>
      </w:r>
      <w:r w:rsidR="00F95ABF" w:rsidRPr="00B51C2C">
        <w:rPr>
          <w:rFonts w:ascii="Times New Roman" w:hAnsi="Times New Roman" w:cs="Times New Roman"/>
          <w:b/>
          <w:bCs/>
          <w:color w:val="auto"/>
          <w:sz w:val="24"/>
          <w:szCs w:val="24"/>
          <w:shd w:val="clear" w:color="auto" w:fill="FFFFFF"/>
        </w:rPr>
        <w:t>COMPETITORS</w:t>
      </w:r>
      <w:bookmarkEnd w:id="4"/>
    </w:p>
    <w:p w14:paraId="3C514018"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Costco's footprint extends across the United States and beyond, with hundreds of warehouses strategically located in key markets. In addition to its presence in North America, Costco operates internationally, with warehouses in countries such as Canada, Mexico, Japan, South Korea, and the United Kingdom. The company's global expansion has solidified its position as a dominant player in the retail industry (Zheng, 2020).</w:t>
      </w:r>
    </w:p>
    <w:p w14:paraId="1414AAEB" w14:textId="22DD2420" w:rsidR="00842B62" w:rsidRPr="006742B0" w:rsidRDefault="00C139E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 xml:space="preserve">The identification of Costco's competitors stems from research conducted by Zheng </w:t>
      </w:r>
      <w:r w:rsidR="00D03C2B" w:rsidRPr="006742B0">
        <w:rPr>
          <w:rFonts w:ascii="Times New Roman" w:hAnsi="Times New Roman" w:cs="Times New Roman"/>
          <w:sz w:val="24"/>
          <w:szCs w:val="24"/>
          <w:shd w:val="clear" w:color="auto" w:fill="FFFFFF"/>
        </w:rPr>
        <w:t>(</w:t>
      </w:r>
      <w:r w:rsidRPr="006742B0">
        <w:rPr>
          <w:rFonts w:ascii="Times New Roman" w:hAnsi="Times New Roman" w:cs="Times New Roman"/>
          <w:sz w:val="24"/>
          <w:szCs w:val="24"/>
          <w:shd w:val="clear" w:color="auto" w:fill="FFFFFF"/>
        </w:rPr>
        <w:t>2020</w:t>
      </w:r>
      <w:r w:rsidR="00D03C2B" w:rsidRPr="006742B0">
        <w:rPr>
          <w:rFonts w:ascii="Times New Roman" w:hAnsi="Times New Roman" w:cs="Times New Roman"/>
          <w:sz w:val="24"/>
          <w:szCs w:val="24"/>
          <w:shd w:val="clear" w:color="auto" w:fill="FFFFFF"/>
        </w:rPr>
        <w:t>)</w:t>
      </w:r>
      <w:r w:rsidRPr="006742B0">
        <w:rPr>
          <w:rFonts w:ascii="Times New Roman" w:hAnsi="Times New Roman" w:cs="Times New Roman"/>
          <w:sz w:val="24"/>
          <w:szCs w:val="24"/>
          <w:shd w:val="clear" w:color="auto" w:fill="FFFFFF"/>
        </w:rPr>
        <w:t>. Through analysis of the retail sector, notable competitors such as Walmart's Sam's Club, Target, and BJ's Wholesale Club were identified as formidable players vying for market share alongside Costco</w:t>
      </w:r>
      <w:r w:rsidR="00842B62" w:rsidRPr="006742B0">
        <w:rPr>
          <w:rFonts w:ascii="Times New Roman" w:hAnsi="Times New Roman" w:cs="Times New Roman"/>
          <w:sz w:val="24"/>
          <w:szCs w:val="24"/>
          <w:shd w:val="clear" w:color="auto" w:fill="FFFFFF"/>
        </w:rPr>
        <w:t>.</w:t>
      </w:r>
    </w:p>
    <w:p w14:paraId="77EDB6CF" w14:textId="1B894A39" w:rsidR="00842B62" w:rsidRPr="00B51C2C" w:rsidRDefault="00311BF1" w:rsidP="006B43A4">
      <w:pPr>
        <w:pStyle w:val="Heading2"/>
        <w:spacing w:line="276" w:lineRule="auto"/>
        <w:jc w:val="both"/>
        <w:rPr>
          <w:rFonts w:ascii="Times New Roman" w:hAnsi="Times New Roman" w:cs="Times New Roman"/>
          <w:b/>
          <w:bCs/>
          <w:color w:val="auto"/>
          <w:sz w:val="24"/>
          <w:szCs w:val="24"/>
          <w:shd w:val="clear" w:color="auto" w:fill="FFFFFF"/>
        </w:rPr>
      </w:pPr>
      <w:bookmarkStart w:id="5" w:name="_Toc164812039"/>
      <w:r w:rsidRPr="00B51C2C">
        <w:rPr>
          <w:rFonts w:ascii="Times New Roman" w:hAnsi="Times New Roman" w:cs="Times New Roman"/>
          <w:b/>
          <w:bCs/>
          <w:color w:val="auto"/>
          <w:sz w:val="24"/>
          <w:szCs w:val="24"/>
          <w:shd w:val="clear" w:color="auto" w:fill="FFFFFF"/>
        </w:rPr>
        <w:t xml:space="preserve">1.4 </w:t>
      </w:r>
      <w:r w:rsidR="00842B62" w:rsidRPr="00B51C2C">
        <w:rPr>
          <w:rFonts w:ascii="Times New Roman" w:hAnsi="Times New Roman" w:cs="Times New Roman"/>
          <w:b/>
          <w:bCs/>
          <w:color w:val="auto"/>
          <w:sz w:val="24"/>
          <w:szCs w:val="24"/>
          <w:shd w:val="clear" w:color="auto" w:fill="FFFFFF"/>
        </w:rPr>
        <w:t>MAJOR EVENTS OVER THE PAST FIVE YEARS</w:t>
      </w:r>
      <w:bookmarkEnd w:id="5"/>
    </w:p>
    <w:p w14:paraId="758B214D"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Over the past five years, Costco Wholesale Corporation has navigated through a series of significant events that have shaped its trajectory in the retail industry. In 2019, Costco continued its global expansion by opening new warehouse locations in markets such as China, marking a milestone with the launch of its first physical store in Shanghai (Wang, 2024). The overwhelming response from consumers underscored the company's widespread appeal and solidified its position as a global retail powerhouse (Kumar et al, 2022; Wang, 2024). However, the following year, in 2020, the onset of the COVID-19 pandemic presented unprecedented challenges and opportunities for Costco (Stewart, 2021). With consumers flocking to its stores to stock up on essential items like groceries, household goods, and cleaning supplies, the company experienced a surge in demand. In response, Costco swiftly implemented various safety measures to protect both its employees and shoppers, including mandating masks and enforcing capacity limits to ensure social distancing (Stewart, 2021).</w:t>
      </w:r>
    </w:p>
    <w:p w14:paraId="75897BC8" w14:textId="0BF28B36"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lastRenderedPageBreak/>
        <w:t>In 2021, Costco faced legal scrutiny over its labor practices, particularly in California, where it was sued for alleged violations, such as failing to provide fair wages and adequate breaks for hourly workers</w:t>
      </w:r>
      <w:r w:rsidR="00F1575C" w:rsidRPr="006742B0">
        <w:rPr>
          <w:rFonts w:ascii="Times New Roman" w:hAnsi="Times New Roman" w:cs="Times New Roman"/>
          <w:sz w:val="24"/>
          <w:szCs w:val="24"/>
          <w:shd w:val="clear" w:color="auto" w:fill="FFFFFF"/>
        </w:rPr>
        <w:t xml:space="preserve"> (Stewart, 2021)</w:t>
      </w:r>
      <w:r w:rsidRPr="006742B0">
        <w:rPr>
          <w:rFonts w:ascii="Times New Roman" w:hAnsi="Times New Roman" w:cs="Times New Roman"/>
          <w:sz w:val="24"/>
          <w:szCs w:val="24"/>
          <w:shd w:val="clear" w:color="auto" w:fill="FFFFFF"/>
        </w:rPr>
        <w:t>. This legal challenge shed light on broader concerns about labor conditions within the retail sector, prompting Costco to reevaluate its employment practices and commitment to worker rights. Looking ahead, in 2022, Costco announced strategic investments in its e-commerce capabilities to bolster its online presence and better compete with digital giants like Amazon. Initiatives such as enhancing its website and mobile app, along with introducing services like online ordering, curbside pickup, and same-day delivery, reflected Costco's determination to meet evolving consumer preferences and shopping habits.</w:t>
      </w:r>
    </w:p>
    <w:p w14:paraId="365EAEC1" w14:textId="796FD708"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Despite its efforts to innovate and adapt, Costco faced criticism in 2023 over its sourcing practices and environmental impact</w:t>
      </w:r>
      <w:r w:rsidR="00F1575C" w:rsidRPr="006742B0">
        <w:rPr>
          <w:rFonts w:ascii="Times New Roman" w:hAnsi="Times New Roman" w:cs="Times New Roman"/>
          <w:sz w:val="24"/>
          <w:szCs w:val="24"/>
          <w:shd w:val="clear" w:color="auto" w:fill="FFFFFF"/>
        </w:rPr>
        <w:t xml:space="preserve"> (Kumar et al, 2022; Wang, 2024)</w:t>
      </w:r>
      <w:r w:rsidRPr="006742B0">
        <w:rPr>
          <w:rFonts w:ascii="Times New Roman" w:hAnsi="Times New Roman" w:cs="Times New Roman"/>
          <w:sz w:val="24"/>
          <w:szCs w:val="24"/>
          <w:shd w:val="clear" w:color="auto" w:fill="FFFFFF"/>
        </w:rPr>
        <w:t>. Concerns were raised about the company's reliance on single-use plastics and its supply chain's contribution to deforestation and habitat destruction, prompting calls for more sustainable practices from environmental activists. In summary, Costco's journey over the past five years illustrates its resilience in the face of challenges, its commitment to growth and innovation, and its ongoing efforts to balance business success with social responsibility in an ever-changing retail landscape</w:t>
      </w:r>
      <w:r w:rsidR="000D2225" w:rsidRPr="006742B0">
        <w:rPr>
          <w:rFonts w:ascii="Times New Roman" w:hAnsi="Times New Roman" w:cs="Times New Roman"/>
          <w:sz w:val="24"/>
          <w:szCs w:val="24"/>
          <w:shd w:val="clear" w:color="auto" w:fill="FFFFFF"/>
        </w:rPr>
        <w:t xml:space="preserve"> (Kumar et al, 2022; Wang, 2024)</w:t>
      </w:r>
      <w:r w:rsidRPr="006742B0">
        <w:rPr>
          <w:rFonts w:ascii="Times New Roman" w:hAnsi="Times New Roman" w:cs="Times New Roman"/>
          <w:sz w:val="24"/>
          <w:szCs w:val="24"/>
          <w:shd w:val="clear" w:color="auto" w:fill="FFFFFF"/>
        </w:rPr>
        <w:t>.</w:t>
      </w:r>
    </w:p>
    <w:p w14:paraId="1288B26C" w14:textId="11FB0AE8" w:rsidR="00842B62" w:rsidRPr="004D0E63" w:rsidRDefault="00311BF1" w:rsidP="004D0E63">
      <w:pPr>
        <w:pStyle w:val="Heading1"/>
        <w:spacing w:line="276" w:lineRule="auto"/>
        <w:jc w:val="both"/>
        <w:rPr>
          <w:rFonts w:ascii="Times New Roman" w:hAnsi="Times New Roman" w:cs="Times New Roman"/>
          <w:b/>
          <w:bCs/>
          <w:color w:val="auto"/>
          <w:sz w:val="28"/>
          <w:szCs w:val="28"/>
          <w:shd w:val="clear" w:color="auto" w:fill="FFFFFF"/>
        </w:rPr>
      </w:pPr>
      <w:bookmarkStart w:id="6" w:name="_Toc164812040"/>
      <w:r w:rsidRPr="006742B0">
        <w:rPr>
          <w:rFonts w:ascii="Times New Roman" w:hAnsi="Times New Roman" w:cs="Times New Roman"/>
          <w:b/>
          <w:bCs/>
          <w:color w:val="auto"/>
          <w:sz w:val="28"/>
          <w:szCs w:val="28"/>
          <w:shd w:val="clear" w:color="auto" w:fill="FFFFFF"/>
        </w:rPr>
        <w:t xml:space="preserve">2. </w:t>
      </w:r>
      <w:r w:rsidR="00842B62" w:rsidRPr="006742B0">
        <w:rPr>
          <w:rFonts w:ascii="Times New Roman" w:hAnsi="Times New Roman" w:cs="Times New Roman"/>
          <w:b/>
          <w:bCs/>
          <w:color w:val="auto"/>
          <w:sz w:val="28"/>
          <w:szCs w:val="28"/>
          <w:shd w:val="clear" w:color="auto" w:fill="FFFFFF"/>
        </w:rPr>
        <w:t>PART-B</w:t>
      </w:r>
      <w:bookmarkEnd w:id="6"/>
    </w:p>
    <w:p w14:paraId="21319F72" w14:textId="6A55FB28" w:rsidR="00842B62" w:rsidRPr="00864380" w:rsidRDefault="00311BF1" w:rsidP="006B43A4">
      <w:pPr>
        <w:pStyle w:val="Heading2"/>
        <w:spacing w:line="276" w:lineRule="auto"/>
        <w:jc w:val="both"/>
        <w:rPr>
          <w:rFonts w:ascii="Times New Roman" w:hAnsi="Times New Roman" w:cs="Times New Roman"/>
          <w:b/>
          <w:bCs/>
          <w:color w:val="auto"/>
          <w:sz w:val="24"/>
          <w:szCs w:val="24"/>
          <w:shd w:val="clear" w:color="auto" w:fill="FFFFFF"/>
        </w:rPr>
      </w:pPr>
      <w:bookmarkStart w:id="7" w:name="_Toc164812041"/>
      <w:r w:rsidRPr="00864380">
        <w:rPr>
          <w:rFonts w:ascii="Times New Roman" w:hAnsi="Times New Roman" w:cs="Times New Roman"/>
          <w:b/>
          <w:bCs/>
          <w:color w:val="auto"/>
          <w:sz w:val="24"/>
          <w:szCs w:val="24"/>
          <w:shd w:val="clear" w:color="auto" w:fill="FFFFFF"/>
        </w:rPr>
        <w:t xml:space="preserve">2.1 </w:t>
      </w:r>
      <w:r w:rsidR="00842B62" w:rsidRPr="00864380">
        <w:rPr>
          <w:rFonts w:ascii="Times New Roman" w:hAnsi="Times New Roman" w:cs="Times New Roman"/>
          <w:b/>
          <w:bCs/>
          <w:color w:val="auto"/>
          <w:sz w:val="24"/>
          <w:szCs w:val="24"/>
          <w:shd w:val="clear" w:color="auto" w:fill="FFFFFF"/>
        </w:rPr>
        <w:t>COSTCO FINANCIAL PERFORMANCE</w:t>
      </w:r>
      <w:bookmarkEnd w:id="7"/>
    </w:p>
    <w:p w14:paraId="07BE9376"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Costco's financial performance over the past five years reflects a steady growth trajectory, characterized by improvements in key financial ratios. From 2019 to 2023, Costco has demonstrated resilience, efficiency, and strategic management in navigating the dynamic retail landscape. Here is a critical review of Costco's financial performance during this period:</w:t>
      </w:r>
    </w:p>
    <w:p w14:paraId="6CCA1779" w14:textId="4738F6A2" w:rsidR="00E17544" w:rsidRPr="008834B5" w:rsidRDefault="00E17544" w:rsidP="00080DE7">
      <w:pPr>
        <w:jc w:val="center"/>
        <w:rPr>
          <w:rFonts w:ascii="Times New Roman" w:hAnsi="Times New Roman" w:cs="Times New Roman"/>
          <w:b/>
          <w:bCs/>
          <w:sz w:val="24"/>
          <w:szCs w:val="24"/>
          <w:shd w:val="clear" w:color="auto" w:fill="FFFFFF"/>
        </w:rPr>
      </w:pPr>
      <w:bookmarkStart w:id="8" w:name="_Toc164168826"/>
      <w:bookmarkStart w:id="9" w:name="_Toc164780714"/>
      <w:bookmarkStart w:id="10" w:name="_Toc164801372"/>
      <w:bookmarkStart w:id="11" w:name="_Toc164802617"/>
      <w:r w:rsidRPr="008834B5">
        <w:rPr>
          <w:rFonts w:ascii="Times New Roman" w:hAnsi="Times New Roman" w:cs="Times New Roman"/>
          <w:b/>
          <w:bCs/>
          <w:sz w:val="24"/>
          <w:szCs w:val="24"/>
          <w:shd w:val="clear" w:color="auto" w:fill="FFFFFF"/>
        </w:rPr>
        <w:t>TABLE 1</w:t>
      </w:r>
      <w:bookmarkEnd w:id="8"/>
      <w:r w:rsidR="00613D66" w:rsidRPr="008834B5">
        <w:rPr>
          <w:rFonts w:ascii="Times New Roman" w:hAnsi="Times New Roman" w:cs="Times New Roman"/>
          <w:b/>
          <w:bCs/>
          <w:sz w:val="24"/>
          <w:szCs w:val="24"/>
          <w:shd w:val="clear" w:color="auto" w:fill="FFFFFF"/>
        </w:rPr>
        <w:t>: Costco Financial Performance</w:t>
      </w:r>
      <w:bookmarkEnd w:id="9"/>
      <w:bookmarkEnd w:id="10"/>
      <w:bookmarkEnd w:id="11"/>
    </w:p>
    <w:tbl>
      <w:tblPr>
        <w:tblStyle w:val="TableGrid"/>
        <w:tblW w:w="9493" w:type="dxa"/>
        <w:tblLook w:val="04A0" w:firstRow="1" w:lastRow="0" w:firstColumn="1" w:lastColumn="0" w:noHBand="0" w:noVBand="1"/>
      </w:tblPr>
      <w:tblGrid>
        <w:gridCol w:w="3681"/>
        <w:gridCol w:w="1134"/>
        <w:gridCol w:w="1276"/>
        <w:gridCol w:w="1134"/>
        <w:gridCol w:w="1134"/>
        <w:gridCol w:w="1134"/>
      </w:tblGrid>
      <w:tr w:rsidR="006B43A4" w:rsidRPr="006742B0" w14:paraId="60388C8B" w14:textId="77777777" w:rsidTr="00EE2B8B">
        <w:trPr>
          <w:trHeight w:val="176"/>
        </w:trPr>
        <w:tc>
          <w:tcPr>
            <w:tcW w:w="3681" w:type="dxa"/>
          </w:tcPr>
          <w:p w14:paraId="352BCE70" w14:textId="77777777" w:rsidR="00842B62" w:rsidRPr="006742B0" w:rsidRDefault="00842B62" w:rsidP="006B43A4">
            <w:pPr>
              <w:spacing w:line="276" w:lineRule="auto"/>
              <w:jc w:val="both"/>
              <w:rPr>
                <w:rFonts w:ascii="Times New Roman" w:hAnsi="Times New Roman" w:cs="Times New Roman"/>
                <w:b/>
                <w:bCs/>
                <w:sz w:val="24"/>
                <w:szCs w:val="24"/>
                <w:shd w:val="clear" w:color="auto" w:fill="FFFFFF"/>
              </w:rPr>
            </w:pPr>
            <w:r w:rsidRPr="006742B0">
              <w:rPr>
                <w:rFonts w:ascii="Times New Roman" w:hAnsi="Times New Roman" w:cs="Times New Roman"/>
                <w:b/>
                <w:bCs/>
                <w:sz w:val="24"/>
                <w:szCs w:val="24"/>
                <w:shd w:val="clear" w:color="auto" w:fill="FFFFFF"/>
              </w:rPr>
              <w:t>RATIO</w:t>
            </w:r>
          </w:p>
        </w:tc>
        <w:tc>
          <w:tcPr>
            <w:tcW w:w="1134" w:type="dxa"/>
          </w:tcPr>
          <w:p w14:paraId="6C9B7DD8" w14:textId="77777777" w:rsidR="00842B62" w:rsidRPr="006742B0" w:rsidRDefault="00842B62" w:rsidP="006B43A4">
            <w:pPr>
              <w:spacing w:line="276" w:lineRule="auto"/>
              <w:jc w:val="both"/>
              <w:rPr>
                <w:rFonts w:ascii="Times New Roman" w:hAnsi="Times New Roman" w:cs="Times New Roman"/>
                <w:b/>
                <w:bCs/>
                <w:sz w:val="24"/>
                <w:szCs w:val="24"/>
                <w:shd w:val="clear" w:color="auto" w:fill="FFFFFF"/>
              </w:rPr>
            </w:pPr>
            <w:r w:rsidRPr="006742B0">
              <w:rPr>
                <w:rFonts w:ascii="Times New Roman" w:hAnsi="Times New Roman" w:cs="Times New Roman"/>
                <w:b/>
                <w:bCs/>
                <w:sz w:val="24"/>
                <w:szCs w:val="24"/>
                <w:shd w:val="clear" w:color="auto" w:fill="FFFFFF"/>
              </w:rPr>
              <w:t>2019</w:t>
            </w:r>
          </w:p>
        </w:tc>
        <w:tc>
          <w:tcPr>
            <w:tcW w:w="1276" w:type="dxa"/>
          </w:tcPr>
          <w:p w14:paraId="2437BB89" w14:textId="77777777" w:rsidR="00842B62" w:rsidRPr="006742B0" w:rsidRDefault="00842B62" w:rsidP="006B43A4">
            <w:pPr>
              <w:spacing w:line="276" w:lineRule="auto"/>
              <w:jc w:val="both"/>
              <w:rPr>
                <w:rFonts w:ascii="Times New Roman" w:hAnsi="Times New Roman" w:cs="Times New Roman"/>
                <w:b/>
                <w:bCs/>
                <w:sz w:val="24"/>
                <w:szCs w:val="24"/>
                <w:shd w:val="clear" w:color="auto" w:fill="FFFFFF"/>
              </w:rPr>
            </w:pPr>
            <w:r w:rsidRPr="006742B0">
              <w:rPr>
                <w:rFonts w:ascii="Times New Roman" w:hAnsi="Times New Roman" w:cs="Times New Roman"/>
                <w:b/>
                <w:bCs/>
                <w:sz w:val="24"/>
                <w:szCs w:val="24"/>
                <w:shd w:val="clear" w:color="auto" w:fill="FFFFFF"/>
              </w:rPr>
              <w:t>2020</w:t>
            </w:r>
          </w:p>
        </w:tc>
        <w:tc>
          <w:tcPr>
            <w:tcW w:w="1134" w:type="dxa"/>
          </w:tcPr>
          <w:p w14:paraId="09223830" w14:textId="77777777" w:rsidR="00842B62" w:rsidRPr="006742B0" w:rsidRDefault="00842B62" w:rsidP="006B43A4">
            <w:pPr>
              <w:spacing w:line="276" w:lineRule="auto"/>
              <w:jc w:val="both"/>
              <w:rPr>
                <w:rFonts w:ascii="Times New Roman" w:hAnsi="Times New Roman" w:cs="Times New Roman"/>
                <w:b/>
                <w:bCs/>
                <w:sz w:val="24"/>
                <w:szCs w:val="24"/>
                <w:shd w:val="clear" w:color="auto" w:fill="FFFFFF"/>
              </w:rPr>
            </w:pPr>
            <w:r w:rsidRPr="006742B0">
              <w:rPr>
                <w:rFonts w:ascii="Times New Roman" w:hAnsi="Times New Roman" w:cs="Times New Roman"/>
                <w:b/>
                <w:bCs/>
                <w:sz w:val="24"/>
                <w:szCs w:val="24"/>
                <w:shd w:val="clear" w:color="auto" w:fill="FFFFFF"/>
              </w:rPr>
              <w:t>2021</w:t>
            </w:r>
          </w:p>
        </w:tc>
        <w:tc>
          <w:tcPr>
            <w:tcW w:w="1134" w:type="dxa"/>
          </w:tcPr>
          <w:p w14:paraId="00D22C82" w14:textId="77777777" w:rsidR="00842B62" w:rsidRPr="006742B0" w:rsidRDefault="00842B62" w:rsidP="006B43A4">
            <w:pPr>
              <w:spacing w:line="276" w:lineRule="auto"/>
              <w:jc w:val="both"/>
              <w:rPr>
                <w:rFonts w:ascii="Times New Roman" w:hAnsi="Times New Roman" w:cs="Times New Roman"/>
                <w:b/>
                <w:bCs/>
                <w:sz w:val="24"/>
                <w:szCs w:val="24"/>
                <w:shd w:val="clear" w:color="auto" w:fill="FFFFFF"/>
              </w:rPr>
            </w:pPr>
            <w:r w:rsidRPr="006742B0">
              <w:rPr>
                <w:rFonts w:ascii="Times New Roman" w:hAnsi="Times New Roman" w:cs="Times New Roman"/>
                <w:b/>
                <w:bCs/>
                <w:sz w:val="24"/>
                <w:szCs w:val="24"/>
                <w:shd w:val="clear" w:color="auto" w:fill="FFFFFF"/>
              </w:rPr>
              <w:t>2022</w:t>
            </w:r>
          </w:p>
        </w:tc>
        <w:tc>
          <w:tcPr>
            <w:tcW w:w="1134" w:type="dxa"/>
          </w:tcPr>
          <w:p w14:paraId="1A022B01" w14:textId="77777777" w:rsidR="00842B62" w:rsidRPr="006742B0" w:rsidRDefault="00842B62" w:rsidP="006B43A4">
            <w:pPr>
              <w:spacing w:line="276" w:lineRule="auto"/>
              <w:jc w:val="both"/>
              <w:rPr>
                <w:rFonts w:ascii="Times New Roman" w:hAnsi="Times New Roman" w:cs="Times New Roman"/>
                <w:b/>
                <w:bCs/>
                <w:sz w:val="24"/>
                <w:szCs w:val="24"/>
                <w:shd w:val="clear" w:color="auto" w:fill="FFFFFF"/>
              </w:rPr>
            </w:pPr>
            <w:r w:rsidRPr="006742B0">
              <w:rPr>
                <w:rFonts w:ascii="Times New Roman" w:hAnsi="Times New Roman" w:cs="Times New Roman"/>
                <w:b/>
                <w:bCs/>
                <w:sz w:val="24"/>
                <w:szCs w:val="24"/>
                <w:shd w:val="clear" w:color="auto" w:fill="FFFFFF"/>
              </w:rPr>
              <w:t>2023</w:t>
            </w:r>
          </w:p>
        </w:tc>
      </w:tr>
      <w:tr w:rsidR="006B43A4" w:rsidRPr="006742B0" w14:paraId="149B6FFC" w14:textId="77777777" w:rsidTr="00EE2B8B">
        <w:trPr>
          <w:trHeight w:val="353"/>
        </w:trPr>
        <w:tc>
          <w:tcPr>
            <w:tcW w:w="3681" w:type="dxa"/>
          </w:tcPr>
          <w:p w14:paraId="7474AB43" w14:textId="77777777" w:rsidR="00842B62" w:rsidRPr="006742B0" w:rsidRDefault="00842B62" w:rsidP="006B43A4">
            <w:pPr>
              <w:spacing w:line="276" w:lineRule="auto"/>
              <w:jc w:val="both"/>
              <w:rPr>
                <w:rFonts w:ascii="Times New Roman" w:hAnsi="Times New Roman" w:cs="Times New Roman"/>
                <w:b/>
                <w:bCs/>
                <w:sz w:val="24"/>
                <w:szCs w:val="24"/>
                <w:shd w:val="clear" w:color="auto" w:fill="FFFFFF"/>
              </w:rPr>
            </w:pPr>
            <w:r w:rsidRPr="006742B0">
              <w:rPr>
                <w:rFonts w:ascii="Times New Roman" w:hAnsi="Times New Roman" w:cs="Times New Roman"/>
                <w:sz w:val="24"/>
                <w:szCs w:val="24"/>
                <w:shd w:val="clear" w:color="auto" w:fill="FFFFFF"/>
              </w:rPr>
              <w:t>Return on Equity (%)</w:t>
            </w:r>
          </w:p>
        </w:tc>
        <w:tc>
          <w:tcPr>
            <w:tcW w:w="1134" w:type="dxa"/>
          </w:tcPr>
          <w:p w14:paraId="3ADB2E1D"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25.80%</w:t>
            </w:r>
          </w:p>
        </w:tc>
        <w:tc>
          <w:tcPr>
            <w:tcW w:w="1276" w:type="dxa"/>
          </w:tcPr>
          <w:p w14:paraId="0584E348"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23,70%</w:t>
            </w:r>
          </w:p>
        </w:tc>
        <w:tc>
          <w:tcPr>
            <w:tcW w:w="1134" w:type="dxa"/>
          </w:tcPr>
          <w:p w14:paraId="56100557"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31%</w:t>
            </w:r>
          </w:p>
        </w:tc>
        <w:tc>
          <w:tcPr>
            <w:tcW w:w="1134" w:type="dxa"/>
          </w:tcPr>
          <w:p w14:paraId="3FA9BFAF"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29.80%</w:t>
            </w:r>
          </w:p>
        </w:tc>
        <w:tc>
          <w:tcPr>
            <w:tcW w:w="1134" w:type="dxa"/>
          </w:tcPr>
          <w:p w14:paraId="6E2B77AF"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27.10%</w:t>
            </w:r>
          </w:p>
        </w:tc>
      </w:tr>
      <w:tr w:rsidR="006B43A4" w:rsidRPr="006742B0" w14:paraId="7D668FC0" w14:textId="77777777" w:rsidTr="00EE2B8B">
        <w:trPr>
          <w:trHeight w:val="170"/>
        </w:trPr>
        <w:tc>
          <w:tcPr>
            <w:tcW w:w="3681" w:type="dxa"/>
          </w:tcPr>
          <w:p w14:paraId="2A23D051" w14:textId="77777777" w:rsidR="00842B62" w:rsidRPr="006742B0" w:rsidRDefault="00842B62" w:rsidP="006B43A4">
            <w:pPr>
              <w:spacing w:line="276" w:lineRule="auto"/>
              <w:jc w:val="both"/>
              <w:rPr>
                <w:rFonts w:ascii="Times New Roman" w:hAnsi="Times New Roman" w:cs="Times New Roman"/>
                <w:b/>
                <w:bCs/>
                <w:sz w:val="24"/>
                <w:szCs w:val="24"/>
                <w:shd w:val="clear" w:color="auto" w:fill="FFFFFF"/>
              </w:rPr>
            </w:pPr>
            <w:r w:rsidRPr="006742B0">
              <w:rPr>
                <w:rFonts w:ascii="Times New Roman" w:hAnsi="Times New Roman" w:cs="Times New Roman"/>
                <w:sz w:val="24"/>
                <w:szCs w:val="24"/>
                <w:shd w:val="clear" w:color="auto" w:fill="FFFFFF"/>
              </w:rPr>
              <w:t>Current Ratio</w:t>
            </w:r>
          </w:p>
        </w:tc>
        <w:tc>
          <w:tcPr>
            <w:tcW w:w="1134" w:type="dxa"/>
          </w:tcPr>
          <w:p w14:paraId="3AFB8EFD"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1.01</w:t>
            </w:r>
          </w:p>
        </w:tc>
        <w:tc>
          <w:tcPr>
            <w:tcW w:w="1276" w:type="dxa"/>
          </w:tcPr>
          <w:p w14:paraId="5FA95866"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1.13</w:t>
            </w:r>
          </w:p>
        </w:tc>
        <w:tc>
          <w:tcPr>
            <w:tcW w:w="1134" w:type="dxa"/>
          </w:tcPr>
          <w:p w14:paraId="7EB12EBF"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1.00</w:t>
            </w:r>
          </w:p>
        </w:tc>
        <w:tc>
          <w:tcPr>
            <w:tcW w:w="1134" w:type="dxa"/>
          </w:tcPr>
          <w:p w14:paraId="6E5B5297"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1.02</w:t>
            </w:r>
          </w:p>
        </w:tc>
        <w:tc>
          <w:tcPr>
            <w:tcW w:w="1134" w:type="dxa"/>
          </w:tcPr>
          <w:p w14:paraId="407C58C7"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1.07</w:t>
            </w:r>
          </w:p>
        </w:tc>
      </w:tr>
      <w:tr w:rsidR="006B43A4" w:rsidRPr="006742B0" w14:paraId="2326ECED" w14:textId="77777777" w:rsidTr="00EE2B8B">
        <w:trPr>
          <w:trHeight w:val="353"/>
        </w:trPr>
        <w:tc>
          <w:tcPr>
            <w:tcW w:w="3681" w:type="dxa"/>
          </w:tcPr>
          <w:p w14:paraId="62A5A133" w14:textId="77777777" w:rsidR="00842B62" w:rsidRPr="006742B0" w:rsidRDefault="00842B62" w:rsidP="006B43A4">
            <w:pPr>
              <w:spacing w:line="276" w:lineRule="auto"/>
              <w:jc w:val="both"/>
              <w:rPr>
                <w:rFonts w:ascii="Times New Roman" w:hAnsi="Times New Roman" w:cs="Times New Roman"/>
                <w:b/>
                <w:bCs/>
                <w:sz w:val="24"/>
                <w:szCs w:val="24"/>
                <w:shd w:val="clear" w:color="auto" w:fill="FFFFFF"/>
              </w:rPr>
            </w:pPr>
            <w:r w:rsidRPr="006742B0">
              <w:rPr>
                <w:rFonts w:ascii="Times New Roman" w:hAnsi="Times New Roman" w:cs="Times New Roman"/>
                <w:sz w:val="24"/>
                <w:szCs w:val="24"/>
                <w:shd w:val="clear" w:color="auto" w:fill="FFFFFF"/>
              </w:rPr>
              <w:t>Debt-to-Equity Ratio</w:t>
            </w:r>
          </w:p>
        </w:tc>
        <w:tc>
          <w:tcPr>
            <w:tcW w:w="1134" w:type="dxa"/>
          </w:tcPr>
          <w:p w14:paraId="07260376"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0.6</w:t>
            </w:r>
          </w:p>
        </w:tc>
        <w:tc>
          <w:tcPr>
            <w:tcW w:w="1276" w:type="dxa"/>
          </w:tcPr>
          <w:p w14:paraId="585F88DA"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0.51</w:t>
            </w:r>
          </w:p>
        </w:tc>
        <w:tc>
          <w:tcPr>
            <w:tcW w:w="1134" w:type="dxa"/>
          </w:tcPr>
          <w:p w14:paraId="6411FBDE"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0.45</w:t>
            </w:r>
          </w:p>
        </w:tc>
        <w:tc>
          <w:tcPr>
            <w:tcW w:w="1134" w:type="dxa"/>
          </w:tcPr>
          <w:p w14:paraId="20F86A56"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0.56</w:t>
            </w:r>
          </w:p>
        </w:tc>
        <w:tc>
          <w:tcPr>
            <w:tcW w:w="1134" w:type="dxa"/>
          </w:tcPr>
          <w:p w14:paraId="7514344A"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0.58</w:t>
            </w:r>
          </w:p>
        </w:tc>
      </w:tr>
      <w:tr w:rsidR="006B43A4" w:rsidRPr="006742B0" w14:paraId="3524B408" w14:textId="77777777" w:rsidTr="00EE2B8B">
        <w:trPr>
          <w:trHeight w:val="690"/>
        </w:trPr>
        <w:tc>
          <w:tcPr>
            <w:tcW w:w="3681" w:type="dxa"/>
          </w:tcPr>
          <w:p w14:paraId="275C0542"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Return on total assets (%)</w:t>
            </w:r>
          </w:p>
        </w:tc>
        <w:tc>
          <w:tcPr>
            <w:tcW w:w="1134" w:type="dxa"/>
          </w:tcPr>
          <w:p w14:paraId="1042818E"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8.30</w:t>
            </w:r>
          </w:p>
          <w:p w14:paraId="6270F07D"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p>
          <w:p w14:paraId="21C6C554"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p>
        </w:tc>
        <w:tc>
          <w:tcPr>
            <w:tcW w:w="1276" w:type="dxa"/>
          </w:tcPr>
          <w:p w14:paraId="618CD9CA"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7.70</w:t>
            </w:r>
          </w:p>
        </w:tc>
        <w:tc>
          <w:tcPr>
            <w:tcW w:w="1134" w:type="dxa"/>
          </w:tcPr>
          <w:p w14:paraId="738C1603"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8.60</w:t>
            </w:r>
          </w:p>
        </w:tc>
        <w:tc>
          <w:tcPr>
            <w:tcW w:w="1134" w:type="dxa"/>
          </w:tcPr>
          <w:p w14:paraId="6035660D"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9.20</w:t>
            </w:r>
          </w:p>
        </w:tc>
        <w:tc>
          <w:tcPr>
            <w:tcW w:w="1134" w:type="dxa"/>
          </w:tcPr>
          <w:p w14:paraId="7B98EF63"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9.40</w:t>
            </w:r>
          </w:p>
        </w:tc>
      </w:tr>
      <w:tr w:rsidR="006B43A4" w:rsidRPr="006742B0" w14:paraId="028744CA" w14:textId="77777777" w:rsidTr="00EE2B8B">
        <w:trPr>
          <w:trHeight w:val="353"/>
        </w:trPr>
        <w:tc>
          <w:tcPr>
            <w:tcW w:w="3681" w:type="dxa"/>
          </w:tcPr>
          <w:p w14:paraId="5C1B758A"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rPr>
              <w:t>EBIT margin (%)</w:t>
            </w:r>
          </w:p>
        </w:tc>
        <w:tc>
          <w:tcPr>
            <w:tcW w:w="1134" w:type="dxa"/>
          </w:tcPr>
          <w:p w14:paraId="247918C9"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26.08</w:t>
            </w:r>
          </w:p>
        </w:tc>
        <w:tc>
          <w:tcPr>
            <w:tcW w:w="1276" w:type="dxa"/>
          </w:tcPr>
          <w:p w14:paraId="54B88ED7"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27.55</w:t>
            </w:r>
          </w:p>
        </w:tc>
        <w:tc>
          <w:tcPr>
            <w:tcW w:w="1134" w:type="dxa"/>
          </w:tcPr>
          <w:p w14:paraId="474CB44F"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29.07</w:t>
            </w:r>
          </w:p>
        </w:tc>
        <w:tc>
          <w:tcPr>
            <w:tcW w:w="1134" w:type="dxa"/>
          </w:tcPr>
          <w:p w14:paraId="64AE0B3F"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29.46</w:t>
            </w:r>
          </w:p>
        </w:tc>
        <w:tc>
          <w:tcPr>
            <w:tcW w:w="1134" w:type="dxa"/>
          </w:tcPr>
          <w:p w14:paraId="03F253D8"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27.16</w:t>
            </w:r>
          </w:p>
        </w:tc>
      </w:tr>
      <w:tr w:rsidR="006B43A4" w:rsidRPr="006742B0" w14:paraId="4E75D797" w14:textId="77777777" w:rsidTr="00EE2B8B">
        <w:trPr>
          <w:trHeight w:val="353"/>
        </w:trPr>
        <w:tc>
          <w:tcPr>
            <w:tcW w:w="3681" w:type="dxa"/>
          </w:tcPr>
          <w:p w14:paraId="1A669928" w14:textId="77777777" w:rsidR="00842B62" w:rsidRPr="006742B0" w:rsidRDefault="00842B62" w:rsidP="006B43A4">
            <w:pPr>
              <w:spacing w:line="276" w:lineRule="auto"/>
              <w:jc w:val="both"/>
              <w:rPr>
                <w:rFonts w:ascii="Times New Roman" w:hAnsi="Times New Roman" w:cs="Times New Roman"/>
                <w:sz w:val="24"/>
                <w:szCs w:val="24"/>
              </w:rPr>
            </w:pPr>
            <w:r w:rsidRPr="006742B0">
              <w:rPr>
                <w:rFonts w:ascii="Times New Roman" w:hAnsi="Times New Roman" w:cs="Times New Roman"/>
                <w:sz w:val="24"/>
                <w:szCs w:val="24"/>
              </w:rPr>
              <w:t>EBITDA margin (%)</w:t>
            </w:r>
          </w:p>
        </w:tc>
        <w:tc>
          <w:tcPr>
            <w:tcW w:w="1134" w:type="dxa"/>
          </w:tcPr>
          <w:p w14:paraId="6D0E479B"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1.07</w:t>
            </w:r>
          </w:p>
        </w:tc>
        <w:tc>
          <w:tcPr>
            <w:tcW w:w="1276" w:type="dxa"/>
          </w:tcPr>
          <w:p w14:paraId="57DDFF5E"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1.39</w:t>
            </w:r>
          </w:p>
        </w:tc>
        <w:tc>
          <w:tcPr>
            <w:tcW w:w="1134" w:type="dxa"/>
          </w:tcPr>
          <w:p w14:paraId="7A9A8EF0"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1.15</w:t>
            </w:r>
          </w:p>
        </w:tc>
        <w:tc>
          <w:tcPr>
            <w:tcW w:w="1134" w:type="dxa"/>
          </w:tcPr>
          <w:p w14:paraId="166A8C92"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0.89</w:t>
            </w:r>
          </w:p>
        </w:tc>
        <w:tc>
          <w:tcPr>
            <w:tcW w:w="1134" w:type="dxa"/>
          </w:tcPr>
          <w:p w14:paraId="109F686D"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0.80</w:t>
            </w:r>
          </w:p>
        </w:tc>
      </w:tr>
      <w:tr w:rsidR="006B43A4" w:rsidRPr="006742B0" w14:paraId="3BF2F546" w14:textId="77777777" w:rsidTr="00EE2B8B">
        <w:trPr>
          <w:trHeight w:val="530"/>
        </w:trPr>
        <w:tc>
          <w:tcPr>
            <w:tcW w:w="3681" w:type="dxa"/>
          </w:tcPr>
          <w:p w14:paraId="19DCAC53" w14:textId="77777777" w:rsidR="00842B62" w:rsidRPr="006742B0" w:rsidRDefault="00842B62" w:rsidP="006B43A4">
            <w:pPr>
              <w:spacing w:line="276" w:lineRule="auto"/>
              <w:jc w:val="both"/>
              <w:rPr>
                <w:rFonts w:ascii="Times New Roman" w:hAnsi="Times New Roman" w:cs="Times New Roman"/>
                <w:sz w:val="24"/>
                <w:szCs w:val="24"/>
              </w:rPr>
            </w:pPr>
            <w:r w:rsidRPr="006742B0">
              <w:rPr>
                <w:rFonts w:ascii="Times New Roman" w:hAnsi="Times New Roman" w:cs="Times New Roman"/>
                <w:sz w:val="24"/>
                <w:szCs w:val="24"/>
              </w:rPr>
              <w:t>Return on Shareholders’ funds (%)</w:t>
            </w:r>
          </w:p>
        </w:tc>
        <w:tc>
          <w:tcPr>
            <w:tcW w:w="1134" w:type="dxa"/>
          </w:tcPr>
          <w:p w14:paraId="41CBB848"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0,55</w:t>
            </w:r>
          </w:p>
        </w:tc>
        <w:tc>
          <w:tcPr>
            <w:tcW w:w="1276" w:type="dxa"/>
          </w:tcPr>
          <w:p w14:paraId="3F696A9D"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0.58</w:t>
            </w:r>
          </w:p>
        </w:tc>
        <w:tc>
          <w:tcPr>
            <w:tcW w:w="1134" w:type="dxa"/>
          </w:tcPr>
          <w:p w14:paraId="4A2BD550"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2.80</w:t>
            </w:r>
          </w:p>
        </w:tc>
        <w:tc>
          <w:tcPr>
            <w:tcW w:w="1134" w:type="dxa"/>
          </w:tcPr>
          <w:p w14:paraId="0EA33475"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0.51</w:t>
            </w:r>
          </w:p>
        </w:tc>
        <w:tc>
          <w:tcPr>
            <w:tcW w:w="1134" w:type="dxa"/>
          </w:tcPr>
          <w:p w14:paraId="2620308A"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0.77</w:t>
            </w:r>
          </w:p>
        </w:tc>
      </w:tr>
      <w:tr w:rsidR="006B43A4" w:rsidRPr="006742B0" w14:paraId="1550E1F9" w14:textId="77777777" w:rsidTr="00EE2B8B">
        <w:trPr>
          <w:trHeight w:val="353"/>
        </w:trPr>
        <w:tc>
          <w:tcPr>
            <w:tcW w:w="3681" w:type="dxa"/>
          </w:tcPr>
          <w:p w14:paraId="72B861C8" w14:textId="77777777" w:rsidR="00842B62" w:rsidRPr="006742B0" w:rsidRDefault="00842B62" w:rsidP="006B43A4">
            <w:pPr>
              <w:spacing w:line="276" w:lineRule="auto"/>
              <w:jc w:val="both"/>
              <w:rPr>
                <w:rFonts w:ascii="Times New Roman" w:hAnsi="Times New Roman" w:cs="Times New Roman"/>
                <w:sz w:val="24"/>
                <w:szCs w:val="24"/>
              </w:rPr>
            </w:pPr>
            <w:r w:rsidRPr="006742B0">
              <w:rPr>
                <w:rFonts w:ascii="Times New Roman" w:hAnsi="Times New Roman" w:cs="Times New Roman"/>
                <w:sz w:val="24"/>
                <w:szCs w:val="24"/>
              </w:rPr>
              <w:t>Profit Margin (%)</w:t>
            </w:r>
          </w:p>
        </w:tc>
        <w:tc>
          <w:tcPr>
            <w:tcW w:w="1134" w:type="dxa"/>
          </w:tcPr>
          <w:p w14:paraId="268C3051"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2.40</w:t>
            </w:r>
          </w:p>
        </w:tc>
        <w:tc>
          <w:tcPr>
            <w:tcW w:w="1276" w:type="dxa"/>
          </w:tcPr>
          <w:p w14:paraId="6B26543D"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2.40</w:t>
            </w:r>
          </w:p>
        </w:tc>
        <w:tc>
          <w:tcPr>
            <w:tcW w:w="1134" w:type="dxa"/>
          </w:tcPr>
          <w:p w14:paraId="387A8692"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2.56</w:t>
            </w:r>
          </w:p>
        </w:tc>
        <w:tc>
          <w:tcPr>
            <w:tcW w:w="1134" w:type="dxa"/>
          </w:tcPr>
          <w:p w14:paraId="4F8963C8"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2.57</w:t>
            </w:r>
          </w:p>
        </w:tc>
        <w:tc>
          <w:tcPr>
            <w:tcW w:w="1134" w:type="dxa"/>
          </w:tcPr>
          <w:p w14:paraId="64C5DA34"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2.60</w:t>
            </w:r>
          </w:p>
        </w:tc>
      </w:tr>
      <w:tr w:rsidR="00842B62" w:rsidRPr="006742B0" w14:paraId="5784D236" w14:textId="77777777" w:rsidTr="00EE2B8B">
        <w:trPr>
          <w:trHeight w:val="346"/>
        </w:trPr>
        <w:tc>
          <w:tcPr>
            <w:tcW w:w="3681" w:type="dxa"/>
          </w:tcPr>
          <w:p w14:paraId="5AF9C235" w14:textId="77777777" w:rsidR="00842B62" w:rsidRPr="006742B0" w:rsidRDefault="00842B62" w:rsidP="006B43A4">
            <w:pPr>
              <w:spacing w:line="276" w:lineRule="auto"/>
              <w:jc w:val="both"/>
              <w:rPr>
                <w:rFonts w:ascii="Times New Roman" w:hAnsi="Times New Roman" w:cs="Times New Roman"/>
                <w:sz w:val="24"/>
                <w:szCs w:val="24"/>
              </w:rPr>
            </w:pPr>
            <w:r w:rsidRPr="006742B0">
              <w:rPr>
                <w:rFonts w:ascii="Times New Roman" w:hAnsi="Times New Roman" w:cs="Times New Roman"/>
                <w:sz w:val="24"/>
                <w:szCs w:val="24"/>
              </w:rPr>
              <w:t>Gross margin (%)</w:t>
            </w:r>
          </w:p>
        </w:tc>
        <w:tc>
          <w:tcPr>
            <w:tcW w:w="1134" w:type="dxa"/>
          </w:tcPr>
          <w:p w14:paraId="3A9C404C"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12.98</w:t>
            </w:r>
          </w:p>
        </w:tc>
        <w:tc>
          <w:tcPr>
            <w:tcW w:w="1276" w:type="dxa"/>
          </w:tcPr>
          <w:p w14:paraId="175B83AC"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13.09</w:t>
            </w:r>
          </w:p>
        </w:tc>
        <w:tc>
          <w:tcPr>
            <w:tcW w:w="1134" w:type="dxa"/>
          </w:tcPr>
          <w:p w14:paraId="2CD70BB7"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12.88</w:t>
            </w:r>
          </w:p>
        </w:tc>
        <w:tc>
          <w:tcPr>
            <w:tcW w:w="1134" w:type="dxa"/>
          </w:tcPr>
          <w:p w14:paraId="50E94817"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12.15</w:t>
            </w:r>
          </w:p>
        </w:tc>
        <w:tc>
          <w:tcPr>
            <w:tcW w:w="1134" w:type="dxa"/>
          </w:tcPr>
          <w:p w14:paraId="207F87AE"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12.26</w:t>
            </w:r>
          </w:p>
        </w:tc>
      </w:tr>
    </w:tbl>
    <w:p w14:paraId="1D813DB5"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p>
    <w:p w14:paraId="0229054D" w14:textId="5CAD2244" w:rsidR="00842B62" w:rsidRPr="006742B0" w:rsidRDefault="00842B62" w:rsidP="006B43A4">
      <w:pPr>
        <w:spacing w:line="276" w:lineRule="auto"/>
        <w:jc w:val="both"/>
        <w:rPr>
          <w:rFonts w:ascii="Times New Roman" w:eastAsia="Times New Roman" w:hAnsi="Times New Roman" w:cs="Times New Roman"/>
          <w:kern w:val="0"/>
          <w:sz w:val="24"/>
          <w:szCs w:val="24"/>
          <w:lang w:val="en-GB" w:eastAsia="en-GB"/>
          <w14:ligatures w14:val="none"/>
        </w:rPr>
      </w:pPr>
      <w:r w:rsidRPr="006742B0">
        <w:rPr>
          <w:rFonts w:ascii="Times New Roman" w:hAnsi="Times New Roman" w:cs="Times New Roman"/>
          <w:sz w:val="24"/>
          <w:szCs w:val="24"/>
          <w:shd w:val="clear" w:color="auto" w:fill="FFFFFF"/>
        </w:rPr>
        <w:t xml:space="preserve">Costco Wholesale Corporation's financial performance over the past five years reflects a commendable trajectory, characterized by steady growth and effective management strategies. </w:t>
      </w:r>
      <w:r w:rsidR="002D2D4F" w:rsidRPr="006742B0">
        <w:rPr>
          <w:rFonts w:ascii="Times New Roman" w:eastAsia="Times New Roman" w:hAnsi="Times New Roman" w:cs="Times New Roman"/>
          <w:kern w:val="0"/>
          <w:sz w:val="24"/>
          <w:szCs w:val="24"/>
          <w:lang w:val="en-GB" w:eastAsia="en-GB"/>
          <w14:ligatures w14:val="none"/>
        </w:rPr>
        <w:lastRenderedPageBreak/>
        <w:t xml:space="preserve">The percentage of net income returned as equity to shareholders' investments is known as return on equity (ROE), and it serves as a gauge of a company's performance as it shows how well it uses shareholder equity to create profits </w:t>
      </w:r>
      <w:r w:rsidRPr="006742B0">
        <w:rPr>
          <w:rFonts w:ascii="Times New Roman" w:hAnsi="Times New Roman" w:cs="Times New Roman"/>
          <w:sz w:val="24"/>
          <w:szCs w:val="24"/>
          <w:shd w:val="clear" w:color="auto" w:fill="FFFFFF"/>
        </w:rPr>
        <w:t>(Supriono, S., 2022). The company's Return on Equity (ROE) has displayed a positive trend, indicating its ability to generate profits from shareholders' equity. Despite slight fluctuations, Costco consistently delivered impressive returns to its shareholders, with ROE peaking at 31% in 2021 and slightly decreasing to 27.10% in 2023.</w:t>
      </w:r>
      <w:r w:rsidRPr="006742B0">
        <w:rPr>
          <w:rFonts w:ascii="Times New Roman" w:hAnsi="Times New Roman" w:cs="Times New Roman"/>
          <w:sz w:val="24"/>
          <w:szCs w:val="24"/>
        </w:rPr>
        <w:t xml:space="preserve"> </w:t>
      </w:r>
      <w:r w:rsidRPr="006742B0">
        <w:rPr>
          <w:rFonts w:ascii="Times New Roman" w:hAnsi="Times New Roman" w:cs="Times New Roman"/>
          <w:sz w:val="24"/>
          <w:szCs w:val="24"/>
          <w:shd w:val="clear" w:color="auto" w:fill="FFFFFF"/>
        </w:rPr>
        <w:t xml:space="preserve">Additionally, Costco's Current Ratio, a measure of liquidity, has remained relatively stable over the years, ranging from 1.00 to 1.13. </w:t>
      </w:r>
      <w:r w:rsidR="00C056A8" w:rsidRPr="00C056A8">
        <w:rPr>
          <w:rFonts w:ascii="Times New Roman" w:hAnsi="Times New Roman" w:cs="Times New Roman"/>
          <w:sz w:val="24"/>
          <w:szCs w:val="24"/>
          <w:shd w:val="clear" w:color="auto" w:fill="FFFFFF"/>
        </w:rPr>
        <w:t xml:space="preserve">Costco’s stability is evident through its adept management of current assets and liabilities. This prudent approach ensures the company’s readiness to </w:t>
      </w:r>
      <w:proofErr w:type="spellStart"/>
      <w:r w:rsidR="00C056A8" w:rsidRPr="00C056A8">
        <w:rPr>
          <w:rFonts w:ascii="Times New Roman" w:hAnsi="Times New Roman" w:cs="Times New Roman"/>
          <w:sz w:val="24"/>
          <w:szCs w:val="24"/>
          <w:shd w:val="clear" w:color="auto" w:fill="FFFFFF"/>
        </w:rPr>
        <w:t>fulfill</w:t>
      </w:r>
      <w:proofErr w:type="spellEnd"/>
      <w:r w:rsidR="00C056A8" w:rsidRPr="00C056A8">
        <w:rPr>
          <w:rFonts w:ascii="Times New Roman" w:hAnsi="Times New Roman" w:cs="Times New Roman"/>
          <w:sz w:val="24"/>
          <w:szCs w:val="24"/>
          <w:shd w:val="clear" w:color="auto" w:fill="FFFFFF"/>
        </w:rPr>
        <w:t xml:space="preserve"> short-term obligations promptly</w:t>
      </w:r>
      <w:r w:rsidRPr="006742B0">
        <w:rPr>
          <w:rFonts w:ascii="Times New Roman" w:hAnsi="Times New Roman" w:cs="Times New Roman"/>
          <w:sz w:val="24"/>
          <w:szCs w:val="24"/>
          <w:shd w:val="clear" w:color="auto" w:fill="FFFFFF"/>
        </w:rPr>
        <w:t>.</w:t>
      </w:r>
    </w:p>
    <w:p w14:paraId="7ABD0574" w14:textId="7FC5D4EC" w:rsidR="00842B62" w:rsidRPr="006742B0" w:rsidRDefault="00842B62" w:rsidP="006B43A4">
      <w:pPr>
        <w:spacing w:line="276" w:lineRule="auto"/>
        <w:jc w:val="both"/>
        <w:rPr>
          <w:rFonts w:ascii="Times New Roman" w:eastAsia="Times New Roman" w:hAnsi="Times New Roman" w:cs="Times New Roman"/>
          <w:kern w:val="0"/>
          <w:sz w:val="24"/>
          <w:szCs w:val="24"/>
          <w:lang w:val="en-GB" w:eastAsia="en-GB"/>
          <w14:ligatures w14:val="none"/>
        </w:rPr>
      </w:pPr>
      <w:r w:rsidRPr="006742B0">
        <w:rPr>
          <w:rFonts w:ascii="Times New Roman" w:hAnsi="Times New Roman" w:cs="Times New Roman"/>
          <w:sz w:val="24"/>
          <w:szCs w:val="24"/>
          <w:shd w:val="clear" w:color="auto" w:fill="FFFFFF"/>
        </w:rPr>
        <w:t xml:space="preserve">Moreover, Costco's Debt-to-Equity Ratio, while experiencing some fluctuations, has generally remained within a reasonable range, indicating prudent financial management. Despite a slight increase in 2023, Costco has maintained a conservative level of debt relative to its equity, ensuring financial stability and minimizing risk. Furthermore, Costco's Return on Total Assets has shown an upward trend, reaching 9.40% in 2023. </w:t>
      </w:r>
      <w:r w:rsidR="009D5812" w:rsidRPr="006742B0">
        <w:rPr>
          <w:rFonts w:ascii="Times New Roman" w:eastAsia="Times New Roman" w:hAnsi="Times New Roman" w:cs="Times New Roman"/>
          <w:kern w:val="0"/>
          <w:sz w:val="24"/>
          <w:szCs w:val="24"/>
          <w:lang w:val="en-GB" w:eastAsia="en-GB"/>
          <w14:ligatures w14:val="none"/>
        </w:rPr>
        <w:t xml:space="preserve">This pattern demonstrates Costco's ability to turn a profit from its assets through effective asset management and utilization strategies. Costco has shown consistency in terms of profitability margins over the years, with steady profit and gross margins. </w:t>
      </w:r>
      <w:r w:rsidRPr="006742B0">
        <w:rPr>
          <w:rFonts w:ascii="Times New Roman" w:hAnsi="Times New Roman" w:cs="Times New Roman"/>
          <w:sz w:val="24"/>
          <w:szCs w:val="24"/>
          <w:shd w:val="clear" w:color="auto" w:fill="FFFFFF"/>
        </w:rPr>
        <w:t xml:space="preserve">This stability underscores Costco's ability to maintain profitability despite changes in market conditions, highlighting its resilience and effective management. </w:t>
      </w:r>
      <w:r w:rsidR="006D654F" w:rsidRPr="006742B0">
        <w:rPr>
          <w:rFonts w:ascii="Times New Roman" w:eastAsia="Times New Roman" w:hAnsi="Times New Roman" w:cs="Times New Roman"/>
          <w:kern w:val="0"/>
          <w:sz w:val="24"/>
          <w:szCs w:val="24"/>
          <w:lang w:val="en-GB" w:eastAsia="en-GB"/>
          <w14:ligatures w14:val="none"/>
        </w:rPr>
        <w:t xml:space="preserve">Despite occasional volatility, Costco's EBIT and EBITDA margins continue to be strong, demonstrating the company's capacity to produce earnings before interest, taxes, depreciation, and amortization. </w:t>
      </w:r>
      <w:r w:rsidRPr="006742B0">
        <w:rPr>
          <w:rFonts w:ascii="Times New Roman" w:hAnsi="Times New Roman" w:cs="Times New Roman"/>
          <w:sz w:val="24"/>
          <w:szCs w:val="24"/>
          <w:shd w:val="clear" w:color="auto" w:fill="FFFFFF"/>
        </w:rPr>
        <w:t>These fluctuations may be attributed to various factors, including changes in operating expenses and revenue streams (Rahman, 2020).</w:t>
      </w:r>
    </w:p>
    <w:p w14:paraId="408732F9"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Overall, Costco's financial performance reflects resilience and effective management in navigating challenges and capitalizing on opportunities in the retail industry. The company's solid financial position and consistent growth underscore its position as a leading player in the retail industry (Rahman, 2020). Looking ahead, Costco can further enhance its performance by focusing on optimizing operational efficiency, exploring growth opportunities in emerging markets, and leveraging technology to enhance the customer experience and drive sales. With its strong foundation and promising outlook, Costco is well-positioned for continued success in the future (Rahman, 2020).</w:t>
      </w:r>
    </w:p>
    <w:p w14:paraId="1DBB405E" w14:textId="2A8B9828" w:rsidR="00842B62" w:rsidRPr="00B51C2C" w:rsidRDefault="00311BF1" w:rsidP="006B43A4">
      <w:pPr>
        <w:pStyle w:val="Heading2"/>
        <w:spacing w:line="276" w:lineRule="auto"/>
        <w:jc w:val="both"/>
        <w:rPr>
          <w:rFonts w:ascii="Times New Roman" w:hAnsi="Times New Roman" w:cs="Times New Roman"/>
          <w:b/>
          <w:bCs/>
          <w:color w:val="auto"/>
          <w:sz w:val="24"/>
          <w:szCs w:val="24"/>
          <w:shd w:val="clear" w:color="auto" w:fill="FFFFFF"/>
        </w:rPr>
      </w:pPr>
      <w:bookmarkStart w:id="12" w:name="_Toc164812042"/>
      <w:r w:rsidRPr="00B51C2C">
        <w:rPr>
          <w:rFonts w:ascii="Times New Roman" w:hAnsi="Times New Roman" w:cs="Times New Roman"/>
          <w:b/>
          <w:bCs/>
          <w:color w:val="auto"/>
          <w:sz w:val="24"/>
          <w:szCs w:val="24"/>
          <w:shd w:val="clear" w:color="auto" w:fill="FFFFFF"/>
        </w:rPr>
        <w:t xml:space="preserve">2.2 </w:t>
      </w:r>
      <w:r w:rsidR="00842B62" w:rsidRPr="00B51C2C">
        <w:rPr>
          <w:rFonts w:ascii="Times New Roman" w:hAnsi="Times New Roman" w:cs="Times New Roman"/>
          <w:b/>
          <w:bCs/>
          <w:color w:val="auto"/>
          <w:sz w:val="24"/>
          <w:szCs w:val="24"/>
          <w:shd w:val="clear" w:color="auto" w:fill="FFFFFF"/>
        </w:rPr>
        <w:t>LIQUIDITY RATIO</w:t>
      </w:r>
      <w:bookmarkEnd w:id="12"/>
    </w:p>
    <w:p w14:paraId="523BA74E" w14:textId="7CDEC8C1" w:rsidR="008834B5" w:rsidRDefault="00124921" w:rsidP="003F2B0C">
      <w:pPr>
        <w:spacing w:after="0" w:line="276" w:lineRule="auto"/>
        <w:jc w:val="both"/>
        <w:rPr>
          <w:rFonts w:ascii="Times New Roman" w:eastAsia="Times New Roman" w:hAnsi="Times New Roman" w:cs="Times New Roman"/>
          <w:kern w:val="0"/>
          <w:sz w:val="24"/>
          <w:szCs w:val="24"/>
          <w:lang w:val="en-GB" w:eastAsia="en-GB"/>
          <w14:ligatures w14:val="none"/>
        </w:rPr>
      </w:pPr>
      <w:r w:rsidRPr="006742B0">
        <w:rPr>
          <w:rFonts w:ascii="Times New Roman" w:eastAsia="Times New Roman" w:hAnsi="Times New Roman" w:cs="Times New Roman"/>
          <w:kern w:val="0"/>
          <w:sz w:val="24"/>
          <w:szCs w:val="24"/>
          <w:lang w:val="en-GB" w:eastAsia="en-GB"/>
          <w14:ligatures w14:val="none"/>
        </w:rPr>
        <w:t>The current ratio, liquidity ratio, asset cover, and other liquidity ratios offer crucial information about a company's capacity to satisfy short-term financial obligations and efficiently manage its financial resources</w:t>
      </w:r>
      <w:r w:rsidR="00EF084E" w:rsidRPr="006742B0">
        <w:rPr>
          <w:rFonts w:ascii="Times New Roman" w:eastAsia="Times New Roman" w:hAnsi="Times New Roman" w:cs="Times New Roman"/>
          <w:kern w:val="0"/>
          <w:sz w:val="24"/>
          <w:szCs w:val="24"/>
          <w:lang w:val="en-GB" w:eastAsia="en-GB"/>
          <w14:ligatures w14:val="none"/>
        </w:rPr>
        <w:t>. Let's examine each of these ratios and how they relate to the financial success of Costco Wholesale Corporation throughout time.</w:t>
      </w:r>
      <w:bookmarkStart w:id="13" w:name="_Toc164168828"/>
      <w:bookmarkStart w:id="14" w:name="_Toc164780716"/>
      <w:bookmarkStart w:id="15" w:name="_Toc164801374"/>
      <w:bookmarkStart w:id="16" w:name="_Toc164802619"/>
    </w:p>
    <w:p w14:paraId="6BB89E28" w14:textId="77777777" w:rsidR="003F2B0C" w:rsidRPr="003F2B0C" w:rsidRDefault="003F2B0C" w:rsidP="003F2B0C">
      <w:pPr>
        <w:spacing w:after="0" w:line="276" w:lineRule="auto"/>
        <w:jc w:val="both"/>
        <w:rPr>
          <w:rFonts w:ascii="Times New Roman" w:eastAsia="Times New Roman" w:hAnsi="Times New Roman" w:cs="Times New Roman"/>
          <w:kern w:val="0"/>
          <w:sz w:val="24"/>
          <w:szCs w:val="24"/>
          <w:lang w:val="en-GB" w:eastAsia="en-GB"/>
          <w14:ligatures w14:val="none"/>
        </w:rPr>
      </w:pPr>
    </w:p>
    <w:p w14:paraId="46F6D370" w14:textId="77777777" w:rsidR="00101A35" w:rsidRDefault="00101A35">
      <w:pPr>
        <w:rPr>
          <w:rFonts w:ascii="Times New Roman" w:hAnsi="Times New Roman" w:cs="Times New Roman"/>
          <w:b/>
          <w:bCs/>
          <w:sz w:val="24"/>
          <w:szCs w:val="24"/>
          <w:shd w:val="clear" w:color="auto" w:fill="FFFFFF"/>
        </w:rPr>
      </w:pPr>
      <w:r>
        <w:rPr>
          <w:rFonts w:ascii="Times New Roman" w:hAnsi="Times New Roman" w:cs="Times New Roman"/>
          <w:b/>
          <w:bCs/>
          <w:sz w:val="24"/>
          <w:szCs w:val="24"/>
          <w:shd w:val="clear" w:color="auto" w:fill="FFFFFF"/>
        </w:rPr>
        <w:br w:type="page"/>
      </w:r>
    </w:p>
    <w:p w14:paraId="318EEC98" w14:textId="14777CAE" w:rsidR="00842B62" w:rsidRPr="008834B5" w:rsidRDefault="00E17544" w:rsidP="008834B5">
      <w:pPr>
        <w:jc w:val="center"/>
        <w:rPr>
          <w:rFonts w:ascii="Times New Roman" w:hAnsi="Times New Roman" w:cs="Times New Roman"/>
          <w:b/>
          <w:bCs/>
          <w:sz w:val="24"/>
          <w:szCs w:val="24"/>
          <w:shd w:val="clear" w:color="auto" w:fill="FFFFFF"/>
        </w:rPr>
      </w:pPr>
      <w:r w:rsidRPr="008834B5">
        <w:rPr>
          <w:rFonts w:ascii="Times New Roman" w:hAnsi="Times New Roman" w:cs="Times New Roman"/>
          <w:b/>
          <w:bCs/>
          <w:sz w:val="24"/>
          <w:szCs w:val="24"/>
          <w:shd w:val="clear" w:color="auto" w:fill="FFFFFF"/>
        </w:rPr>
        <w:lastRenderedPageBreak/>
        <w:t>TABLE 2</w:t>
      </w:r>
      <w:bookmarkEnd w:id="13"/>
      <w:r w:rsidR="006B6376" w:rsidRPr="008834B5">
        <w:rPr>
          <w:rFonts w:ascii="Times New Roman" w:hAnsi="Times New Roman" w:cs="Times New Roman"/>
          <w:b/>
          <w:bCs/>
          <w:sz w:val="24"/>
          <w:szCs w:val="24"/>
          <w:shd w:val="clear" w:color="auto" w:fill="FFFFFF"/>
        </w:rPr>
        <w:t>: Costco Liquidity Ratio</w:t>
      </w:r>
      <w:bookmarkEnd w:id="14"/>
      <w:bookmarkEnd w:id="15"/>
      <w:bookmarkEnd w:id="16"/>
    </w:p>
    <w:tbl>
      <w:tblPr>
        <w:tblW w:w="3409" w:type="pct"/>
        <w:jc w:val="center"/>
        <w:tblBorders>
          <w:top w:val="single" w:sz="6" w:space="0" w:color="9F9F9F"/>
          <w:left w:val="single" w:sz="6" w:space="0" w:color="9F9F9F"/>
          <w:bottom w:val="single" w:sz="6" w:space="0" w:color="9F9F9F"/>
          <w:right w:val="single" w:sz="6" w:space="0" w:color="9F9F9F"/>
          <w:insideH w:val="single" w:sz="6" w:space="0" w:color="9F9F9F"/>
          <w:insideV w:val="single" w:sz="6" w:space="0" w:color="9F9F9F"/>
        </w:tblBorders>
        <w:tblCellMar>
          <w:left w:w="0" w:type="dxa"/>
          <w:right w:w="0" w:type="dxa"/>
        </w:tblCellMar>
        <w:tblLook w:val="04A0" w:firstRow="1" w:lastRow="0" w:firstColumn="1" w:lastColumn="0" w:noHBand="0" w:noVBand="1"/>
      </w:tblPr>
      <w:tblGrid>
        <w:gridCol w:w="2188"/>
        <w:gridCol w:w="829"/>
        <w:gridCol w:w="829"/>
        <w:gridCol w:w="832"/>
        <w:gridCol w:w="832"/>
        <w:gridCol w:w="637"/>
      </w:tblGrid>
      <w:tr w:rsidR="006B43A4" w:rsidRPr="006742B0" w14:paraId="527051D5" w14:textId="77777777" w:rsidTr="00EE2B8B">
        <w:trPr>
          <w:trHeight w:val="517"/>
          <w:jc w:val="center"/>
        </w:trPr>
        <w:tc>
          <w:tcPr>
            <w:tcW w:w="1780" w:type="pct"/>
            <w:tcBorders>
              <w:top w:val="single" w:sz="6" w:space="0" w:color="9F9F9F"/>
              <w:left w:val="single" w:sz="4" w:space="0" w:color="9F9F9F"/>
              <w:bottom w:val="single" w:sz="6" w:space="0" w:color="9F9F9F"/>
              <w:right w:val="single" w:sz="4" w:space="0" w:color="9F9F9F"/>
            </w:tcBorders>
            <w:hideMark/>
          </w:tcPr>
          <w:p w14:paraId="53174A40" w14:textId="77777777" w:rsidR="00842B62" w:rsidRPr="006742B0" w:rsidRDefault="00842B62" w:rsidP="006B43A4">
            <w:pPr>
              <w:pStyle w:val="TableParagraph"/>
              <w:spacing w:line="276" w:lineRule="auto"/>
              <w:ind w:left="108"/>
              <w:jc w:val="both"/>
              <w:rPr>
                <w:b/>
                <w:bCs/>
                <w:sz w:val="24"/>
                <w:szCs w:val="24"/>
              </w:rPr>
            </w:pPr>
            <w:r w:rsidRPr="006742B0">
              <w:rPr>
                <w:b/>
                <w:bCs/>
                <w:sz w:val="24"/>
                <w:szCs w:val="24"/>
              </w:rPr>
              <w:t>Year</w:t>
            </w:r>
          </w:p>
        </w:tc>
        <w:tc>
          <w:tcPr>
            <w:tcW w:w="674" w:type="pct"/>
            <w:tcBorders>
              <w:top w:val="single" w:sz="6" w:space="0" w:color="9F9F9F"/>
              <w:left w:val="single" w:sz="4" w:space="0" w:color="9F9F9F"/>
              <w:bottom w:val="single" w:sz="6" w:space="0" w:color="9F9F9F"/>
              <w:right w:val="single" w:sz="4" w:space="0" w:color="9F9F9F"/>
            </w:tcBorders>
            <w:hideMark/>
          </w:tcPr>
          <w:p w14:paraId="3F885A95" w14:textId="77777777" w:rsidR="00842B62" w:rsidRPr="006742B0" w:rsidRDefault="00842B62" w:rsidP="006B43A4">
            <w:pPr>
              <w:pStyle w:val="TableParagraph"/>
              <w:spacing w:line="276" w:lineRule="auto"/>
              <w:ind w:right="94"/>
              <w:jc w:val="both"/>
              <w:rPr>
                <w:b/>
                <w:bCs/>
                <w:sz w:val="24"/>
                <w:szCs w:val="24"/>
              </w:rPr>
            </w:pPr>
            <w:r w:rsidRPr="006742B0">
              <w:rPr>
                <w:b/>
                <w:bCs/>
                <w:sz w:val="24"/>
                <w:szCs w:val="24"/>
              </w:rPr>
              <w:t>2019</w:t>
            </w:r>
          </w:p>
        </w:tc>
        <w:tc>
          <w:tcPr>
            <w:tcW w:w="674" w:type="pct"/>
            <w:tcBorders>
              <w:top w:val="single" w:sz="6" w:space="0" w:color="9F9F9F"/>
              <w:left w:val="single" w:sz="4" w:space="0" w:color="9F9F9F"/>
              <w:bottom w:val="single" w:sz="6" w:space="0" w:color="9F9F9F"/>
              <w:right w:val="single" w:sz="4" w:space="0" w:color="9F9F9F"/>
            </w:tcBorders>
            <w:hideMark/>
          </w:tcPr>
          <w:p w14:paraId="6D07DE18" w14:textId="77777777" w:rsidR="00842B62" w:rsidRPr="006742B0" w:rsidRDefault="00842B62" w:rsidP="006B43A4">
            <w:pPr>
              <w:pStyle w:val="TableParagraph"/>
              <w:spacing w:line="276" w:lineRule="auto"/>
              <w:ind w:right="94"/>
              <w:jc w:val="both"/>
              <w:rPr>
                <w:b/>
                <w:bCs/>
                <w:sz w:val="24"/>
                <w:szCs w:val="24"/>
              </w:rPr>
            </w:pPr>
            <w:r w:rsidRPr="006742B0">
              <w:rPr>
                <w:b/>
                <w:bCs/>
                <w:sz w:val="24"/>
                <w:szCs w:val="24"/>
              </w:rPr>
              <w:t>2020</w:t>
            </w:r>
          </w:p>
        </w:tc>
        <w:tc>
          <w:tcPr>
            <w:tcW w:w="677" w:type="pct"/>
            <w:tcBorders>
              <w:top w:val="single" w:sz="6" w:space="0" w:color="9F9F9F"/>
              <w:left w:val="single" w:sz="4" w:space="0" w:color="9F9F9F"/>
              <w:bottom w:val="single" w:sz="6" w:space="0" w:color="9F9F9F"/>
              <w:right w:val="single" w:sz="4" w:space="0" w:color="9F9F9F"/>
            </w:tcBorders>
            <w:hideMark/>
          </w:tcPr>
          <w:p w14:paraId="61E021FF" w14:textId="77777777" w:rsidR="00842B62" w:rsidRPr="006742B0" w:rsidRDefault="00842B62" w:rsidP="006B43A4">
            <w:pPr>
              <w:pStyle w:val="TableParagraph"/>
              <w:spacing w:line="276" w:lineRule="auto"/>
              <w:ind w:right="96"/>
              <w:jc w:val="both"/>
              <w:rPr>
                <w:b/>
                <w:bCs/>
                <w:sz w:val="24"/>
                <w:szCs w:val="24"/>
              </w:rPr>
            </w:pPr>
            <w:r w:rsidRPr="006742B0">
              <w:rPr>
                <w:b/>
                <w:bCs/>
                <w:sz w:val="24"/>
                <w:szCs w:val="24"/>
              </w:rPr>
              <w:t>2021</w:t>
            </w:r>
          </w:p>
        </w:tc>
        <w:tc>
          <w:tcPr>
            <w:tcW w:w="677" w:type="pct"/>
            <w:tcBorders>
              <w:top w:val="single" w:sz="6" w:space="0" w:color="9F9F9F"/>
              <w:left w:val="single" w:sz="4" w:space="0" w:color="9F9F9F"/>
              <w:bottom w:val="single" w:sz="6" w:space="0" w:color="9F9F9F"/>
              <w:right w:val="single" w:sz="4" w:space="0" w:color="9F9F9F"/>
            </w:tcBorders>
            <w:hideMark/>
          </w:tcPr>
          <w:p w14:paraId="6E852766" w14:textId="77777777" w:rsidR="00842B62" w:rsidRPr="006742B0" w:rsidRDefault="00842B62" w:rsidP="006B43A4">
            <w:pPr>
              <w:pStyle w:val="TableParagraph"/>
              <w:spacing w:line="276" w:lineRule="auto"/>
              <w:ind w:right="96"/>
              <w:jc w:val="both"/>
              <w:rPr>
                <w:b/>
                <w:bCs/>
                <w:sz w:val="24"/>
                <w:szCs w:val="24"/>
              </w:rPr>
            </w:pPr>
            <w:r w:rsidRPr="006742B0">
              <w:rPr>
                <w:b/>
                <w:bCs/>
                <w:sz w:val="24"/>
                <w:szCs w:val="24"/>
              </w:rPr>
              <w:t>2022</w:t>
            </w:r>
          </w:p>
        </w:tc>
        <w:tc>
          <w:tcPr>
            <w:tcW w:w="518" w:type="pct"/>
            <w:tcBorders>
              <w:top w:val="single" w:sz="6" w:space="0" w:color="9F9F9F"/>
              <w:left w:val="single" w:sz="4" w:space="0" w:color="9F9F9F"/>
              <w:bottom w:val="single" w:sz="6" w:space="0" w:color="9F9F9F"/>
              <w:right w:val="single" w:sz="4" w:space="0" w:color="9F9F9F"/>
            </w:tcBorders>
            <w:hideMark/>
          </w:tcPr>
          <w:p w14:paraId="05456640" w14:textId="77777777" w:rsidR="00842B62" w:rsidRPr="006742B0" w:rsidRDefault="00842B62" w:rsidP="006B43A4">
            <w:pPr>
              <w:pStyle w:val="TableParagraph"/>
              <w:spacing w:line="276" w:lineRule="auto"/>
              <w:ind w:right="96"/>
              <w:jc w:val="both"/>
              <w:rPr>
                <w:b/>
                <w:bCs/>
                <w:sz w:val="24"/>
                <w:szCs w:val="24"/>
              </w:rPr>
            </w:pPr>
            <w:r w:rsidRPr="006742B0">
              <w:rPr>
                <w:b/>
                <w:bCs/>
                <w:sz w:val="24"/>
                <w:szCs w:val="24"/>
              </w:rPr>
              <w:t>2023</w:t>
            </w:r>
          </w:p>
        </w:tc>
      </w:tr>
      <w:tr w:rsidR="006B43A4" w:rsidRPr="006742B0" w14:paraId="75E6B5BC" w14:textId="77777777" w:rsidTr="00EE2B8B">
        <w:trPr>
          <w:trHeight w:val="518"/>
          <w:jc w:val="center"/>
        </w:trPr>
        <w:tc>
          <w:tcPr>
            <w:tcW w:w="1780" w:type="pct"/>
            <w:tcBorders>
              <w:top w:val="single" w:sz="6" w:space="0" w:color="9F9F9F"/>
              <w:left w:val="single" w:sz="4" w:space="0" w:color="9F9F9F"/>
              <w:bottom w:val="single" w:sz="6" w:space="0" w:color="9F9F9F"/>
              <w:right w:val="single" w:sz="4" w:space="0" w:color="9F9F9F"/>
            </w:tcBorders>
            <w:hideMark/>
          </w:tcPr>
          <w:p w14:paraId="3A003524" w14:textId="77777777" w:rsidR="00842B62" w:rsidRPr="006742B0" w:rsidRDefault="00842B62" w:rsidP="006B43A4">
            <w:pPr>
              <w:pStyle w:val="TableParagraph"/>
              <w:spacing w:line="276" w:lineRule="auto"/>
              <w:ind w:left="108"/>
              <w:jc w:val="both"/>
              <w:rPr>
                <w:sz w:val="24"/>
                <w:szCs w:val="24"/>
              </w:rPr>
            </w:pPr>
            <w:r w:rsidRPr="006742B0">
              <w:rPr>
                <w:sz w:val="24"/>
                <w:szCs w:val="24"/>
              </w:rPr>
              <w:t>Current</w:t>
            </w:r>
            <w:r w:rsidRPr="006742B0">
              <w:rPr>
                <w:spacing w:val="-2"/>
                <w:sz w:val="24"/>
                <w:szCs w:val="24"/>
              </w:rPr>
              <w:t xml:space="preserve"> </w:t>
            </w:r>
            <w:r w:rsidRPr="006742B0">
              <w:rPr>
                <w:sz w:val="24"/>
                <w:szCs w:val="24"/>
              </w:rPr>
              <w:t>ratio</w:t>
            </w:r>
            <w:r w:rsidRPr="006742B0">
              <w:rPr>
                <w:spacing w:val="-1"/>
                <w:sz w:val="24"/>
                <w:szCs w:val="24"/>
              </w:rPr>
              <w:t xml:space="preserve"> </w:t>
            </w:r>
            <w:r w:rsidRPr="006742B0">
              <w:rPr>
                <w:sz w:val="24"/>
                <w:szCs w:val="24"/>
              </w:rPr>
              <w:t>(x)</w:t>
            </w:r>
          </w:p>
        </w:tc>
        <w:tc>
          <w:tcPr>
            <w:tcW w:w="674" w:type="pct"/>
            <w:tcBorders>
              <w:top w:val="single" w:sz="6" w:space="0" w:color="9F9F9F"/>
              <w:left w:val="single" w:sz="4" w:space="0" w:color="9F9F9F"/>
              <w:bottom w:val="single" w:sz="6" w:space="0" w:color="9F9F9F"/>
              <w:right w:val="single" w:sz="4" w:space="0" w:color="9F9F9F"/>
            </w:tcBorders>
          </w:tcPr>
          <w:p w14:paraId="35037AF9" w14:textId="77777777" w:rsidR="00842B62" w:rsidRPr="006742B0" w:rsidRDefault="00842B62" w:rsidP="006B43A4">
            <w:pPr>
              <w:pStyle w:val="TableParagraph"/>
              <w:spacing w:line="276" w:lineRule="auto"/>
              <w:ind w:right="94"/>
              <w:jc w:val="both"/>
              <w:rPr>
                <w:sz w:val="24"/>
                <w:szCs w:val="24"/>
              </w:rPr>
            </w:pPr>
            <w:r w:rsidRPr="006742B0">
              <w:rPr>
                <w:sz w:val="24"/>
                <w:szCs w:val="24"/>
              </w:rPr>
              <w:t>1.01</w:t>
            </w:r>
          </w:p>
        </w:tc>
        <w:tc>
          <w:tcPr>
            <w:tcW w:w="674" w:type="pct"/>
            <w:tcBorders>
              <w:top w:val="single" w:sz="6" w:space="0" w:color="9F9F9F"/>
              <w:left w:val="single" w:sz="4" w:space="0" w:color="9F9F9F"/>
              <w:bottom w:val="single" w:sz="6" w:space="0" w:color="9F9F9F"/>
              <w:right w:val="single" w:sz="4" w:space="0" w:color="9F9F9F"/>
            </w:tcBorders>
          </w:tcPr>
          <w:p w14:paraId="61917494" w14:textId="77777777" w:rsidR="00842B62" w:rsidRPr="006742B0" w:rsidRDefault="00842B62" w:rsidP="006B43A4">
            <w:pPr>
              <w:pStyle w:val="TableParagraph"/>
              <w:spacing w:line="276" w:lineRule="auto"/>
              <w:ind w:right="94"/>
              <w:jc w:val="both"/>
              <w:rPr>
                <w:sz w:val="24"/>
                <w:szCs w:val="24"/>
              </w:rPr>
            </w:pPr>
            <w:r w:rsidRPr="006742B0">
              <w:rPr>
                <w:sz w:val="24"/>
                <w:szCs w:val="24"/>
              </w:rPr>
              <w:t>1.13</w:t>
            </w:r>
          </w:p>
        </w:tc>
        <w:tc>
          <w:tcPr>
            <w:tcW w:w="677" w:type="pct"/>
            <w:tcBorders>
              <w:top w:val="single" w:sz="6" w:space="0" w:color="9F9F9F"/>
              <w:left w:val="single" w:sz="4" w:space="0" w:color="9F9F9F"/>
              <w:bottom w:val="single" w:sz="6" w:space="0" w:color="9F9F9F"/>
              <w:right w:val="single" w:sz="4" w:space="0" w:color="9F9F9F"/>
            </w:tcBorders>
          </w:tcPr>
          <w:p w14:paraId="24322E9B" w14:textId="77777777" w:rsidR="00842B62" w:rsidRPr="006742B0" w:rsidRDefault="00842B62" w:rsidP="006B43A4">
            <w:pPr>
              <w:pStyle w:val="TableParagraph"/>
              <w:spacing w:line="276" w:lineRule="auto"/>
              <w:ind w:right="96"/>
              <w:jc w:val="both"/>
              <w:rPr>
                <w:sz w:val="24"/>
                <w:szCs w:val="24"/>
              </w:rPr>
            </w:pPr>
            <w:r w:rsidRPr="006742B0">
              <w:rPr>
                <w:sz w:val="24"/>
                <w:szCs w:val="24"/>
              </w:rPr>
              <w:t>1.00</w:t>
            </w:r>
          </w:p>
        </w:tc>
        <w:tc>
          <w:tcPr>
            <w:tcW w:w="677" w:type="pct"/>
            <w:tcBorders>
              <w:top w:val="single" w:sz="6" w:space="0" w:color="9F9F9F"/>
              <w:left w:val="single" w:sz="4" w:space="0" w:color="9F9F9F"/>
              <w:bottom w:val="single" w:sz="6" w:space="0" w:color="9F9F9F"/>
              <w:right w:val="single" w:sz="4" w:space="0" w:color="9F9F9F"/>
            </w:tcBorders>
          </w:tcPr>
          <w:p w14:paraId="3432A5CF" w14:textId="77777777" w:rsidR="00842B62" w:rsidRPr="006742B0" w:rsidRDefault="00842B62" w:rsidP="006B43A4">
            <w:pPr>
              <w:pStyle w:val="TableParagraph"/>
              <w:spacing w:line="276" w:lineRule="auto"/>
              <w:ind w:right="96"/>
              <w:jc w:val="both"/>
              <w:rPr>
                <w:sz w:val="24"/>
                <w:szCs w:val="24"/>
              </w:rPr>
            </w:pPr>
            <w:r w:rsidRPr="006742B0">
              <w:rPr>
                <w:sz w:val="24"/>
                <w:szCs w:val="24"/>
              </w:rPr>
              <w:t>1.02</w:t>
            </w:r>
          </w:p>
        </w:tc>
        <w:tc>
          <w:tcPr>
            <w:tcW w:w="518" w:type="pct"/>
            <w:tcBorders>
              <w:top w:val="single" w:sz="6" w:space="0" w:color="9F9F9F"/>
              <w:left w:val="single" w:sz="4" w:space="0" w:color="9F9F9F"/>
              <w:bottom w:val="single" w:sz="6" w:space="0" w:color="9F9F9F"/>
              <w:right w:val="single" w:sz="4" w:space="0" w:color="9F9F9F"/>
            </w:tcBorders>
          </w:tcPr>
          <w:p w14:paraId="160FC434" w14:textId="77777777" w:rsidR="00842B62" w:rsidRPr="006742B0" w:rsidRDefault="00842B62" w:rsidP="006B43A4">
            <w:pPr>
              <w:pStyle w:val="TableParagraph"/>
              <w:spacing w:line="276" w:lineRule="auto"/>
              <w:ind w:right="96"/>
              <w:jc w:val="both"/>
              <w:rPr>
                <w:sz w:val="24"/>
                <w:szCs w:val="24"/>
              </w:rPr>
            </w:pPr>
            <w:r w:rsidRPr="006742B0">
              <w:rPr>
                <w:sz w:val="24"/>
                <w:szCs w:val="24"/>
              </w:rPr>
              <w:t>1.07</w:t>
            </w:r>
          </w:p>
        </w:tc>
      </w:tr>
      <w:tr w:rsidR="006B43A4" w:rsidRPr="006742B0" w14:paraId="6E0F798F" w14:textId="77777777" w:rsidTr="00EE2B8B">
        <w:trPr>
          <w:trHeight w:val="518"/>
          <w:jc w:val="center"/>
        </w:trPr>
        <w:tc>
          <w:tcPr>
            <w:tcW w:w="1780" w:type="pct"/>
            <w:tcBorders>
              <w:top w:val="single" w:sz="6" w:space="0" w:color="9F9F9F"/>
              <w:left w:val="single" w:sz="4" w:space="0" w:color="9F9F9F"/>
              <w:bottom w:val="single" w:sz="6" w:space="0" w:color="9F9F9F"/>
              <w:right w:val="single" w:sz="4" w:space="0" w:color="9F9F9F"/>
            </w:tcBorders>
            <w:hideMark/>
          </w:tcPr>
          <w:p w14:paraId="2ED6EC01" w14:textId="77777777" w:rsidR="00842B62" w:rsidRPr="006742B0" w:rsidRDefault="00842B62" w:rsidP="006B43A4">
            <w:pPr>
              <w:pStyle w:val="TableParagraph"/>
              <w:spacing w:line="276" w:lineRule="auto"/>
              <w:ind w:left="169"/>
              <w:jc w:val="both"/>
              <w:rPr>
                <w:sz w:val="24"/>
                <w:szCs w:val="24"/>
              </w:rPr>
            </w:pPr>
            <w:r w:rsidRPr="006742B0">
              <w:rPr>
                <w:sz w:val="24"/>
                <w:szCs w:val="24"/>
              </w:rPr>
              <w:t>Liquidity</w:t>
            </w:r>
            <w:r w:rsidRPr="006742B0">
              <w:rPr>
                <w:spacing w:val="-2"/>
                <w:sz w:val="24"/>
                <w:szCs w:val="24"/>
              </w:rPr>
              <w:t xml:space="preserve"> </w:t>
            </w:r>
            <w:r w:rsidRPr="006742B0">
              <w:rPr>
                <w:sz w:val="24"/>
                <w:szCs w:val="24"/>
              </w:rPr>
              <w:t>ratio</w:t>
            </w:r>
            <w:r w:rsidRPr="006742B0">
              <w:rPr>
                <w:spacing w:val="-1"/>
                <w:sz w:val="24"/>
                <w:szCs w:val="24"/>
              </w:rPr>
              <w:t xml:space="preserve"> </w:t>
            </w:r>
            <w:r w:rsidRPr="006742B0">
              <w:rPr>
                <w:sz w:val="24"/>
                <w:szCs w:val="24"/>
              </w:rPr>
              <w:t>(x)</w:t>
            </w:r>
          </w:p>
        </w:tc>
        <w:tc>
          <w:tcPr>
            <w:tcW w:w="674" w:type="pct"/>
            <w:tcBorders>
              <w:top w:val="single" w:sz="6" w:space="0" w:color="9F9F9F"/>
              <w:left w:val="single" w:sz="4" w:space="0" w:color="9F9F9F"/>
              <w:bottom w:val="single" w:sz="6" w:space="0" w:color="9F9F9F"/>
              <w:right w:val="single" w:sz="4" w:space="0" w:color="9F9F9F"/>
            </w:tcBorders>
            <w:hideMark/>
          </w:tcPr>
          <w:p w14:paraId="06289BD6" w14:textId="77777777" w:rsidR="00842B62" w:rsidRPr="006742B0" w:rsidRDefault="00842B62" w:rsidP="006B43A4">
            <w:pPr>
              <w:pStyle w:val="TableParagraph"/>
              <w:spacing w:line="276" w:lineRule="auto"/>
              <w:ind w:right="94"/>
              <w:jc w:val="both"/>
              <w:rPr>
                <w:sz w:val="24"/>
                <w:szCs w:val="24"/>
              </w:rPr>
            </w:pPr>
            <w:r w:rsidRPr="006742B0">
              <w:rPr>
                <w:sz w:val="24"/>
                <w:szCs w:val="24"/>
              </w:rPr>
              <w:t>0.47</w:t>
            </w:r>
          </w:p>
        </w:tc>
        <w:tc>
          <w:tcPr>
            <w:tcW w:w="674" w:type="pct"/>
            <w:tcBorders>
              <w:top w:val="single" w:sz="6" w:space="0" w:color="9F9F9F"/>
              <w:left w:val="single" w:sz="4" w:space="0" w:color="9F9F9F"/>
              <w:bottom w:val="single" w:sz="6" w:space="0" w:color="9F9F9F"/>
              <w:right w:val="single" w:sz="4" w:space="0" w:color="9F9F9F"/>
            </w:tcBorders>
            <w:hideMark/>
          </w:tcPr>
          <w:p w14:paraId="5EEF206E" w14:textId="77777777" w:rsidR="00842B62" w:rsidRPr="006742B0" w:rsidRDefault="00842B62" w:rsidP="006B43A4">
            <w:pPr>
              <w:pStyle w:val="TableParagraph"/>
              <w:spacing w:line="276" w:lineRule="auto"/>
              <w:ind w:right="94"/>
              <w:jc w:val="both"/>
              <w:rPr>
                <w:sz w:val="24"/>
                <w:szCs w:val="24"/>
              </w:rPr>
            </w:pPr>
            <w:r w:rsidRPr="006742B0">
              <w:rPr>
                <w:sz w:val="24"/>
                <w:szCs w:val="24"/>
              </w:rPr>
              <w:t>0.60</w:t>
            </w:r>
          </w:p>
        </w:tc>
        <w:tc>
          <w:tcPr>
            <w:tcW w:w="677" w:type="pct"/>
            <w:tcBorders>
              <w:top w:val="single" w:sz="6" w:space="0" w:color="9F9F9F"/>
              <w:left w:val="single" w:sz="4" w:space="0" w:color="9F9F9F"/>
              <w:bottom w:val="single" w:sz="6" w:space="0" w:color="9F9F9F"/>
              <w:right w:val="single" w:sz="4" w:space="0" w:color="9F9F9F"/>
            </w:tcBorders>
            <w:hideMark/>
          </w:tcPr>
          <w:p w14:paraId="16BC04F0" w14:textId="77777777" w:rsidR="00842B62" w:rsidRPr="006742B0" w:rsidRDefault="00842B62" w:rsidP="006B43A4">
            <w:pPr>
              <w:pStyle w:val="TableParagraph"/>
              <w:spacing w:line="276" w:lineRule="auto"/>
              <w:ind w:right="96"/>
              <w:jc w:val="both"/>
              <w:rPr>
                <w:sz w:val="24"/>
                <w:szCs w:val="24"/>
              </w:rPr>
            </w:pPr>
            <w:r w:rsidRPr="006742B0">
              <w:rPr>
                <w:sz w:val="24"/>
                <w:szCs w:val="24"/>
              </w:rPr>
              <w:t>0.47</w:t>
            </w:r>
          </w:p>
        </w:tc>
        <w:tc>
          <w:tcPr>
            <w:tcW w:w="677" w:type="pct"/>
            <w:tcBorders>
              <w:top w:val="single" w:sz="6" w:space="0" w:color="9F9F9F"/>
              <w:left w:val="single" w:sz="4" w:space="0" w:color="9F9F9F"/>
              <w:bottom w:val="single" w:sz="6" w:space="0" w:color="9F9F9F"/>
              <w:right w:val="single" w:sz="4" w:space="0" w:color="9F9F9F"/>
            </w:tcBorders>
            <w:hideMark/>
          </w:tcPr>
          <w:p w14:paraId="46163105" w14:textId="77777777" w:rsidR="00842B62" w:rsidRPr="006742B0" w:rsidRDefault="00842B62" w:rsidP="006B43A4">
            <w:pPr>
              <w:pStyle w:val="TableParagraph"/>
              <w:spacing w:line="276" w:lineRule="auto"/>
              <w:ind w:right="96"/>
              <w:jc w:val="both"/>
              <w:rPr>
                <w:sz w:val="24"/>
                <w:szCs w:val="24"/>
              </w:rPr>
            </w:pPr>
            <w:r w:rsidRPr="006742B0">
              <w:rPr>
                <w:sz w:val="24"/>
                <w:szCs w:val="24"/>
              </w:rPr>
              <w:t>0.42</w:t>
            </w:r>
          </w:p>
        </w:tc>
        <w:tc>
          <w:tcPr>
            <w:tcW w:w="518" w:type="pct"/>
            <w:tcBorders>
              <w:top w:val="single" w:sz="6" w:space="0" w:color="9F9F9F"/>
              <w:left w:val="single" w:sz="4" w:space="0" w:color="9F9F9F"/>
              <w:bottom w:val="single" w:sz="6" w:space="0" w:color="9F9F9F"/>
              <w:right w:val="single" w:sz="4" w:space="0" w:color="9F9F9F"/>
            </w:tcBorders>
            <w:hideMark/>
          </w:tcPr>
          <w:p w14:paraId="5C6371BE" w14:textId="77777777" w:rsidR="00842B62" w:rsidRPr="006742B0" w:rsidRDefault="00842B62" w:rsidP="006B43A4">
            <w:pPr>
              <w:pStyle w:val="TableParagraph"/>
              <w:spacing w:line="276" w:lineRule="auto"/>
              <w:ind w:right="96"/>
              <w:jc w:val="both"/>
              <w:rPr>
                <w:sz w:val="24"/>
                <w:szCs w:val="24"/>
              </w:rPr>
            </w:pPr>
            <w:r w:rsidRPr="006742B0">
              <w:rPr>
                <w:sz w:val="24"/>
                <w:szCs w:val="24"/>
              </w:rPr>
              <w:t>0.52</w:t>
            </w:r>
          </w:p>
        </w:tc>
      </w:tr>
      <w:tr w:rsidR="00842B62" w:rsidRPr="006742B0" w14:paraId="4DAF3111" w14:textId="77777777" w:rsidTr="00EE2B8B">
        <w:trPr>
          <w:trHeight w:val="518"/>
          <w:jc w:val="center"/>
        </w:trPr>
        <w:tc>
          <w:tcPr>
            <w:tcW w:w="1780" w:type="pct"/>
            <w:tcBorders>
              <w:top w:val="single" w:sz="6" w:space="0" w:color="9F9F9F"/>
              <w:left w:val="single" w:sz="4" w:space="0" w:color="9F9F9F"/>
              <w:bottom w:val="single" w:sz="6" w:space="0" w:color="9F9F9F"/>
              <w:right w:val="single" w:sz="4" w:space="0" w:color="9F9F9F"/>
            </w:tcBorders>
            <w:hideMark/>
          </w:tcPr>
          <w:p w14:paraId="62B76699" w14:textId="77777777" w:rsidR="00842B62" w:rsidRPr="006742B0" w:rsidRDefault="00842B62" w:rsidP="006B43A4">
            <w:pPr>
              <w:pStyle w:val="TableParagraph"/>
              <w:spacing w:line="276" w:lineRule="auto"/>
              <w:ind w:left="157"/>
              <w:jc w:val="both"/>
              <w:rPr>
                <w:sz w:val="24"/>
                <w:szCs w:val="24"/>
              </w:rPr>
            </w:pPr>
            <w:r w:rsidRPr="006742B0">
              <w:rPr>
                <w:sz w:val="24"/>
                <w:szCs w:val="24"/>
              </w:rPr>
              <w:t>Asset</w:t>
            </w:r>
            <w:r w:rsidRPr="006742B0">
              <w:rPr>
                <w:spacing w:val="-4"/>
                <w:sz w:val="24"/>
                <w:szCs w:val="24"/>
              </w:rPr>
              <w:t xml:space="preserve"> </w:t>
            </w:r>
            <w:r w:rsidRPr="006742B0">
              <w:rPr>
                <w:sz w:val="24"/>
                <w:szCs w:val="24"/>
              </w:rPr>
              <w:t>Cover</w:t>
            </w:r>
            <w:r w:rsidRPr="006742B0">
              <w:rPr>
                <w:spacing w:val="-1"/>
                <w:sz w:val="24"/>
                <w:szCs w:val="24"/>
              </w:rPr>
              <w:t xml:space="preserve"> </w:t>
            </w:r>
            <w:r w:rsidRPr="006742B0">
              <w:rPr>
                <w:sz w:val="24"/>
                <w:szCs w:val="24"/>
              </w:rPr>
              <w:t>(x)</w:t>
            </w:r>
          </w:p>
        </w:tc>
        <w:tc>
          <w:tcPr>
            <w:tcW w:w="674" w:type="pct"/>
            <w:tcBorders>
              <w:top w:val="single" w:sz="6" w:space="0" w:color="9F9F9F"/>
              <w:left w:val="single" w:sz="4" w:space="0" w:color="9F9F9F"/>
              <w:bottom w:val="single" w:sz="6" w:space="0" w:color="9F9F9F"/>
              <w:right w:val="single" w:sz="4" w:space="0" w:color="9F9F9F"/>
            </w:tcBorders>
            <w:hideMark/>
          </w:tcPr>
          <w:p w14:paraId="30E7DAF8" w14:textId="77777777" w:rsidR="00842B62" w:rsidRPr="006742B0" w:rsidRDefault="00842B62" w:rsidP="006B43A4">
            <w:pPr>
              <w:pStyle w:val="TableParagraph"/>
              <w:spacing w:line="276" w:lineRule="auto"/>
              <w:ind w:right="94"/>
              <w:jc w:val="both"/>
              <w:rPr>
                <w:sz w:val="24"/>
                <w:szCs w:val="24"/>
              </w:rPr>
            </w:pPr>
            <w:r w:rsidRPr="006742B0">
              <w:rPr>
                <w:sz w:val="24"/>
                <w:szCs w:val="24"/>
              </w:rPr>
              <w:t>3.48</w:t>
            </w:r>
          </w:p>
        </w:tc>
        <w:tc>
          <w:tcPr>
            <w:tcW w:w="674" w:type="pct"/>
            <w:tcBorders>
              <w:top w:val="single" w:sz="6" w:space="0" w:color="9F9F9F"/>
              <w:left w:val="single" w:sz="4" w:space="0" w:color="9F9F9F"/>
              <w:bottom w:val="single" w:sz="6" w:space="0" w:color="9F9F9F"/>
              <w:right w:val="single" w:sz="4" w:space="0" w:color="9F9F9F"/>
            </w:tcBorders>
            <w:hideMark/>
          </w:tcPr>
          <w:p w14:paraId="49C81856" w14:textId="77777777" w:rsidR="00842B62" w:rsidRPr="006742B0" w:rsidRDefault="00842B62" w:rsidP="006B43A4">
            <w:pPr>
              <w:pStyle w:val="TableParagraph"/>
              <w:spacing w:line="276" w:lineRule="auto"/>
              <w:ind w:right="94"/>
              <w:jc w:val="both"/>
              <w:rPr>
                <w:sz w:val="24"/>
                <w:szCs w:val="24"/>
              </w:rPr>
            </w:pPr>
            <w:r w:rsidRPr="006742B0">
              <w:rPr>
                <w:sz w:val="24"/>
                <w:szCs w:val="24"/>
              </w:rPr>
              <w:t>3.22</w:t>
            </w:r>
          </w:p>
        </w:tc>
        <w:tc>
          <w:tcPr>
            <w:tcW w:w="677" w:type="pct"/>
            <w:tcBorders>
              <w:top w:val="single" w:sz="6" w:space="0" w:color="9F9F9F"/>
              <w:left w:val="single" w:sz="4" w:space="0" w:color="9F9F9F"/>
              <w:bottom w:val="single" w:sz="6" w:space="0" w:color="9F9F9F"/>
              <w:right w:val="single" w:sz="4" w:space="0" w:color="9F9F9F"/>
            </w:tcBorders>
            <w:hideMark/>
          </w:tcPr>
          <w:p w14:paraId="1C5A7695" w14:textId="77777777" w:rsidR="00842B62" w:rsidRPr="006742B0" w:rsidRDefault="00842B62" w:rsidP="006B43A4">
            <w:pPr>
              <w:pStyle w:val="TableParagraph"/>
              <w:spacing w:line="276" w:lineRule="auto"/>
              <w:ind w:right="96"/>
              <w:jc w:val="both"/>
              <w:rPr>
                <w:sz w:val="24"/>
                <w:szCs w:val="24"/>
              </w:rPr>
            </w:pPr>
            <w:r w:rsidRPr="006742B0">
              <w:rPr>
                <w:sz w:val="24"/>
                <w:szCs w:val="24"/>
              </w:rPr>
              <w:t>3.38</w:t>
            </w:r>
          </w:p>
        </w:tc>
        <w:tc>
          <w:tcPr>
            <w:tcW w:w="677" w:type="pct"/>
            <w:tcBorders>
              <w:top w:val="single" w:sz="6" w:space="0" w:color="9F9F9F"/>
              <w:left w:val="single" w:sz="4" w:space="0" w:color="9F9F9F"/>
              <w:bottom w:val="single" w:sz="6" w:space="0" w:color="9F9F9F"/>
              <w:right w:val="single" w:sz="4" w:space="0" w:color="9F9F9F"/>
            </w:tcBorders>
            <w:hideMark/>
          </w:tcPr>
          <w:p w14:paraId="5583F5B7" w14:textId="77777777" w:rsidR="00842B62" w:rsidRPr="006742B0" w:rsidRDefault="00842B62" w:rsidP="006B43A4">
            <w:pPr>
              <w:pStyle w:val="TableParagraph"/>
              <w:spacing w:line="276" w:lineRule="auto"/>
              <w:ind w:right="94"/>
              <w:jc w:val="both"/>
              <w:rPr>
                <w:sz w:val="24"/>
                <w:szCs w:val="24"/>
              </w:rPr>
            </w:pPr>
            <w:r w:rsidRPr="006742B0">
              <w:rPr>
                <w:sz w:val="24"/>
                <w:szCs w:val="24"/>
              </w:rPr>
              <w:t>3.56</w:t>
            </w:r>
          </w:p>
        </w:tc>
        <w:tc>
          <w:tcPr>
            <w:tcW w:w="518" w:type="pct"/>
            <w:tcBorders>
              <w:top w:val="single" w:sz="6" w:space="0" w:color="9F9F9F"/>
              <w:left w:val="single" w:sz="4" w:space="0" w:color="9F9F9F"/>
              <w:bottom w:val="single" w:sz="6" w:space="0" w:color="9F9F9F"/>
              <w:right w:val="single" w:sz="4" w:space="0" w:color="9F9F9F"/>
            </w:tcBorders>
            <w:hideMark/>
          </w:tcPr>
          <w:p w14:paraId="4276412D" w14:textId="77777777" w:rsidR="00842B62" w:rsidRPr="006742B0" w:rsidRDefault="00842B62" w:rsidP="006B43A4">
            <w:pPr>
              <w:pStyle w:val="TableParagraph"/>
              <w:spacing w:line="276" w:lineRule="auto"/>
              <w:ind w:right="94"/>
              <w:jc w:val="both"/>
              <w:rPr>
                <w:sz w:val="24"/>
                <w:szCs w:val="24"/>
              </w:rPr>
            </w:pPr>
            <w:r w:rsidRPr="006742B0">
              <w:rPr>
                <w:sz w:val="24"/>
                <w:szCs w:val="24"/>
              </w:rPr>
              <w:t>3.61</w:t>
            </w:r>
          </w:p>
        </w:tc>
      </w:tr>
    </w:tbl>
    <w:p w14:paraId="54FA2B39"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p>
    <w:p w14:paraId="1C58FF94" w14:textId="163B3C7A" w:rsidR="00842B62" w:rsidRPr="00864380" w:rsidRDefault="00640429" w:rsidP="003F2B0C">
      <w:pPr>
        <w:pStyle w:val="Heading3"/>
        <w:rPr>
          <w:rFonts w:ascii="Times New Roman" w:hAnsi="Times New Roman" w:cs="Times New Roman"/>
          <w:b/>
          <w:bCs/>
          <w:color w:val="auto"/>
          <w:sz w:val="22"/>
          <w:szCs w:val="22"/>
          <w:shd w:val="clear" w:color="auto" w:fill="FFFFFF"/>
        </w:rPr>
      </w:pPr>
      <w:bookmarkStart w:id="17" w:name="_Toc164812043"/>
      <w:r w:rsidRPr="00864380">
        <w:rPr>
          <w:rFonts w:ascii="Times New Roman" w:hAnsi="Times New Roman" w:cs="Times New Roman"/>
          <w:b/>
          <w:bCs/>
          <w:color w:val="auto"/>
          <w:sz w:val="22"/>
          <w:szCs w:val="22"/>
          <w:shd w:val="clear" w:color="auto" w:fill="FFFFFF"/>
        </w:rPr>
        <w:t>2.2.</w:t>
      </w:r>
      <w:r w:rsidR="00842B62" w:rsidRPr="00864380">
        <w:rPr>
          <w:rFonts w:ascii="Times New Roman" w:hAnsi="Times New Roman" w:cs="Times New Roman"/>
          <w:b/>
          <w:bCs/>
          <w:color w:val="auto"/>
          <w:sz w:val="22"/>
          <w:szCs w:val="22"/>
          <w:shd w:val="clear" w:color="auto" w:fill="FFFFFF"/>
        </w:rPr>
        <w:t xml:space="preserve">1. </w:t>
      </w:r>
      <w:r w:rsidR="00B51C2C" w:rsidRPr="00864380">
        <w:rPr>
          <w:rFonts w:ascii="Times New Roman" w:hAnsi="Times New Roman" w:cs="Times New Roman"/>
          <w:b/>
          <w:bCs/>
          <w:color w:val="auto"/>
          <w:sz w:val="22"/>
          <w:szCs w:val="22"/>
          <w:shd w:val="clear" w:color="auto" w:fill="FFFFFF"/>
        </w:rPr>
        <w:t>CURRENT RATIO</w:t>
      </w:r>
      <w:bookmarkEnd w:id="17"/>
    </w:p>
    <w:p w14:paraId="29BDD517" w14:textId="060BEBB0" w:rsidR="002678CF" w:rsidRPr="000F3EB8" w:rsidRDefault="00C406AD" w:rsidP="000F3EB8">
      <w:pPr>
        <w:spacing w:line="276" w:lineRule="auto"/>
        <w:jc w:val="both"/>
        <w:rPr>
          <w:rFonts w:ascii="Times New Roman" w:hAnsi="Times New Roman" w:cs="Times New Roman"/>
          <w:sz w:val="24"/>
          <w:szCs w:val="24"/>
          <w:shd w:val="clear" w:color="auto" w:fill="FFFFFF"/>
        </w:rPr>
      </w:pPr>
      <w:r w:rsidRPr="00C406AD">
        <w:rPr>
          <w:rFonts w:ascii="Times New Roman" w:hAnsi="Times New Roman" w:cs="Times New Roman"/>
          <w:sz w:val="24"/>
          <w:szCs w:val="24"/>
          <w:shd w:val="clear" w:color="auto" w:fill="FFFFFF"/>
        </w:rPr>
        <w:t>The current ratio, a crucial liquidity metric, evaluates a business’s ability to utilize its current assets for settling short-term debt. Mathematically, it is the division of current assets by current liabilities. A ratio exceeding one signifies that the company possesses sufficient short-term assets to cover its liabilities promptly.</w:t>
      </w:r>
      <w:r>
        <w:rPr>
          <w:rFonts w:ascii="Times New Roman" w:hAnsi="Times New Roman" w:cs="Times New Roman"/>
          <w:sz w:val="24"/>
          <w:szCs w:val="24"/>
          <w:shd w:val="clear" w:color="auto" w:fill="FFFFFF"/>
        </w:rPr>
        <w:t xml:space="preserve"> </w:t>
      </w:r>
      <w:proofErr w:type="gramStart"/>
      <w:r w:rsidR="00FF5AEB" w:rsidRPr="000F3EB8">
        <w:rPr>
          <w:rFonts w:ascii="Times New Roman" w:hAnsi="Times New Roman" w:cs="Times New Roman"/>
          <w:sz w:val="24"/>
          <w:szCs w:val="24"/>
          <w:shd w:val="clear" w:color="auto" w:fill="FFFFFF"/>
        </w:rPr>
        <w:t>Unusually</w:t>
      </w:r>
      <w:proofErr w:type="gramEnd"/>
      <w:r w:rsidR="00FF5AEB" w:rsidRPr="000F3EB8">
        <w:rPr>
          <w:rFonts w:ascii="Times New Roman" w:hAnsi="Times New Roman" w:cs="Times New Roman"/>
          <w:sz w:val="24"/>
          <w:szCs w:val="24"/>
          <w:shd w:val="clear" w:color="auto" w:fill="FFFFFF"/>
        </w:rPr>
        <w:t xml:space="preserve"> high ratios, however, can be a sign of inefficient asset allocation. When we examine Costco's current ratio for the five years between 2019 and 2023, we see some minor variations in the range of 1.00 to 1.13. From 2019 to 2020, the current ratio increased, suggesting a stronger capacity to pay short-term obligations. The ratio was over 1 even though it decreased somewhat in 2021 and 2022, indicating that Costco has kept a good balance between its</w:t>
      </w:r>
      <w:r w:rsidR="00842B62" w:rsidRPr="006742B0">
        <w:rPr>
          <w:rFonts w:ascii="Times New Roman" w:hAnsi="Times New Roman" w:cs="Times New Roman"/>
          <w:sz w:val="24"/>
          <w:szCs w:val="24"/>
          <w:shd w:val="clear" w:color="auto" w:fill="FFFFFF"/>
        </w:rPr>
        <w:t>.</w:t>
      </w:r>
    </w:p>
    <w:p w14:paraId="5C36C597" w14:textId="4959D488" w:rsidR="00842B62" w:rsidRPr="00864380" w:rsidRDefault="00640429" w:rsidP="005C5E30">
      <w:pPr>
        <w:pStyle w:val="Heading3"/>
        <w:rPr>
          <w:rFonts w:ascii="Times New Roman" w:hAnsi="Times New Roman" w:cs="Times New Roman"/>
          <w:b/>
          <w:bCs/>
          <w:color w:val="auto"/>
          <w:sz w:val="22"/>
          <w:szCs w:val="22"/>
          <w:shd w:val="clear" w:color="auto" w:fill="FFFFFF"/>
        </w:rPr>
      </w:pPr>
      <w:bookmarkStart w:id="18" w:name="_Toc164812044"/>
      <w:r w:rsidRPr="00864380">
        <w:rPr>
          <w:rFonts w:ascii="Times New Roman" w:hAnsi="Times New Roman" w:cs="Times New Roman"/>
          <w:b/>
          <w:bCs/>
          <w:color w:val="auto"/>
          <w:sz w:val="22"/>
          <w:szCs w:val="22"/>
          <w:shd w:val="clear" w:color="auto" w:fill="FFFFFF"/>
        </w:rPr>
        <w:t>2.2.</w:t>
      </w:r>
      <w:r w:rsidR="00842B62" w:rsidRPr="00864380">
        <w:rPr>
          <w:rFonts w:ascii="Times New Roman" w:hAnsi="Times New Roman" w:cs="Times New Roman"/>
          <w:b/>
          <w:bCs/>
          <w:color w:val="auto"/>
          <w:sz w:val="22"/>
          <w:szCs w:val="22"/>
          <w:shd w:val="clear" w:color="auto" w:fill="FFFFFF"/>
        </w:rPr>
        <w:t xml:space="preserve">2. </w:t>
      </w:r>
      <w:r w:rsidR="00B51C2C" w:rsidRPr="00864380">
        <w:rPr>
          <w:rFonts w:ascii="Times New Roman" w:hAnsi="Times New Roman" w:cs="Times New Roman"/>
          <w:b/>
          <w:bCs/>
          <w:color w:val="auto"/>
          <w:sz w:val="22"/>
          <w:szCs w:val="22"/>
          <w:shd w:val="clear" w:color="auto" w:fill="FFFFFF"/>
        </w:rPr>
        <w:t>LIQUIDITY RATIO</w:t>
      </w:r>
      <w:bookmarkEnd w:id="18"/>
    </w:p>
    <w:p w14:paraId="57C7072E" w14:textId="4852916E" w:rsidR="00F8217B" w:rsidRPr="000F3EB8" w:rsidRDefault="004C0D07" w:rsidP="000F3EB8">
      <w:pPr>
        <w:spacing w:line="276" w:lineRule="auto"/>
        <w:jc w:val="both"/>
        <w:rPr>
          <w:rFonts w:ascii="Times New Roman" w:hAnsi="Times New Roman" w:cs="Times New Roman"/>
          <w:sz w:val="24"/>
          <w:szCs w:val="24"/>
          <w:shd w:val="clear" w:color="auto" w:fill="FFFFFF"/>
        </w:rPr>
      </w:pPr>
      <w:r w:rsidRPr="004C0D07">
        <w:rPr>
          <w:rFonts w:ascii="Times New Roman" w:hAnsi="Times New Roman" w:cs="Times New Roman"/>
          <w:sz w:val="24"/>
          <w:szCs w:val="24"/>
          <w:shd w:val="clear" w:color="auto" w:fill="FFFFFF"/>
        </w:rPr>
        <w:t>Regarding liquidity measurement, the liquidity ratio—alternatively known as the fast ratio or the acid-test ratio—imposes stricter criteria than the current ratio. During challenging periods, inventory may not exhibit the same liquidity as other current assets, leading to its exclusion from the current assets category. The calculation involves dividing quick assets (current assets minus inventory) by current liabilities</w:t>
      </w:r>
      <w:r>
        <w:rPr>
          <w:rFonts w:ascii="Times New Roman" w:hAnsi="Times New Roman" w:cs="Times New Roman"/>
          <w:sz w:val="24"/>
          <w:szCs w:val="24"/>
          <w:shd w:val="clear" w:color="auto" w:fill="FFFFFF"/>
        </w:rPr>
        <w:t xml:space="preserve">, </w:t>
      </w:r>
      <w:r w:rsidR="002678CF" w:rsidRPr="000F3EB8">
        <w:rPr>
          <w:rFonts w:ascii="Times New Roman" w:hAnsi="Times New Roman" w:cs="Times New Roman"/>
          <w:sz w:val="24"/>
          <w:szCs w:val="24"/>
          <w:shd w:val="clear" w:color="auto" w:fill="FFFFFF"/>
        </w:rPr>
        <w:t>one may find the liquidity ratio</w:t>
      </w:r>
      <w:r w:rsidR="00FF4448" w:rsidRPr="000F3EB8">
        <w:rPr>
          <w:rFonts w:ascii="Times New Roman" w:hAnsi="Times New Roman" w:cs="Times New Roman"/>
          <w:sz w:val="24"/>
          <w:szCs w:val="24"/>
          <w:shd w:val="clear" w:color="auto" w:fill="FFFFFF"/>
        </w:rPr>
        <w:t xml:space="preserve"> </w:t>
      </w:r>
      <w:r w:rsidR="00842B62" w:rsidRPr="006742B0">
        <w:rPr>
          <w:rFonts w:ascii="Times New Roman" w:hAnsi="Times New Roman" w:cs="Times New Roman"/>
          <w:sz w:val="24"/>
          <w:szCs w:val="24"/>
          <w:shd w:val="clear" w:color="auto" w:fill="FFFFFF"/>
        </w:rPr>
        <w:t xml:space="preserve">(Almeida, R.F.R., 2016). Analyzing Costco's liquidity ratio from 2019 to 2023, we observe fluctuations in the range of 0.42 to 0.60. Despite these fluctuations, the liquidity ratio generally remained below 1, indicating that Costco may have relied more on inventory to meet its short-term obligations. However, the ratio improved in 2020 and 2023, </w:t>
      </w:r>
      <w:r w:rsidR="00BD6702" w:rsidRPr="006742B0">
        <w:rPr>
          <w:rFonts w:ascii="Times New Roman" w:hAnsi="Times New Roman" w:cs="Times New Roman"/>
          <w:sz w:val="24"/>
          <w:szCs w:val="24"/>
          <w:shd w:val="clear" w:color="auto" w:fill="FFFFFF"/>
        </w:rPr>
        <w:t>signalling</w:t>
      </w:r>
      <w:r w:rsidR="00842B62" w:rsidRPr="006742B0">
        <w:rPr>
          <w:rFonts w:ascii="Times New Roman" w:hAnsi="Times New Roman" w:cs="Times New Roman"/>
          <w:sz w:val="24"/>
          <w:szCs w:val="24"/>
          <w:shd w:val="clear" w:color="auto" w:fill="FFFFFF"/>
        </w:rPr>
        <w:t xml:space="preserve"> a better ability to cover short-term liabilities with more liquid assets other than inventory. This improvement suggests enhanced liquidity management by Costco during these periods.</w:t>
      </w:r>
    </w:p>
    <w:p w14:paraId="0DA0F171" w14:textId="22092AA6" w:rsidR="00842B62" w:rsidRPr="00864380" w:rsidRDefault="00640429" w:rsidP="005C5E30">
      <w:pPr>
        <w:pStyle w:val="Heading3"/>
        <w:rPr>
          <w:rFonts w:ascii="Times New Roman" w:hAnsi="Times New Roman" w:cs="Times New Roman"/>
          <w:b/>
          <w:bCs/>
          <w:color w:val="auto"/>
          <w:sz w:val="22"/>
          <w:szCs w:val="22"/>
          <w:shd w:val="clear" w:color="auto" w:fill="FFFFFF"/>
        </w:rPr>
      </w:pPr>
      <w:bookmarkStart w:id="19" w:name="_Toc164812045"/>
      <w:r w:rsidRPr="00864380">
        <w:rPr>
          <w:rFonts w:ascii="Times New Roman" w:hAnsi="Times New Roman" w:cs="Times New Roman"/>
          <w:b/>
          <w:bCs/>
          <w:color w:val="auto"/>
          <w:sz w:val="22"/>
          <w:szCs w:val="22"/>
          <w:shd w:val="clear" w:color="auto" w:fill="FFFFFF"/>
        </w:rPr>
        <w:t>2.2.</w:t>
      </w:r>
      <w:r w:rsidR="00842B62" w:rsidRPr="00864380">
        <w:rPr>
          <w:rFonts w:ascii="Times New Roman" w:hAnsi="Times New Roman" w:cs="Times New Roman"/>
          <w:b/>
          <w:bCs/>
          <w:color w:val="auto"/>
          <w:sz w:val="22"/>
          <w:szCs w:val="22"/>
          <w:shd w:val="clear" w:color="auto" w:fill="FFFFFF"/>
        </w:rPr>
        <w:t xml:space="preserve">3. </w:t>
      </w:r>
      <w:r w:rsidR="00B51C2C" w:rsidRPr="00864380">
        <w:rPr>
          <w:rFonts w:ascii="Times New Roman" w:hAnsi="Times New Roman" w:cs="Times New Roman"/>
          <w:b/>
          <w:bCs/>
          <w:color w:val="auto"/>
          <w:sz w:val="22"/>
          <w:szCs w:val="22"/>
          <w:shd w:val="clear" w:color="auto" w:fill="FFFFFF"/>
        </w:rPr>
        <w:t>ASSET COVER</w:t>
      </w:r>
      <w:bookmarkEnd w:id="19"/>
    </w:p>
    <w:p w14:paraId="25ADD39A" w14:textId="3F0DC08E" w:rsidR="00B451CA" w:rsidRPr="000F3EB8" w:rsidRDefault="00F8217B" w:rsidP="000F3EB8">
      <w:pPr>
        <w:spacing w:line="276" w:lineRule="auto"/>
        <w:jc w:val="both"/>
        <w:rPr>
          <w:rFonts w:ascii="Times New Roman" w:hAnsi="Times New Roman" w:cs="Times New Roman"/>
          <w:sz w:val="24"/>
          <w:szCs w:val="24"/>
          <w:shd w:val="clear" w:color="auto" w:fill="FFFFFF"/>
        </w:rPr>
      </w:pPr>
      <w:r w:rsidRPr="000F3EB8">
        <w:rPr>
          <w:rFonts w:ascii="Times New Roman" w:hAnsi="Times New Roman" w:cs="Times New Roman"/>
          <w:sz w:val="24"/>
          <w:szCs w:val="24"/>
          <w:shd w:val="clear" w:color="auto" w:fill="FFFFFF"/>
        </w:rPr>
        <w:t xml:space="preserve">The ability of a business to pay off </w:t>
      </w:r>
      <w:proofErr w:type="gramStart"/>
      <w:r w:rsidRPr="000F3EB8">
        <w:rPr>
          <w:rFonts w:ascii="Times New Roman" w:hAnsi="Times New Roman" w:cs="Times New Roman"/>
          <w:sz w:val="24"/>
          <w:szCs w:val="24"/>
          <w:shd w:val="clear" w:color="auto" w:fill="FFFFFF"/>
        </w:rPr>
        <w:t>all of</w:t>
      </w:r>
      <w:proofErr w:type="gramEnd"/>
      <w:r w:rsidRPr="000F3EB8">
        <w:rPr>
          <w:rFonts w:ascii="Times New Roman" w:hAnsi="Times New Roman" w:cs="Times New Roman"/>
          <w:sz w:val="24"/>
          <w:szCs w:val="24"/>
          <w:shd w:val="clear" w:color="auto" w:fill="FFFFFF"/>
        </w:rPr>
        <w:t xml:space="preserve"> its liabilities with its total assets is evaluated using the asset cover ratio. It shows how much a company's assets can protect creditors from possible losses in the case of liquidation. To compute the asset cover ratio, divide the total assets by the total liabilities</w:t>
      </w:r>
      <w:r w:rsidR="00842B62" w:rsidRPr="006742B0">
        <w:rPr>
          <w:rFonts w:ascii="Times New Roman" w:hAnsi="Times New Roman" w:cs="Times New Roman"/>
          <w:sz w:val="24"/>
          <w:szCs w:val="24"/>
          <w:shd w:val="clear" w:color="auto" w:fill="FFFFFF"/>
        </w:rPr>
        <w:t xml:space="preserve"> (Almeida, R.F.R., 2016). Examining Costco's asset cover ratio over the five years, we notice consistent values above 3, ranging from 3.22 to 3.61. These ratios indicate that Costco's total assets comfortably exceed its total liabilities, providing a substantial cushion for creditors. The steady increase in the asset cover ratio from 2019 to 2023 suggests that Costco has been strengthening its financial position and enhancing its ability to cover liabilities with its assets over time.</w:t>
      </w:r>
    </w:p>
    <w:p w14:paraId="03540357" w14:textId="4CB7B2B0" w:rsidR="0056648B" w:rsidRPr="0056648B" w:rsidRDefault="004B0B18" w:rsidP="0056648B">
      <w:pPr>
        <w:spacing w:line="276" w:lineRule="auto"/>
        <w:jc w:val="both"/>
        <w:rPr>
          <w:rFonts w:ascii="Times New Roman" w:hAnsi="Times New Roman" w:cs="Times New Roman"/>
          <w:sz w:val="24"/>
          <w:szCs w:val="24"/>
          <w:shd w:val="clear" w:color="auto" w:fill="FFFFFF"/>
        </w:rPr>
      </w:pPr>
      <w:r w:rsidRPr="000F3EB8">
        <w:rPr>
          <w:rFonts w:ascii="Times New Roman" w:hAnsi="Times New Roman" w:cs="Times New Roman"/>
          <w:sz w:val="24"/>
          <w:szCs w:val="24"/>
          <w:shd w:val="clear" w:color="auto" w:fill="FFFFFF"/>
        </w:rPr>
        <w:lastRenderedPageBreak/>
        <w:t>To sum up, examining Costco's liquidity ratios</w:t>
      </w:r>
      <w:r w:rsidR="00E129C8">
        <w:rPr>
          <w:rFonts w:ascii="Times New Roman" w:hAnsi="Times New Roman" w:cs="Times New Roman"/>
          <w:sz w:val="24"/>
          <w:szCs w:val="24"/>
          <w:shd w:val="clear" w:color="auto" w:fill="FFFFFF"/>
        </w:rPr>
        <w:t xml:space="preserve"> </w:t>
      </w:r>
      <w:r w:rsidRPr="000F3EB8">
        <w:rPr>
          <w:rFonts w:ascii="Times New Roman" w:hAnsi="Times New Roman" w:cs="Times New Roman"/>
          <w:sz w:val="24"/>
          <w:szCs w:val="24"/>
          <w:shd w:val="clear" w:color="auto" w:fill="FFFFFF"/>
        </w:rPr>
        <w:t>such as the asset cover, liquidity, and current ratios</w:t>
      </w:r>
      <w:r w:rsidR="00E129C8">
        <w:rPr>
          <w:rFonts w:ascii="Times New Roman" w:hAnsi="Times New Roman" w:cs="Times New Roman"/>
          <w:sz w:val="24"/>
          <w:szCs w:val="24"/>
          <w:shd w:val="clear" w:color="auto" w:fill="FFFFFF"/>
        </w:rPr>
        <w:t xml:space="preserve"> </w:t>
      </w:r>
      <w:r w:rsidRPr="000F3EB8">
        <w:rPr>
          <w:rFonts w:ascii="Times New Roman" w:hAnsi="Times New Roman" w:cs="Times New Roman"/>
          <w:sz w:val="24"/>
          <w:szCs w:val="24"/>
          <w:shd w:val="clear" w:color="auto" w:fill="FFFFFF"/>
        </w:rPr>
        <w:t xml:space="preserve">offers important information about the company's capacity to handle short-term debt and financial concerns. </w:t>
      </w:r>
      <w:r w:rsidR="00842B62" w:rsidRPr="006742B0">
        <w:rPr>
          <w:rFonts w:ascii="Times New Roman" w:hAnsi="Times New Roman" w:cs="Times New Roman"/>
          <w:sz w:val="24"/>
          <w:szCs w:val="24"/>
          <w:shd w:val="clear" w:color="auto" w:fill="FFFFFF"/>
        </w:rPr>
        <w:t>Despite some fluctuations, Costco has maintained a solid liquidity position and demonstrated prudent financial management practices, contributing to its overall financial stability and resilience.</w:t>
      </w:r>
    </w:p>
    <w:p w14:paraId="4D16DEF7" w14:textId="557DD48D" w:rsidR="00842B62" w:rsidRDefault="00311BF1" w:rsidP="006B43A4">
      <w:pPr>
        <w:pStyle w:val="Heading2"/>
        <w:spacing w:line="276" w:lineRule="auto"/>
        <w:jc w:val="both"/>
        <w:rPr>
          <w:rFonts w:ascii="Times New Roman" w:hAnsi="Times New Roman" w:cs="Times New Roman"/>
          <w:b/>
          <w:bCs/>
          <w:color w:val="auto"/>
          <w:sz w:val="24"/>
          <w:szCs w:val="24"/>
          <w:shd w:val="clear" w:color="auto" w:fill="FFFFFF"/>
        </w:rPr>
      </w:pPr>
      <w:bookmarkStart w:id="20" w:name="_Toc164812046"/>
      <w:r w:rsidRPr="00B51C2C">
        <w:rPr>
          <w:rFonts w:ascii="Times New Roman" w:hAnsi="Times New Roman" w:cs="Times New Roman"/>
          <w:b/>
          <w:bCs/>
          <w:color w:val="auto"/>
          <w:sz w:val="24"/>
          <w:szCs w:val="24"/>
          <w:shd w:val="clear" w:color="auto" w:fill="FFFFFF"/>
        </w:rPr>
        <w:t xml:space="preserve">2.3 </w:t>
      </w:r>
      <w:r w:rsidR="00842B62" w:rsidRPr="00B51C2C">
        <w:rPr>
          <w:rFonts w:ascii="Times New Roman" w:hAnsi="Times New Roman" w:cs="Times New Roman"/>
          <w:b/>
          <w:bCs/>
          <w:color w:val="auto"/>
          <w:sz w:val="24"/>
          <w:szCs w:val="24"/>
          <w:shd w:val="clear" w:color="auto" w:fill="FFFFFF"/>
        </w:rPr>
        <w:t>GEARING RATIOS</w:t>
      </w:r>
      <w:bookmarkEnd w:id="20"/>
    </w:p>
    <w:p w14:paraId="34F2C3B9" w14:textId="77777777" w:rsidR="00864380" w:rsidRPr="00864380" w:rsidRDefault="00864380" w:rsidP="00864380"/>
    <w:p w14:paraId="01748C31" w14:textId="64641514" w:rsidR="00842B62" w:rsidRPr="00A2157A" w:rsidRDefault="00E17544" w:rsidP="00A2157A">
      <w:pPr>
        <w:jc w:val="center"/>
        <w:rPr>
          <w:rFonts w:ascii="Times New Roman" w:hAnsi="Times New Roman" w:cs="Times New Roman"/>
          <w:b/>
          <w:bCs/>
          <w:sz w:val="24"/>
          <w:szCs w:val="24"/>
          <w:shd w:val="clear" w:color="auto" w:fill="FFFFFF"/>
        </w:rPr>
      </w:pPr>
      <w:bookmarkStart w:id="21" w:name="_Toc164168830"/>
      <w:bookmarkStart w:id="22" w:name="_Toc164780718"/>
      <w:bookmarkStart w:id="23" w:name="_Toc164801376"/>
      <w:bookmarkStart w:id="24" w:name="_Toc164802621"/>
      <w:r w:rsidRPr="00A2157A">
        <w:rPr>
          <w:rFonts w:ascii="Times New Roman" w:hAnsi="Times New Roman" w:cs="Times New Roman"/>
          <w:b/>
          <w:bCs/>
          <w:sz w:val="24"/>
          <w:szCs w:val="24"/>
          <w:shd w:val="clear" w:color="auto" w:fill="FFFFFF"/>
        </w:rPr>
        <w:t>TABLE 3</w:t>
      </w:r>
      <w:bookmarkEnd w:id="21"/>
      <w:r w:rsidR="006B6376" w:rsidRPr="00A2157A">
        <w:rPr>
          <w:rFonts w:ascii="Times New Roman" w:hAnsi="Times New Roman" w:cs="Times New Roman"/>
          <w:b/>
          <w:bCs/>
          <w:sz w:val="24"/>
          <w:szCs w:val="24"/>
          <w:shd w:val="clear" w:color="auto" w:fill="FFFFFF"/>
        </w:rPr>
        <w:t>: Financial Measurement</w:t>
      </w:r>
      <w:bookmarkEnd w:id="22"/>
      <w:bookmarkEnd w:id="23"/>
      <w:bookmarkEnd w:id="24"/>
    </w:p>
    <w:tbl>
      <w:tblPr>
        <w:tblW w:w="4244" w:type="pct"/>
        <w:jc w:val="center"/>
        <w:tblBorders>
          <w:top w:val="single" w:sz="6" w:space="0" w:color="9F9F9F"/>
          <w:left w:val="single" w:sz="6" w:space="0" w:color="9F9F9F"/>
          <w:bottom w:val="single" w:sz="6" w:space="0" w:color="9F9F9F"/>
          <w:right w:val="single" w:sz="6" w:space="0" w:color="9F9F9F"/>
          <w:insideH w:val="single" w:sz="6" w:space="0" w:color="9F9F9F"/>
          <w:insideV w:val="single" w:sz="6" w:space="0" w:color="9F9F9F"/>
        </w:tblBorders>
        <w:tblCellMar>
          <w:left w:w="0" w:type="dxa"/>
          <w:right w:w="0" w:type="dxa"/>
        </w:tblCellMar>
        <w:tblLook w:val="04A0" w:firstRow="1" w:lastRow="0" w:firstColumn="1" w:lastColumn="0" w:noHBand="0" w:noVBand="1"/>
      </w:tblPr>
      <w:tblGrid>
        <w:gridCol w:w="2472"/>
        <w:gridCol w:w="1038"/>
        <w:gridCol w:w="1036"/>
        <w:gridCol w:w="1036"/>
        <w:gridCol w:w="1036"/>
        <w:gridCol w:w="1035"/>
      </w:tblGrid>
      <w:tr w:rsidR="006B43A4" w:rsidRPr="006742B0" w14:paraId="0D0235F0" w14:textId="77777777" w:rsidTr="00EE2B8B">
        <w:trPr>
          <w:trHeight w:val="455"/>
          <w:jc w:val="center"/>
        </w:trPr>
        <w:tc>
          <w:tcPr>
            <w:tcW w:w="5000" w:type="pct"/>
            <w:gridSpan w:val="6"/>
            <w:tcBorders>
              <w:top w:val="single" w:sz="6" w:space="0" w:color="9F9F9F"/>
              <w:left w:val="single" w:sz="4" w:space="0" w:color="9F9F9F"/>
              <w:bottom w:val="single" w:sz="6" w:space="0" w:color="9F9F9F"/>
              <w:right w:val="single" w:sz="4" w:space="0" w:color="9F9F9F"/>
            </w:tcBorders>
          </w:tcPr>
          <w:p w14:paraId="6F32DAD6" w14:textId="77777777" w:rsidR="00842B62" w:rsidRPr="006742B0" w:rsidRDefault="00842B62" w:rsidP="006B43A4">
            <w:pPr>
              <w:pStyle w:val="TableParagraph"/>
              <w:spacing w:line="276" w:lineRule="auto"/>
              <w:ind w:left="108"/>
              <w:jc w:val="both"/>
              <w:rPr>
                <w:b/>
                <w:bCs/>
                <w:sz w:val="24"/>
                <w:szCs w:val="24"/>
              </w:rPr>
            </w:pPr>
            <w:r w:rsidRPr="006742B0">
              <w:rPr>
                <w:b/>
                <w:bCs/>
                <w:sz w:val="24"/>
                <w:szCs w:val="24"/>
              </w:rPr>
              <w:t>COSTCO WHOLESALE CORPORATION</w:t>
            </w:r>
          </w:p>
        </w:tc>
      </w:tr>
      <w:tr w:rsidR="006B43A4" w:rsidRPr="006742B0" w14:paraId="0F22954C" w14:textId="77777777" w:rsidTr="00EE2B8B">
        <w:trPr>
          <w:trHeight w:val="454"/>
          <w:jc w:val="center"/>
        </w:trPr>
        <w:tc>
          <w:tcPr>
            <w:tcW w:w="1615" w:type="pct"/>
            <w:tcBorders>
              <w:top w:val="single" w:sz="6" w:space="0" w:color="9F9F9F"/>
              <w:left w:val="single" w:sz="4" w:space="0" w:color="9F9F9F"/>
              <w:bottom w:val="single" w:sz="6" w:space="0" w:color="9F9F9F"/>
              <w:right w:val="single" w:sz="4" w:space="0" w:color="9F9F9F"/>
            </w:tcBorders>
            <w:hideMark/>
          </w:tcPr>
          <w:p w14:paraId="28DBF04F" w14:textId="77777777" w:rsidR="00842B62" w:rsidRPr="006742B0" w:rsidRDefault="00842B62" w:rsidP="006B43A4">
            <w:pPr>
              <w:pStyle w:val="TableParagraph"/>
              <w:spacing w:line="276" w:lineRule="auto"/>
              <w:ind w:left="108"/>
              <w:jc w:val="both"/>
              <w:rPr>
                <w:b/>
                <w:bCs/>
                <w:sz w:val="24"/>
                <w:szCs w:val="24"/>
              </w:rPr>
            </w:pPr>
            <w:r w:rsidRPr="006742B0">
              <w:rPr>
                <w:b/>
                <w:bCs/>
                <w:sz w:val="24"/>
                <w:szCs w:val="24"/>
              </w:rPr>
              <w:t>Year</w:t>
            </w:r>
          </w:p>
        </w:tc>
        <w:tc>
          <w:tcPr>
            <w:tcW w:w="678" w:type="pct"/>
            <w:tcBorders>
              <w:top w:val="single" w:sz="6" w:space="0" w:color="9F9F9F"/>
              <w:left w:val="single" w:sz="4" w:space="0" w:color="9F9F9F"/>
              <w:bottom w:val="single" w:sz="6" w:space="0" w:color="9F9F9F"/>
              <w:right w:val="single" w:sz="4" w:space="0" w:color="9F9F9F"/>
            </w:tcBorders>
            <w:hideMark/>
          </w:tcPr>
          <w:p w14:paraId="189EE26A" w14:textId="77777777" w:rsidR="00842B62" w:rsidRPr="006742B0" w:rsidRDefault="00842B62" w:rsidP="006B43A4">
            <w:pPr>
              <w:pStyle w:val="TableParagraph"/>
              <w:spacing w:line="276" w:lineRule="auto"/>
              <w:ind w:left="109"/>
              <w:jc w:val="both"/>
              <w:rPr>
                <w:b/>
                <w:bCs/>
                <w:sz w:val="24"/>
                <w:szCs w:val="24"/>
              </w:rPr>
            </w:pPr>
            <w:r w:rsidRPr="006742B0">
              <w:rPr>
                <w:b/>
                <w:bCs/>
                <w:sz w:val="24"/>
                <w:szCs w:val="24"/>
              </w:rPr>
              <w:t>2019</w:t>
            </w:r>
          </w:p>
        </w:tc>
        <w:tc>
          <w:tcPr>
            <w:tcW w:w="677" w:type="pct"/>
            <w:tcBorders>
              <w:top w:val="single" w:sz="6" w:space="0" w:color="9F9F9F"/>
              <w:left w:val="single" w:sz="4" w:space="0" w:color="9F9F9F"/>
              <w:bottom w:val="single" w:sz="6" w:space="0" w:color="9F9F9F"/>
              <w:right w:val="single" w:sz="4" w:space="0" w:color="9F9F9F"/>
            </w:tcBorders>
            <w:hideMark/>
          </w:tcPr>
          <w:p w14:paraId="2260BC93" w14:textId="77777777" w:rsidR="00842B62" w:rsidRPr="006742B0" w:rsidRDefault="00842B62" w:rsidP="006B43A4">
            <w:pPr>
              <w:pStyle w:val="TableParagraph"/>
              <w:spacing w:line="276" w:lineRule="auto"/>
              <w:ind w:left="108"/>
              <w:jc w:val="both"/>
              <w:rPr>
                <w:b/>
                <w:bCs/>
                <w:sz w:val="24"/>
                <w:szCs w:val="24"/>
              </w:rPr>
            </w:pPr>
            <w:r w:rsidRPr="006742B0">
              <w:rPr>
                <w:b/>
                <w:bCs/>
                <w:sz w:val="24"/>
                <w:szCs w:val="24"/>
              </w:rPr>
              <w:t>2020</w:t>
            </w:r>
          </w:p>
        </w:tc>
        <w:tc>
          <w:tcPr>
            <w:tcW w:w="677" w:type="pct"/>
            <w:tcBorders>
              <w:top w:val="single" w:sz="6" w:space="0" w:color="9F9F9F"/>
              <w:left w:val="single" w:sz="4" w:space="0" w:color="9F9F9F"/>
              <w:bottom w:val="single" w:sz="6" w:space="0" w:color="9F9F9F"/>
              <w:right w:val="single" w:sz="4" w:space="0" w:color="9F9F9F"/>
            </w:tcBorders>
            <w:hideMark/>
          </w:tcPr>
          <w:p w14:paraId="742F127D" w14:textId="77777777" w:rsidR="00842B62" w:rsidRPr="006742B0" w:rsidRDefault="00842B62" w:rsidP="006B43A4">
            <w:pPr>
              <w:pStyle w:val="TableParagraph"/>
              <w:spacing w:line="276" w:lineRule="auto"/>
              <w:ind w:left="108"/>
              <w:jc w:val="both"/>
              <w:rPr>
                <w:b/>
                <w:bCs/>
                <w:sz w:val="24"/>
                <w:szCs w:val="24"/>
              </w:rPr>
            </w:pPr>
            <w:r w:rsidRPr="006742B0">
              <w:rPr>
                <w:b/>
                <w:bCs/>
                <w:sz w:val="24"/>
                <w:szCs w:val="24"/>
              </w:rPr>
              <w:t>2021</w:t>
            </w:r>
          </w:p>
        </w:tc>
        <w:tc>
          <w:tcPr>
            <w:tcW w:w="677" w:type="pct"/>
            <w:tcBorders>
              <w:top w:val="single" w:sz="6" w:space="0" w:color="9F9F9F"/>
              <w:left w:val="single" w:sz="4" w:space="0" w:color="9F9F9F"/>
              <w:bottom w:val="single" w:sz="6" w:space="0" w:color="9F9F9F"/>
              <w:right w:val="single" w:sz="4" w:space="0" w:color="9F9F9F"/>
            </w:tcBorders>
            <w:hideMark/>
          </w:tcPr>
          <w:p w14:paraId="4CE5435D" w14:textId="77777777" w:rsidR="00842B62" w:rsidRPr="006742B0" w:rsidRDefault="00842B62" w:rsidP="006B43A4">
            <w:pPr>
              <w:pStyle w:val="TableParagraph"/>
              <w:spacing w:line="276" w:lineRule="auto"/>
              <w:ind w:left="108"/>
              <w:jc w:val="both"/>
              <w:rPr>
                <w:b/>
                <w:bCs/>
                <w:sz w:val="24"/>
                <w:szCs w:val="24"/>
              </w:rPr>
            </w:pPr>
            <w:r w:rsidRPr="006742B0">
              <w:rPr>
                <w:b/>
                <w:bCs/>
                <w:sz w:val="24"/>
                <w:szCs w:val="24"/>
              </w:rPr>
              <w:t>2022</w:t>
            </w:r>
          </w:p>
        </w:tc>
        <w:tc>
          <w:tcPr>
            <w:tcW w:w="676" w:type="pct"/>
            <w:tcBorders>
              <w:top w:val="single" w:sz="6" w:space="0" w:color="9F9F9F"/>
              <w:left w:val="single" w:sz="4" w:space="0" w:color="9F9F9F"/>
              <w:bottom w:val="single" w:sz="6" w:space="0" w:color="9F9F9F"/>
              <w:right w:val="single" w:sz="4" w:space="0" w:color="9F9F9F"/>
            </w:tcBorders>
            <w:hideMark/>
          </w:tcPr>
          <w:p w14:paraId="12562DAA" w14:textId="77777777" w:rsidR="00842B62" w:rsidRPr="006742B0" w:rsidRDefault="00842B62" w:rsidP="006B43A4">
            <w:pPr>
              <w:pStyle w:val="TableParagraph"/>
              <w:spacing w:line="276" w:lineRule="auto"/>
              <w:ind w:left="108"/>
              <w:jc w:val="both"/>
              <w:rPr>
                <w:b/>
                <w:bCs/>
                <w:sz w:val="24"/>
                <w:szCs w:val="24"/>
              </w:rPr>
            </w:pPr>
            <w:r w:rsidRPr="006742B0">
              <w:rPr>
                <w:b/>
                <w:bCs/>
                <w:sz w:val="24"/>
                <w:szCs w:val="24"/>
              </w:rPr>
              <w:t>2023</w:t>
            </w:r>
          </w:p>
        </w:tc>
      </w:tr>
      <w:tr w:rsidR="006B43A4" w:rsidRPr="006742B0" w14:paraId="688079DF" w14:textId="77777777" w:rsidTr="00EE2B8B">
        <w:trPr>
          <w:trHeight w:val="454"/>
          <w:jc w:val="center"/>
        </w:trPr>
        <w:tc>
          <w:tcPr>
            <w:tcW w:w="1615" w:type="pct"/>
            <w:tcBorders>
              <w:top w:val="single" w:sz="6" w:space="0" w:color="9F9F9F"/>
              <w:left w:val="single" w:sz="4" w:space="0" w:color="9F9F9F"/>
              <w:bottom w:val="single" w:sz="6" w:space="0" w:color="9F9F9F"/>
              <w:right w:val="single" w:sz="4" w:space="0" w:color="9F9F9F"/>
            </w:tcBorders>
          </w:tcPr>
          <w:p w14:paraId="3CC6437A" w14:textId="77777777" w:rsidR="00842B62" w:rsidRPr="006742B0" w:rsidRDefault="00842B62" w:rsidP="006B43A4">
            <w:pPr>
              <w:pStyle w:val="TableParagraph"/>
              <w:spacing w:line="276" w:lineRule="auto"/>
              <w:ind w:left="169"/>
              <w:jc w:val="both"/>
              <w:rPr>
                <w:sz w:val="24"/>
                <w:szCs w:val="24"/>
              </w:rPr>
            </w:pPr>
            <w:r w:rsidRPr="006742B0">
              <w:rPr>
                <w:sz w:val="24"/>
                <w:szCs w:val="24"/>
                <w:shd w:val="clear" w:color="auto" w:fill="FFFFFF"/>
              </w:rPr>
              <w:t>Debt To Equity</w:t>
            </w:r>
          </w:p>
        </w:tc>
        <w:tc>
          <w:tcPr>
            <w:tcW w:w="678" w:type="pct"/>
            <w:tcBorders>
              <w:top w:val="single" w:sz="6" w:space="0" w:color="9F9F9F"/>
              <w:left w:val="single" w:sz="4" w:space="0" w:color="9F9F9F"/>
              <w:bottom w:val="single" w:sz="6" w:space="0" w:color="9F9F9F"/>
              <w:right w:val="single" w:sz="4" w:space="0" w:color="9F9F9F"/>
            </w:tcBorders>
          </w:tcPr>
          <w:p w14:paraId="1D176202" w14:textId="77777777" w:rsidR="00842B62" w:rsidRPr="006742B0" w:rsidRDefault="00842B62" w:rsidP="006B43A4">
            <w:pPr>
              <w:pStyle w:val="TableParagraph"/>
              <w:spacing w:line="276" w:lineRule="auto"/>
              <w:ind w:left="109"/>
              <w:jc w:val="both"/>
              <w:rPr>
                <w:sz w:val="24"/>
                <w:szCs w:val="24"/>
              </w:rPr>
            </w:pPr>
            <w:r w:rsidRPr="006742B0">
              <w:rPr>
                <w:sz w:val="24"/>
                <w:szCs w:val="24"/>
                <w:shd w:val="clear" w:color="auto" w:fill="FFFFFF"/>
              </w:rPr>
              <w:t>0.45</w:t>
            </w:r>
          </w:p>
        </w:tc>
        <w:tc>
          <w:tcPr>
            <w:tcW w:w="677" w:type="pct"/>
            <w:tcBorders>
              <w:top w:val="single" w:sz="6" w:space="0" w:color="9F9F9F"/>
              <w:left w:val="single" w:sz="4" w:space="0" w:color="9F9F9F"/>
              <w:bottom w:val="single" w:sz="6" w:space="0" w:color="9F9F9F"/>
              <w:right w:val="single" w:sz="4" w:space="0" w:color="9F9F9F"/>
            </w:tcBorders>
          </w:tcPr>
          <w:p w14:paraId="2517B388" w14:textId="77777777" w:rsidR="00842B62" w:rsidRPr="006742B0" w:rsidRDefault="00842B62" w:rsidP="006B43A4">
            <w:pPr>
              <w:pStyle w:val="TableParagraph"/>
              <w:spacing w:line="276" w:lineRule="auto"/>
              <w:ind w:left="108"/>
              <w:jc w:val="both"/>
              <w:rPr>
                <w:sz w:val="24"/>
                <w:szCs w:val="24"/>
              </w:rPr>
            </w:pPr>
            <w:r w:rsidRPr="006742B0">
              <w:rPr>
                <w:sz w:val="24"/>
                <w:szCs w:val="24"/>
                <w:shd w:val="clear" w:color="auto" w:fill="FFFFFF"/>
              </w:rPr>
              <w:t>0.56</w:t>
            </w:r>
          </w:p>
        </w:tc>
        <w:tc>
          <w:tcPr>
            <w:tcW w:w="677" w:type="pct"/>
            <w:tcBorders>
              <w:top w:val="single" w:sz="6" w:space="0" w:color="9F9F9F"/>
              <w:left w:val="single" w:sz="4" w:space="0" w:color="9F9F9F"/>
              <w:bottom w:val="single" w:sz="6" w:space="0" w:color="9F9F9F"/>
              <w:right w:val="single" w:sz="4" w:space="0" w:color="9F9F9F"/>
            </w:tcBorders>
          </w:tcPr>
          <w:p w14:paraId="194F22DA" w14:textId="77777777" w:rsidR="00842B62" w:rsidRPr="006742B0" w:rsidRDefault="00842B62" w:rsidP="006B43A4">
            <w:pPr>
              <w:pStyle w:val="TableParagraph"/>
              <w:spacing w:line="276" w:lineRule="auto"/>
              <w:ind w:left="108"/>
              <w:jc w:val="both"/>
              <w:rPr>
                <w:sz w:val="24"/>
                <w:szCs w:val="24"/>
              </w:rPr>
            </w:pPr>
            <w:r w:rsidRPr="006742B0">
              <w:rPr>
                <w:sz w:val="24"/>
                <w:szCs w:val="24"/>
                <w:shd w:val="clear" w:color="auto" w:fill="FFFFFF"/>
              </w:rPr>
              <w:t>0.58</w:t>
            </w:r>
          </w:p>
        </w:tc>
        <w:tc>
          <w:tcPr>
            <w:tcW w:w="677" w:type="pct"/>
            <w:tcBorders>
              <w:top w:val="single" w:sz="6" w:space="0" w:color="9F9F9F"/>
              <w:left w:val="single" w:sz="4" w:space="0" w:color="9F9F9F"/>
              <w:bottom w:val="single" w:sz="6" w:space="0" w:color="9F9F9F"/>
              <w:right w:val="single" w:sz="4" w:space="0" w:color="9F9F9F"/>
            </w:tcBorders>
          </w:tcPr>
          <w:p w14:paraId="0BF8D2C0" w14:textId="77777777" w:rsidR="00842B62" w:rsidRPr="006742B0" w:rsidRDefault="00842B62" w:rsidP="006B43A4">
            <w:pPr>
              <w:pStyle w:val="TableParagraph"/>
              <w:spacing w:line="276" w:lineRule="auto"/>
              <w:ind w:left="108"/>
              <w:jc w:val="both"/>
              <w:rPr>
                <w:sz w:val="24"/>
                <w:szCs w:val="24"/>
              </w:rPr>
            </w:pPr>
            <w:r w:rsidRPr="006742B0">
              <w:rPr>
                <w:sz w:val="24"/>
                <w:szCs w:val="24"/>
                <w:shd w:val="clear" w:color="auto" w:fill="FFFFFF"/>
              </w:rPr>
              <w:t>0.44</w:t>
            </w:r>
          </w:p>
        </w:tc>
        <w:tc>
          <w:tcPr>
            <w:tcW w:w="676" w:type="pct"/>
            <w:tcBorders>
              <w:top w:val="single" w:sz="6" w:space="0" w:color="9F9F9F"/>
              <w:left w:val="single" w:sz="4" w:space="0" w:color="9F9F9F"/>
              <w:bottom w:val="single" w:sz="6" w:space="0" w:color="9F9F9F"/>
              <w:right w:val="single" w:sz="4" w:space="0" w:color="9F9F9F"/>
            </w:tcBorders>
          </w:tcPr>
          <w:p w14:paraId="63B9C326" w14:textId="77777777" w:rsidR="00842B62" w:rsidRPr="006742B0" w:rsidRDefault="00842B62" w:rsidP="006B43A4">
            <w:pPr>
              <w:pStyle w:val="TableParagraph"/>
              <w:spacing w:line="276" w:lineRule="auto"/>
              <w:ind w:left="108"/>
              <w:jc w:val="both"/>
              <w:rPr>
                <w:sz w:val="24"/>
                <w:szCs w:val="24"/>
              </w:rPr>
            </w:pPr>
            <w:r w:rsidRPr="006742B0">
              <w:rPr>
                <w:sz w:val="24"/>
                <w:szCs w:val="24"/>
                <w:shd w:val="clear" w:color="auto" w:fill="FFFFFF"/>
              </w:rPr>
              <w:t>0.34</w:t>
            </w:r>
          </w:p>
        </w:tc>
      </w:tr>
      <w:tr w:rsidR="00842B62" w:rsidRPr="006742B0" w14:paraId="2F64961B" w14:textId="77777777" w:rsidTr="00EE2B8B">
        <w:trPr>
          <w:trHeight w:val="455"/>
          <w:jc w:val="center"/>
        </w:trPr>
        <w:tc>
          <w:tcPr>
            <w:tcW w:w="1615" w:type="pct"/>
            <w:tcBorders>
              <w:top w:val="single" w:sz="6" w:space="0" w:color="9F9F9F"/>
              <w:left w:val="single" w:sz="4" w:space="0" w:color="9F9F9F"/>
              <w:bottom w:val="single" w:sz="6" w:space="0" w:color="9F9F9F"/>
              <w:right w:val="single" w:sz="4" w:space="0" w:color="9F9F9F"/>
            </w:tcBorders>
          </w:tcPr>
          <w:p w14:paraId="23D03D86" w14:textId="77777777" w:rsidR="00842B62" w:rsidRPr="006742B0" w:rsidRDefault="00842B62" w:rsidP="006B43A4">
            <w:pPr>
              <w:pStyle w:val="TableParagraph"/>
              <w:spacing w:line="276" w:lineRule="auto"/>
              <w:ind w:left="108"/>
              <w:jc w:val="both"/>
              <w:rPr>
                <w:sz w:val="24"/>
                <w:szCs w:val="24"/>
              </w:rPr>
            </w:pPr>
            <w:r w:rsidRPr="006742B0">
              <w:rPr>
                <w:sz w:val="24"/>
                <w:szCs w:val="24"/>
                <w:shd w:val="clear" w:color="auto" w:fill="FFFFFF"/>
              </w:rPr>
              <w:t>Debt To Capital</w:t>
            </w:r>
          </w:p>
        </w:tc>
        <w:tc>
          <w:tcPr>
            <w:tcW w:w="678" w:type="pct"/>
            <w:tcBorders>
              <w:top w:val="single" w:sz="6" w:space="0" w:color="9F9F9F"/>
              <w:left w:val="single" w:sz="4" w:space="0" w:color="9F9F9F"/>
              <w:bottom w:val="single" w:sz="6" w:space="0" w:color="9F9F9F"/>
              <w:right w:val="single" w:sz="4" w:space="0" w:color="9F9F9F"/>
            </w:tcBorders>
          </w:tcPr>
          <w:p w14:paraId="06D50B89" w14:textId="77777777" w:rsidR="00842B62" w:rsidRPr="006742B0" w:rsidRDefault="00842B62" w:rsidP="006B43A4">
            <w:pPr>
              <w:pStyle w:val="TableParagraph"/>
              <w:spacing w:line="276" w:lineRule="auto"/>
              <w:ind w:left="109"/>
              <w:jc w:val="both"/>
              <w:rPr>
                <w:sz w:val="24"/>
                <w:szCs w:val="24"/>
              </w:rPr>
            </w:pPr>
            <w:r w:rsidRPr="006742B0">
              <w:rPr>
                <w:sz w:val="24"/>
                <w:szCs w:val="24"/>
                <w:shd w:val="clear" w:color="auto" w:fill="FFFFFF"/>
              </w:rPr>
              <w:t>0.31</w:t>
            </w:r>
          </w:p>
        </w:tc>
        <w:tc>
          <w:tcPr>
            <w:tcW w:w="677" w:type="pct"/>
            <w:tcBorders>
              <w:top w:val="single" w:sz="6" w:space="0" w:color="9F9F9F"/>
              <w:left w:val="single" w:sz="4" w:space="0" w:color="9F9F9F"/>
              <w:bottom w:val="single" w:sz="6" w:space="0" w:color="9F9F9F"/>
              <w:right w:val="single" w:sz="4" w:space="0" w:color="9F9F9F"/>
            </w:tcBorders>
          </w:tcPr>
          <w:p w14:paraId="36282FAE" w14:textId="77777777" w:rsidR="00842B62" w:rsidRPr="006742B0" w:rsidRDefault="00842B62" w:rsidP="006B43A4">
            <w:pPr>
              <w:pStyle w:val="TableParagraph"/>
              <w:spacing w:line="276" w:lineRule="auto"/>
              <w:ind w:left="108"/>
              <w:jc w:val="both"/>
              <w:rPr>
                <w:sz w:val="24"/>
                <w:szCs w:val="24"/>
              </w:rPr>
            </w:pPr>
            <w:r w:rsidRPr="006742B0">
              <w:rPr>
                <w:sz w:val="24"/>
                <w:szCs w:val="24"/>
                <w:shd w:val="clear" w:color="auto" w:fill="FFFFFF"/>
              </w:rPr>
              <w:t>0.25</w:t>
            </w:r>
          </w:p>
        </w:tc>
        <w:tc>
          <w:tcPr>
            <w:tcW w:w="677" w:type="pct"/>
            <w:tcBorders>
              <w:top w:val="single" w:sz="6" w:space="0" w:color="9F9F9F"/>
              <w:left w:val="single" w:sz="4" w:space="0" w:color="9F9F9F"/>
              <w:bottom w:val="single" w:sz="6" w:space="0" w:color="9F9F9F"/>
              <w:right w:val="single" w:sz="4" w:space="0" w:color="9F9F9F"/>
            </w:tcBorders>
          </w:tcPr>
          <w:p w14:paraId="3EBA06CB" w14:textId="77777777" w:rsidR="00842B62" w:rsidRPr="006742B0" w:rsidRDefault="00842B62" w:rsidP="006B43A4">
            <w:pPr>
              <w:pStyle w:val="TableParagraph"/>
              <w:spacing w:line="276" w:lineRule="auto"/>
              <w:ind w:left="108"/>
              <w:jc w:val="both"/>
              <w:rPr>
                <w:sz w:val="24"/>
                <w:szCs w:val="24"/>
              </w:rPr>
            </w:pPr>
            <w:r w:rsidRPr="006742B0">
              <w:rPr>
                <w:sz w:val="24"/>
                <w:szCs w:val="24"/>
                <w:shd w:val="clear" w:color="auto" w:fill="FFFFFF"/>
              </w:rPr>
              <w:t>0.30</w:t>
            </w:r>
          </w:p>
        </w:tc>
        <w:tc>
          <w:tcPr>
            <w:tcW w:w="677" w:type="pct"/>
            <w:tcBorders>
              <w:top w:val="single" w:sz="6" w:space="0" w:color="9F9F9F"/>
              <w:left w:val="single" w:sz="4" w:space="0" w:color="9F9F9F"/>
              <w:bottom w:val="single" w:sz="6" w:space="0" w:color="9F9F9F"/>
              <w:right w:val="single" w:sz="4" w:space="0" w:color="9F9F9F"/>
            </w:tcBorders>
          </w:tcPr>
          <w:p w14:paraId="01A378C2" w14:textId="77777777" w:rsidR="00842B62" w:rsidRPr="006742B0" w:rsidRDefault="00842B62" w:rsidP="006B43A4">
            <w:pPr>
              <w:pStyle w:val="TableParagraph"/>
              <w:spacing w:line="276" w:lineRule="auto"/>
              <w:ind w:left="108"/>
              <w:jc w:val="both"/>
              <w:rPr>
                <w:sz w:val="24"/>
                <w:szCs w:val="24"/>
              </w:rPr>
            </w:pPr>
            <w:r w:rsidRPr="006742B0">
              <w:rPr>
                <w:sz w:val="24"/>
                <w:szCs w:val="24"/>
                <w:shd w:val="clear" w:color="auto" w:fill="FFFFFF"/>
              </w:rPr>
              <w:t>0.36</w:t>
            </w:r>
          </w:p>
        </w:tc>
        <w:tc>
          <w:tcPr>
            <w:tcW w:w="676" w:type="pct"/>
            <w:tcBorders>
              <w:top w:val="single" w:sz="6" w:space="0" w:color="9F9F9F"/>
              <w:left w:val="single" w:sz="4" w:space="0" w:color="9F9F9F"/>
              <w:bottom w:val="single" w:sz="6" w:space="0" w:color="9F9F9F"/>
              <w:right w:val="single" w:sz="4" w:space="0" w:color="9F9F9F"/>
            </w:tcBorders>
          </w:tcPr>
          <w:p w14:paraId="775C6A3D" w14:textId="77777777" w:rsidR="00842B62" w:rsidRPr="006742B0" w:rsidRDefault="00842B62" w:rsidP="006B43A4">
            <w:pPr>
              <w:pStyle w:val="TableParagraph"/>
              <w:spacing w:line="276" w:lineRule="auto"/>
              <w:ind w:left="108"/>
              <w:jc w:val="both"/>
              <w:rPr>
                <w:sz w:val="24"/>
                <w:szCs w:val="24"/>
              </w:rPr>
            </w:pPr>
            <w:r w:rsidRPr="006742B0">
              <w:rPr>
                <w:sz w:val="24"/>
                <w:szCs w:val="24"/>
                <w:shd w:val="clear" w:color="auto" w:fill="FFFFFF"/>
              </w:rPr>
              <w:t>0.35</w:t>
            </w:r>
          </w:p>
        </w:tc>
      </w:tr>
    </w:tbl>
    <w:p w14:paraId="40DF570F"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p>
    <w:p w14:paraId="28B1AB74" w14:textId="3C536576" w:rsidR="00B451CA" w:rsidRPr="0056648B" w:rsidRDefault="00C342C5" w:rsidP="0056648B">
      <w:pPr>
        <w:spacing w:line="276" w:lineRule="auto"/>
        <w:jc w:val="both"/>
        <w:rPr>
          <w:rFonts w:ascii="Times New Roman" w:hAnsi="Times New Roman" w:cs="Times New Roman"/>
          <w:sz w:val="24"/>
          <w:szCs w:val="24"/>
          <w:shd w:val="clear" w:color="auto" w:fill="FFFFFF"/>
        </w:rPr>
      </w:pPr>
      <w:r w:rsidRPr="0056648B">
        <w:rPr>
          <w:rFonts w:ascii="Times New Roman" w:hAnsi="Times New Roman" w:cs="Times New Roman"/>
          <w:sz w:val="24"/>
          <w:szCs w:val="24"/>
          <w:shd w:val="clear" w:color="auto" w:fill="FFFFFF"/>
        </w:rPr>
        <w:t xml:space="preserve">Financial measurements known as gearing ratios, like the debt-to-capital and debt-to-equity ratios, are crucial for evaluating a company's financial leverage and capital structure. Regarding Costco Wholesale Corporation, these ratios shed light on </w:t>
      </w:r>
      <w:r w:rsidR="00277F31" w:rsidRPr="0056648B">
        <w:rPr>
          <w:rFonts w:ascii="Times New Roman" w:hAnsi="Times New Roman" w:cs="Times New Roman"/>
          <w:sz w:val="24"/>
          <w:szCs w:val="24"/>
          <w:shd w:val="clear" w:color="auto" w:fill="FFFFFF"/>
        </w:rPr>
        <w:t>how</w:t>
      </w:r>
      <w:r w:rsidRPr="0056648B">
        <w:rPr>
          <w:rFonts w:ascii="Times New Roman" w:hAnsi="Times New Roman" w:cs="Times New Roman"/>
          <w:sz w:val="24"/>
          <w:szCs w:val="24"/>
          <w:shd w:val="clear" w:color="auto" w:fill="FFFFFF"/>
        </w:rPr>
        <w:t xml:space="preserve"> the business finances its activities and the degree of risk involved</w:t>
      </w:r>
      <w:r w:rsidR="00842B62" w:rsidRPr="006742B0">
        <w:rPr>
          <w:rFonts w:ascii="Times New Roman" w:hAnsi="Times New Roman" w:cs="Times New Roman"/>
          <w:sz w:val="24"/>
          <w:szCs w:val="24"/>
          <w:shd w:val="clear" w:color="auto" w:fill="FFFFFF"/>
        </w:rPr>
        <w:t xml:space="preserve"> (Forehand, Roman, and Schaefer, 2021).</w:t>
      </w:r>
    </w:p>
    <w:p w14:paraId="6A6FDA93" w14:textId="1397EF3A" w:rsidR="00842B62" w:rsidRPr="006742B0" w:rsidRDefault="00842B62" w:rsidP="006B43A4">
      <w:pPr>
        <w:spacing w:line="276" w:lineRule="auto"/>
        <w:jc w:val="both"/>
        <w:rPr>
          <w:rFonts w:ascii="Times New Roman" w:eastAsia="Times New Roman" w:hAnsi="Times New Roman" w:cs="Times New Roman"/>
          <w:kern w:val="0"/>
          <w:sz w:val="24"/>
          <w:szCs w:val="24"/>
          <w:lang w:val="en-GB" w:eastAsia="en-GB"/>
          <w14:ligatures w14:val="none"/>
        </w:rPr>
      </w:pPr>
      <w:r w:rsidRPr="006742B0">
        <w:rPr>
          <w:rFonts w:ascii="Times New Roman" w:hAnsi="Times New Roman" w:cs="Times New Roman"/>
          <w:sz w:val="24"/>
          <w:szCs w:val="24"/>
          <w:shd w:val="clear" w:color="auto" w:fill="FFFFFF"/>
        </w:rPr>
        <w:t xml:space="preserve">The Debt-to-Equity and Debt-to-Capital ratios serve as critical indicators of Costco Wholesale Corporation's capital structure and financial risk management strategies. </w:t>
      </w:r>
      <w:r w:rsidR="003854D8" w:rsidRPr="006742B0">
        <w:rPr>
          <w:rFonts w:ascii="Times New Roman" w:eastAsia="Times New Roman" w:hAnsi="Times New Roman" w:cs="Times New Roman"/>
          <w:kern w:val="0"/>
          <w:sz w:val="24"/>
          <w:szCs w:val="24"/>
          <w:lang w:val="en-GB" w:eastAsia="en-GB"/>
          <w14:ligatures w14:val="none"/>
        </w:rPr>
        <w:t>A key indicator in financial research, the debt-to-equity ratio shows how much of a business is funded by debt as opposed to equity (Forehand, Roman, and Schaefer, 2021). Costco's debt-to-equity ratio remained at 0.45 in 2019, meaning that for every dollar of equity, the business had $0.45 in debt. This percentage indicates a balanced approach to capital structure and a moderate reliance on debt financing.</w:t>
      </w:r>
      <w:r w:rsidRPr="006742B0">
        <w:rPr>
          <w:rFonts w:ascii="Times New Roman" w:hAnsi="Times New Roman" w:cs="Times New Roman"/>
          <w:sz w:val="24"/>
          <w:szCs w:val="24"/>
          <w:shd w:val="clear" w:color="auto" w:fill="FFFFFF"/>
        </w:rPr>
        <w:t xml:space="preserve"> However, in subsequent years, the ratio saw an upward trajectory, reaching 0.58 in 2021. This escalation indicates an increasing dependence on debt for financing operations, potentially to fuel expansion or investment initiatives. Notably, in 2023, the ratio declined to 0.34, indicative of a strategic shift towards reducing debt exposure and optimizing the company's capital mix.</w:t>
      </w:r>
    </w:p>
    <w:p w14:paraId="60213BC7"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Conversely, the Debt-to-Capital ratio provides a nuanced perspective by considering total debt relative to the total capital, encompassing both debt and equity. In 2019, Costco exhibited a Debt-to-Capital ratio of 0.31, illustrating that 31% of the company's capital was financed by debt. This figure underscores a balanced capital structure, with a significant portion funded through equity. However, the ratio experienced fluctuations in subsequent years, climbing to 0.36 in 2022 before receding to 0.35 in 2023. This variability indicates dynamic adjustments in Costco's capital allocation strategies over time, potentially in response to market conditions or strategic objectives. Importantly, a lower Debt-to-Capital ratio signifies reduced financial risk, as it denotes a smaller proportion of capital financed by debt, enhancing financial stability and flexibility (Ran, and Zhao, 2023).</w:t>
      </w:r>
    </w:p>
    <w:p w14:paraId="75FF1D3A" w14:textId="711B2704" w:rsidR="00842B62" w:rsidRPr="006742B0" w:rsidRDefault="00842B62" w:rsidP="006B43A4">
      <w:pPr>
        <w:spacing w:line="276" w:lineRule="auto"/>
        <w:jc w:val="both"/>
        <w:rPr>
          <w:rFonts w:ascii="Times New Roman" w:eastAsia="Times New Roman" w:hAnsi="Times New Roman" w:cs="Times New Roman"/>
          <w:kern w:val="0"/>
          <w:sz w:val="24"/>
          <w:szCs w:val="24"/>
          <w:lang w:val="en-GB" w:eastAsia="en-GB"/>
          <w14:ligatures w14:val="none"/>
        </w:rPr>
      </w:pPr>
      <w:r w:rsidRPr="006742B0">
        <w:rPr>
          <w:rFonts w:ascii="Times New Roman" w:hAnsi="Times New Roman" w:cs="Times New Roman"/>
          <w:sz w:val="24"/>
          <w:szCs w:val="24"/>
          <w:shd w:val="clear" w:color="auto" w:fill="FFFFFF"/>
        </w:rPr>
        <w:lastRenderedPageBreak/>
        <w:t xml:space="preserve">In summary, these gearing ratios play a pivotal role in Costco's financial decision-making process, guiding the company's approach to capital sourcing and risk management. </w:t>
      </w:r>
      <w:r w:rsidR="00285D0A" w:rsidRPr="006742B0">
        <w:rPr>
          <w:rFonts w:ascii="Times New Roman" w:eastAsia="Times New Roman" w:hAnsi="Times New Roman" w:cs="Times New Roman"/>
          <w:kern w:val="0"/>
          <w:sz w:val="24"/>
          <w:szCs w:val="24"/>
          <w:lang w:val="en-GB" w:eastAsia="en-GB"/>
          <w14:ligatures w14:val="none"/>
        </w:rPr>
        <w:t>Increased dependence on debt financing, which can boost returns but also increase financial risk, is indicated by a larger debt-to-equity or debt-to-capital ratio. A lower ratio, on the other hand, denotes a more cautious capital structure that may limit prospects for growth while also reducing risk.</w:t>
      </w:r>
      <w:r w:rsidRPr="006742B0">
        <w:rPr>
          <w:rFonts w:ascii="Times New Roman" w:hAnsi="Times New Roman" w:cs="Times New Roman"/>
          <w:sz w:val="24"/>
          <w:szCs w:val="24"/>
          <w:shd w:val="clear" w:color="auto" w:fill="FFFFFF"/>
        </w:rPr>
        <w:t xml:space="preserve"> Costco's management must meticulously evaluate these ratios to strike a balance between leveraging financial resources for growth and safeguarding against excessive indebtedness (Ran, and Zhao, 2023). By maintaining an optimal gearing ratio, Costco can fortify its financial position, sustain growth momentum, and enhance shareholder value over the long term.</w:t>
      </w:r>
    </w:p>
    <w:p w14:paraId="39C7D1B4" w14:textId="755E7218" w:rsidR="00E17544" w:rsidRPr="00864380" w:rsidRDefault="00311BF1" w:rsidP="006B43A4">
      <w:pPr>
        <w:pStyle w:val="Heading2"/>
        <w:spacing w:line="276" w:lineRule="auto"/>
        <w:jc w:val="both"/>
        <w:rPr>
          <w:rFonts w:ascii="Times New Roman" w:hAnsi="Times New Roman" w:cs="Times New Roman"/>
          <w:b/>
          <w:bCs/>
          <w:color w:val="auto"/>
          <w:sz w:val="24"/>
          <w:szCs w:val="24"/>
          <w:shd w:val="clear" w:color="auto" w:fill="FFFFFF"/>
        </w:rPr>
      </w:pPr>
      <w:bookmarkStart w:id="25" w:name="_Toc164812047"/>
      <w:r w:rsidRPr="00864380">
        <w:rPr>
          <w:rFonts w:ascii="Times New Roman" w:hAnsi="Times New Roman" w:cs="Times New Roman"/>
          <w:b/>
          <w:bCs/>
          <w:color w:val="auto"/>
          <w:sz w:val="24"/>
          <w:szCs w:val="24"/>
          <w:shd w:val="clear" w:color="auto" w:fill="FFFFFF"/>
        </w:rPr>
        <w:t xml:space="preserve">2.4 </w:t>
      </w:r>
      <w:r w:rsidR="00842B62" w:rsidRPr="00864380">
        <w:rPr>
          <w:rFonts w:ascii="Times New Roman" w:hAnsi="Times New Roman" w:cs="Times New Roman"/>
          <w:b/>
          <w:bCs/>
          <w:color w:val="auto"/>
          <w:sz w:val="24"/>
          <w:szCs w:val="24"/>
          <w:shd w:val="clear" w:color="auto" w:fill="FFFFFF"/>
        </w:rPr>
        <w:t>EFFICIENCY RATIO</w:t>
      </w:r>
      <w:bookmarkEnd w:id="25"/>
    </w:p>
    <w:p w14:paraId="1C477748" w14:textId="77777777" w:rsidR="00851CDD" w:rsidRDefault="00851CDD" w:rsidP="00660D2A">
      <w:pPr>
        <w:jc w:val="center"/>
        <w:rPr>
          <w:rFonts w:ascii="Times New Roman" w:hAnsi="Times New Roman" w:cs="Times New Roman"/>
          <w:b/>
          <w:bCs/>
          <w:sz w:val="24"/>
          <w:szCs w:val="24"/>
          <w:shd w:val="clear" w:color="auto" w:fill="FFFFFF"/>
        </w:rPr>
      </w:pPr>
      <w:bookmarkStart w:id="26" w:name="_Toc164168832"/>
      <w:bookmarkStart w:id="27" w:name="_Toc164780720"/>
      <w:bookmarkStart w:id="28" w:name="_Toc164801378"/>
      <w:bookmarkStart w:id="29" w:name="_Toc164802623"/>
    </w:p>
    <w:p w14:paraId="4A3A89A8" w14:textId="738DA6DE" w:rsidR="00842B62" w:rsidRPr="00660D2A" w:rsidRDefault="00E17544" w:rsidP="00660D2A">
      <w:pPr>
        <w:jc w:val="center"/>
        <w:rPr>
          <w:rFonts w:ascii="Times New Roman" w:hAnsi="Times New Roman" w:cs="Times New Roman"/>
          <w:b/>
          <w:bCs/>
          <w:sz w:val="24"/>
          <w:szCs w:val="24"/>
          <w:shd w:val="clear" w:color="auto" w:fill="FFFFFF"/>
        </w:rPr>
      </w:pPr>
      <w:r w:rsidRPr="00660D2A">
        <w:rPr>
          <w:rFonts w:ascii="Times New Roman" w:hAnsi="Times New Roman" w:cs="Times New Roman"/>
          <w:b/>
          <w:bCs/>
          <w:sz w:val="24"/>
          <w:szCs w:val="24"/>
          <w:shd w:val="clear" w:color="auto" w:fill="FFFFFF"/>
        </w:rPr>
        <w:t>TABLE 4</w:t>
      </w:r>
      <w:bookmarkEnd w:id="26"/>
      <w:r w:rsidR="006B6376" w:rsidRPr="00660D2A">
        <w:rPr>
          <w:rFonts w:ascii="Times New Roman" w:hAnsi="Times New Roman" w:cs="Times New Roman"/>
          <w:b/>
          <w:bCs/>
          <w:sz w:val="24"/>
          <w:szCs w:val="24"/>
          <w:shd w:val="clear" w:color="auto" w:fill="FFFFFF"/>
        </w:rPr>
        <w:t>: Costco Efficiency Ratio</w:t>
      </w:r>
      <w:bookmarkEnd w:id="27"/>
      <w:bookmarkEnd w:id="28"/>
      <w:bookmarkEnd w:id="29"/>
    </w:p>
    <w:tbl>
      <w:tblPr>
        <w:tblW w:w="4404" w:type="pct"/>
        <w:jc w:val="center"/>
        <w:tblBorders>
          <w:top w:val="single" w:sz="6" w:space="0" w:color="9F9F9F"/>
          <w:left w:val="single" w:sz="6" w:space="0" w:color="9F9F9F"/>
          <w:bottom w:val="single" w:sz="6" w:space="0" w:color="9F9F9F"/>
          <w:right w:val="single" w:sz="6" w:space="0" w:color="9F9F9F"/>
          <w:insideH w:val="single" w:sz="6" w:space="0" w:color="9F9F9F"/>
          <w:insideV w:val="single" w:sz="6" w:space="0" w:color="9F9F9F"/>
        </w:tblBorders>
        <w:tblCellMar>
          <w:left w:w="0" w:type="dxa"/>
          <w:right w:w="0" w:type="dxa"/>
        </w:tblCellMar>
        <w:tblLook w:val="04A0" w:firstRow="1" w:lastRow="0" w:firstColumn="1" w:lastColumn="0" w:noHBand="0" w:noVBand="1"/>
      </w:tblPr>
      <w:tblGrid>
        <w:gridCol w:w="2759"/>
        <w:gridCol w:w="1037"/>
        <w:gridCol w:w="1036"/>
        <w:gridCol w:w="1036"/>
        <w:gridCol w:w="1036"/>
        <w:gridCol w:w="1037"/>
      </w:tblGrid>
      <w:tr w:rsidR="006B43A4" w:rsidRPr="006742B0" w14:paraId="54E88591" w14:textId="77777777" w:rsidTr="00EE2B8B">
        <w:trPr>
          <w:trHeight w:val="455"/>
          <w:jc w:val="center"/>
        </w:trPr>
        <w:tc>
          <w:tcPr>
            <w:tcW w:w="5000" w:type="pct"/>
            <w:gridSpan w:val="6"/>
            <w:tcBorders>
              <w:top w:val="single" w:sz="6" w:space="0" w:color="9F9F9F"/>
              <w:left w:val="single" w:sz="4" w:space="0" w:color="9F9F9F"/>
              <w:bottom w:val="single" w:sz="6" w:space="0" w:color="9F9F9F"/>
              <w:right w:val="single" w:sz="4" w:space="0" w:color="9F9F9F"/>
            </w:tcBorders>
          </w:tcPr>
          <w:p w14:paraId="42BFD8AF" w14:textId="77777777" w:rsidR="00842B62" w:rsidRPr="006742B0" w:rsidRDefault="00842B62" w:rsidP="006B43A4">
            <w:pPr>
              <w:pStyle w:val="TableParagraph"/>
              <w:spacing w:line="276" w:lineRule="auto"/>
              <w:ind w:left="108"/>
              <w:jc w:val="both"/>
              <w:rPr>
                <w:b/>
                <w:bCs/>
                <w:sz w:val="24"/>
                <w:szCs w:val="24"/>
              </w:rPr>
            </w:pPr>
            <w:r w:rsidRPr="006742B0">
              <w:rPr>
                <w:b/>
                <w:bCs/>
                <w:sz w:val="24"/>
                <w:szCs w:val="24"/>
              </w:rPr>
              <w:t>COSTCO WHOLESALE CORPORATION</w:t>
            </w:r>
          </w:p>
        </w:tc>
      </w:tr>
      <w:tr w:rsidR="006B43A4" w:rsidRPr="006742B0" w14:paraId="6AE37A77" w14:textId="77777777" w:rsidTr="00EE2B8B">
        <w:trPr>
          <w:trHeight w:val="454"/>
          <w:jc w:val="center"/>
        </w:trPr>
        <w:tc>
          <w:tcPr>
            <w:tcW w:w="1738" w:type="pct"/>
            <w:tcBorders>
              <w:top w:val="single" w:sz="6" w:space="0" w:color="9F9F9F"/>
              <w:left w:val="single" w:sz="4" w:space="0" w:color="9F9F9F"/>
              <w:bottom w:val="single" w:sz="6" w:space="0" w:color="9F9F9F"/>
              <w:right w:val="single" w:sz="4" w:space="0" w:color="9F9F9F"/>
            </w:tcBorders>
            <w:hideMark/>
          </w:tcPr>
          <w:p w14:paraId="7758FD44" w14:textId="77777777" w:rsidR="00842B62" w:rsidRPr="006742B0" w:rsidRDefault="00842B62" w:rsidP="006B43A4">
            <w:pPr>
              <w:pStyle w:val="TableParagraph"/>
              <w:spacing w:line="276" w:lineRule="auto"/>
              <w:ind w:left="108"/>
              <w:jc w:val="both"/>
              <w:rPr>
                <w:b/>
                <w:bCs/>
                <w:sz w:val="24"/>
                <w:szCs w:val="24"/>
              </w:rPr>
            </w:pPr>
            <w:r w:rsidRPr="006742B0">
              <w:rPr>
                <w:b/>
                <w:bCs/>
                <w:sz w:val="24"/>
                <w:szCs w:val="24"/>
              </w:rPr>
              <w:t>Year</w:t>
            </w:r>
          </w:p>
        </w:tc>
        <w:tc>
          <w:tcPr>
            <w:tcW w:w="653" w:type="pct"/>
            <w:tcBorders>
              <w:top w:val="single" w:sz="6" w:space="0" w:color="9F9F9F"/>
              <w:left w:val="single" w:sz="4" w:space="0" w:color="9F9F9F"/>
              <w:bottom w:val="single" w:sz="6" w:space="0" w:color="9F9F9F"/>
              <w:right w:val="single" w:sz="4" w:space="0" w:color="9F9F9F"/>
            </w:tcBorders>
            <w:hideMark/>
          </w:tcPr>
          <w:p w14:paraId="2BF901A1" w14:textId="77777777" w:rsidR="00842B62" w:rsidRPr="006742B0" w:rsidRDefault="00842B62" w:rsidP="006B43A4">
            <w:pPr>
              <w:pStyle w:val="TableParagraph"/>
              <w:spacing w:line="276" w:lineRule="auto"/>
              <w:ind w:left="109"/>
              <w:jc w:val="both"/>
              <w:rPr>
                <w:b/>
                <w:bCs/>
                <w:sz w:val="24"/>
                <w:szCs w:val="24"/>
              </w:rPr>
            </w:pPr>
            <w:r w:rsidRPr="006742B0">
              <w:rPr>
                <w:b/>
                <w:bCs/>
                <w:sz w:val="24"/>
                <w:szCs w:val="24"/>
              </w:rPr>
              <w:t>2019</w:t>
            </w:r>
          </w:p>
        </w:tc>
        <w:tc>
          <w:tcPr>
            <w:tcW w:w="652" w:type="pct"/>
            <w:tcBorders>
              <w:top w:val="single" w:sz="6" w:space="0" w:color="9F9F9F"/>
              <w:left w:val="single" w:sz="4" w:space="0" w:color="9F9F9F"/>
              <w:bottom w:val="single" w:sz="6" w:space="0" w:color="9F9F9F"/>
              <w:right w:val="single" w:sz="4" w:space="0" w:color="9F9F9F"/>
            </w:tcBorders>
            <w:hideMark/>
          </w:tcPr>
          <w:p w14:paraId="0AC054EF" w14:textId="77777777" w:rsidR="00842B62" w:rsidRPr="006742B0" w:rsidRDefault="00842B62" w:rsidP="006B43A4">
            <w:pPr>
              <w:pStyle w:val="TableParagraph"/>
              <w:spacing w:line="276" w:lineRule="auto"/>
              <w:ind w:left="108"/>
              <w:jc w:val="both"/>
              <w:rPr>
                <w:b/>
                <w:bCs/>
                <w:sz w:val="24"/>
                <w:szCs w:val="24"/>
              </w:rPr>
            </w:pPr>
            <w:r w:rsidRPr="006742B0">
              <w:rPr>
                <w:b/>
                <w:bCs/>
                <w:sz w:val="24"/>
                <w:szCs w:val="24"/>
              </w:rPr>
              <w:t>2020</w:t>
            </w:r>
          </w:p>
        </w:tc>
        <w:tc>
          <w:tcPr>
            <w:tcW w:w="652" w:type="pct"/>
            <w:tcBorders>
              <w:top w:val="single" w:sz="6" w:space="0" w:color="9F9F9F"/>
              <w:left w:val="single" w:sz="4" w:space="0" w:color="9F9F9F"/>
              <w:bottom w:val="single" w:sz="6" w:space="0" w:color="9F9F9F"/>
              <w:right w:val="single" w:sz="4" w:space="0" w:color="9F9F9F"/>
            </w:tcBorders>
            <w:hideMark/>
          </w:tcPr>
          <w:p w14:paraId="0F870754" w14:textId="77777777" w:rsidR="00842B62" w:rsidRPr="006742B0" w:rsidRDefault="00842B62" w:rsidP="006B43A4">
            <w:pPr>
              <w:pStyle w:val="TableParagraph"/>
              <w:spacing w:line="276" w:lineRule="auto"/>
              <w:ind w:left="108"/>
              <w:jc w:val="both"/>
              <w:rPr>
                <w:b/>
                <w:bCs/>
                <w:sz w:val="24"/>
                <w:szCs w:val="24"/>
              </w:rPr>
            </w:pPr>
            <w:r w:rsidRPr="006742B0">
              <w:rPr>
                <w:b/>
                <w:bCs/>
                <w:sz w:val="24"/>
                <w:szCs w:val="24"/>
              </w:rPr>
              <w:t>2021</w:t>
            </w:r>
          </w:p>
        </w:tc>
        <w:tc>
          <w:tcPr>
            <w:tcW w:w="652" w:type="pct"/>
            <w:tcBorders>
              <w:top w:val="single" w:sz="6" w:space="0" w:color="9F9F9F"/>
              <w:left w:val="single" w:sz="4" w:space="0" w:color="9F9F9F"/>
              <w:bottom w:val="single" w:sz="6" w:space="0" w:color="9F9F9F"/>
              <w:right w:val="single" w:sz="4" w:space="0" w:color="9F9F9F"/>
            </w:tcBorders>
            <w:hideMark/>
          </w:tcPr>
          <w:p w14:paraId="4A30E553" w14:textId="77777777" w:rsidR="00842B62" w:rsidRPr="006742B0" w:rsidRDefault="00842B62" w:rsidP="006B43A4">
            <w:pPr>
              <w:pStyle w:val="TableParagraph"/>
              <w:spacing w:line="276" w:lineRule="auto"/>
              <w:ind w:left="108"/>
              <w:jc w:val="both"/>
              <w:rPr>
                <w:b/>
                <w:bCs/>
                <w:sz w:val="24"/>
                <w:szCs w:val="24"/>
              </w:rPr>
            </w:pPr>
            <w:r w:rsidRPr="006742B0">
              <w:rPr>
                <w:b/>
                <w:bCs/>
                <w:sz w:val="24"/>
                <w:szCs w:val="24"/>
              </w:rPr>
              <w:t>2022</w:t>
            </w:r>
          </w:p>
        </w:tc>
        <w:tc>
          <w:tcPr>
            <w:tcW w:w="652" w:type="pct"/>
            <w:tcBorders>
              <w:top w:val="single" w:sz="6" w:space="0" w:color="9F9F9F"/>
              <w:left w:val="single" w:sz="4" w:space="0" w:color="9F9F9F"/>
              <w:bottom w:val="single" w:sz="6" w:space="0" w:color="9F9F9F"/>
              <w:right w:val="single" w:sz="4" w:space="0" w:color="9F9F9F"/>
            </w:tcBorders>
            <w:hideMark/>
          </w:tcPr>
          <w:p w14:paraId="50DA89C0" w14:textId="77777777" w:rsidR="00842B62" w:rsidRPr="006742B0" w:rsidRDefault="00842B62" w:rsidP="006B43A4">
            <w:pPr>
              <w:pStyle w:val="TableParagraph"/>
              <w:spacing w:line="276" w:lineRule="auto"/>
              <w:ind w:left="108"/>
              <w:jc w:val="both"/>
              <w:rPr>
                <w:b/>
                <w:bCs/>
                <w:sz w:val="24"/>
                <w:szCs w:val="24"/>
              </w:rPr>
            </w:pPr>
            <w:r w:rsidRPr="006742B0">
              <w:rPr>
                <w:b/>
                <w:bCs/>
                <w:sz w:val="24"/>
                <w:szCs w:val="24"/>
              </w:rPr>
              <w:t>2023</w:t>
            </w:r>
          </w:p>
        </w:tc>
      </w:tr>
      <w:tr w:rsidR="006B43A4" w:rsidRPr="006742B0" w14:paraId="7A686A8E" w14:textId="77777777" w:rsidTr="00EE2B8B">
        <w:trPr>
          <w:trHeight w:val="454"/>
          <w:jc w:val="center"/>
        </w:trPr>
        <w:tc>
          <w:tcPr>
            <w:tcW w:w="1738" w:type="pct"/>
            <w:tcBorders>
              <w:top w:val="single" w:sz="6" w:space="0" w:color="9F9F9F"/>
              <w:left w:val="single" w:sz="4" w:space="0" w:color="9F9F9F"/>
              <w:bottom w:val="single" w:sz="6" w:space="0" w:color="9F9F9F"/>
              <w:right w:val="single" w:sz="4" w:space="0" w:color="9F9F9F"/>
            </w:tcBorders>
            <w:hideMark/>
          </w:tcPr>
          <w:p w14:paraId="33DE20C4" w14:textId="77777777" w:rsidR="00842B62" w:rsidRPr="006742B0" w:rsidRDefault="00842B62" w:rsidP="006B43A4">
            <w:pPr>
              <w:pStyle w:val="TableParagraph"/>
              <w:spacing w:line="276" w:lineRule="auto"/>
              <w:ind w:left="169"/>
              <w:jc w:val="both"/>
              <w:rPr>
                <w:sz w:val="24"/>
                <w:szCs w:val="24"/>
              </w:rPr>
            </w:pPr>
            <w:r w:rsidRPr="006742B0">
              <w:rPr>
                <w:spacing w:val="-1"/>
                <w:sz w:val="24"/>
                <w:szCs w:val="24"/>
              </w:rPr>
              <w:t>Net</w:t>
            </w:r>
            <w:r w:rsidRPr="006742B0">
              <w:rPr>
                <w:spacing w:val="-13"/>
                <w:sz w:val="24"/>
                <w:szCs w:val="24"/>
              </w:rPr>
              <w:t xml:space="preserve"> </w:t>
            </w:r>
            <w:r w:rsidRPr="006742B0">
              <w:rPr>
                <w:spacing w:val="-1"/>
                <w:sz w:val="24"/>
                <w:szCs w:val="24"/>
              </w:rPr>
              <w:t>Assets</w:t>
            </w:r>
            <w:r w:rsidRPr="006742B0">
              <w:rPr>
                <w:spacing w:val="-4"/>
                <w:sz w:val="24"/>
                <w:szCs w:val="24"/>
              </w:rPr>
              <w:t xml:space="preserve"> </w:t>
            </w:r>
            <w:r w:rsidRPr="006742B0">
              <w:rPr>
                <w:spacing w:val="-1"/>
                <w:sz w:val="24"/>
                <w:szCs w:val="24"/>
              </w:rPr>
              <w:t>Turnover</w:t>
            </w:r>
            <w:r w:rsidRPr="006742B0">
              <w:rPr>
                <w:spacing w:val="1"/>
                <w:sz w:val="24"/>
                <w:szCs w:val="24"/>
              </w:rPr>
              <w:t xml:space="preserve"> </w:t>
            </w:r>
            <w:r w:rsidRPr="006742B0">
              <w:rPr>
                <w:sz w:val="24"/>
                <w:szCs w:val="24"/>
              </w:rPr>
              <w:t>(x)</w:t>
            </w:r>
          </w:p>
        </w:tc>
        <w:tc>
          <w:tcPr>
            <w:tcW w:w="653" w:type="pct"/>
            <w:tcBorders>
              <w:top w:val="single" w:sz="6" w:space="0" w:color="9F9F9F"/>
              <w:left w:val="single" w:sz="4" w:space="0" w:color="9F9F9F"/>
              <w:bottom w:val="single" w:sz="6" w:space="0" w:color="9F9F9F"/>
              <w:right w:val="single" w:sz="4" w:space="0" w:color="9F9F9F"/>
            </w:tcBorders>
          </w:tcPr>
          <w:p w14:paraId="6B9BCAA7" w14:textId="77777777" w:rsidR="00842B62" w:rsidRPr="006742B0" w:rsidRDefault="00842B62" w:rsidP="006B43A4">
            <w:pPr>
              <w:pStyle w:val="TableParagraph"/>
              <w:spacing w:line="276" w:lineRule="auto"/>
              <w:ind w:left="109"/>
              <w:jc w:val="both"/>
              <w:rPr>
                <w:sz w:val="24"/>
                <w:szCs w:val="24"/>
              </w:rPr>
            </w:pPr>
            <w:r w:rsidRPr="006742B0">
              <w:rPr>
                <w:sz w:val="24"/>
                <w:szCs w:val="24"/>
              </w:rPr>
              <w:t>3.36</w:t>
            </w:r>
          </w:p>
        </w:tc>
        <w:tc>
          <w:tcPr>
            <w:tcW w:w="652" w:type="pct"/>
            <w:tcBorders>
              <w:top w:val="single" w:sz="6" w:space="0" w:color="9F9F9F"/>
              <w:left w:val="single" w:sz="4" w:space="0" w:color="9F9F9F"/>
              <w:bottom w:val="single" w:sz="6" w:space="0" w:color="9F9F9F"/>
              <w:right w:val="single" w:sz="4" w:space="0" w:color="9F9F9F"/>
            </w:tcBorders>
          </w:tcPr>
          <w:p w14:paraId="52BA657F" w14:textId="77777777" w:rsidR="00842B62" w:rsidRPr="006742B0" w:rsidRDefault="00842B62" w:rsidP="006B43A4">
            <w:pPr>
              <w:pStyle w:val="TableParagraph"/>
              <w:spacing w:line="276" w:lineRule="auto"/>
              <w:ind w:left="108"/>
              <w:jc w:val="both"/>
              <w:rPr>
                <w:sz w:val="24"/>
                <w:szCs w:val="24"/>
              </w:rPr>
            </w:pPr>
            <w:r w:rsidRPr="006742B0">
              <w:rPr>
                <w:sz w:val="24"/>
                <w:szCs w:val="24"/>
              </w:rPr>
              <w:t>3.00</w:t>
            </w:r>
          </w:p>
        </w:tc>
        <w:tc>
          <w:tcPr>
            <w:tcW w:w="652" w:type="pct"/>
            <w:tcBorders>
              <w:top w:val="single" w:sz="6" w:space="0" w:color="9F9F9F"/>
              <w:left w:val="single" w:sz="4" w:space="0" w:color="9F9F9F"/>
              <w:bottom w:val="single" w:sz="6" w:space="0" w:color="9F9F9F"/>
              <w:right w:val="single" w:sz="4" w:space="0" w:color="9F9F9F"/>
            </w:tcBorders>
          </w:tcPr>
          <w:p w14:paraId="53D4AAA7" w14:textId="77777777" w:rsidR="00842B62" w:rsidRPr="006742B0" w:rsidRDefault="00842B62" w:rsidP="006B43A4">
            <w:pPr>
              <w:pStyle w:val="TableParagraph"/>
              <w:spacing w:line="276" w:lineRule="auto"/>
              <w:ind w:left="108"/>
              <w:jc w:val="both"/>
              <w:rPr>
                <w:sz w:val="24"/>
                <w:szCs w:val="24"/>
              </w:rPr>
            </w:pPr>
            <w:r w:rsidRPr="006742B0">
              <w:rPr>
                <w:sz w:val="24"/>
                <w:szCs w:val="24"/>
              </w:rPr>
              <w:t>3.31</w:t>
            </w:r>
          </w:p>
        </w:tc>
        <w:tc>
          <w:tcPr>
            <w:tcW w:w="652" w:type="pct"/>
            <w:tcBorders>
              <w:top w:val="single" w:sz="6" w:space="0" w:color="9F9F9F"/>
              <w:left w:val="single" w:sz="4" w:space="0" w:color="9F9F9F"/>
              <w:bottom w:val="single" w:sz="6" w:space="0" w:color="9F9F9F"/>
              <w:right w:val="single" w:sz="4" w:space="0" w:color="9F9F9F"/>
            </w:tcBorders>
          </w:tcPr>
          <w:p w14:paraId="20A3A9A1" w14:textId="77777777" w:rsidR="00842B62" w:rsidRPr="006742B0" w:rsidRDefault="00842B62" w:rsidP="006B43A4">
            <w:pPr>
              <w:pStyle w:val="TableParagraph"/>
              <w:spacing w:line="276" w:lineRule="auto"/>
              <w:ind w:left="108"/>
              <w:jc w:val="both"/>
              <w:rPr>
                <w:sz w:val="24"/>
                <w:szCs w:val="24"/>
              </w:rPr>
            </w:pPr>
            <w:r w:rsidRPr="006742B0">
              <w:rPr>
                <w:sz w:val="24"/>
                <w:szCs w:val="24"/>
              </w:rPr>
              <w:t>3.54</w:t>
            </w:r>
          </w:p>
        </w:tc>
        <w:tc>
          <w:tcPr>
            <w:tcW w:w="652" w:type="pct"/>
            <w:tcBorders>
              <w:top w:val="single" w:sz="6" w:space="0" w:color="9F9F9F"/>
              <w:left w:val="single" w:sz="4" w:space="0" w:color="9F9F9F"/>
              <w:bottom w:val="single" w:sz="6" w:space="0" w:color="9F9F9F"/>
              <w:right w:val="single" w:sz="4" w:space="0" w:color="9F9F9F"/>
            </w:tcBorders>
          </w:tcPr>
          <w:p w14:paraId="41AF3A9D" w14:textId="77777777" w:rsidR="00842B62" w:rsidRPr="006742B0" w:rsidRDefault="00842B62" w:rsidP="006B43A4">
            <w:pPr>
              <w:pStyle w:val="TableParagraph"/>
              <w:spacing w:line="276" w:lineRule="auto"/>
              <w:ind w:left="108"/>
              <w:jc w:val="both"/>
              <w:rPr>
                <w:sz w:val="24"/>
                <w:szCs w:val="24"/>
              </w:rPr>
            </w:pPr>
            <w:r w:rsidRPr="006742B0">
              <w:rPr>
                <w:sz w:val="24"/>
                <w:szCs w:val="24"/>
              </w:rPr>
              <w:t>3.51</w:t>
            </w:r>
          </w:p>
        </w:tc>
      </w:tr>
      <w:tr w:rsidR="006B43A4" w:rsidRPr="006742B0" w14:paraId="2C8F024D" w14:textId="77777777" w:rsidTr="00EE2B8B">
        <w:trPr>
          <w:trHeight w:val="455"/>
          <w:jc w:val="center"/>
        </w:trPr>
        <w:tc>
          <w:tcPr>
            <w:tcW w:w="1738" w:type="pct"/>
            <w:tcBorders>
              <w:top w:val="single" w:sz="6" w:space="0" w:color="9F9F9F"/>
              <w:left w:val="single" w:sz="4" w:space="0" w:color="9F9F9F"/>
              <w:bottom w:val="single" w:sz="6" w:space="0" w:color="9F9F9F"/>
              <w:right w:val="single" w:sz="4" w:space="0" w:color="9F9F9F"/>
            </w:tcBorders>
            <w:hideMark/>
          </w:tcPr>
          <w:p w14:paraId="12CCBB68" w14:textId="77777777" w:rsidR="00842B62" w:rsidRPr="006742B0" w:rsidRDefault="00842B62" w:rsidP="006B43A4">
            <w:pPr>
              <w:pStyle w:val="TableParagraph"/>
              <w:spacing w:line="276" w:lineRule="auto"/>
              <w:ind w:left="108"/>
              <w:jc w:val="both"/>
              <w:rPr>
                <w:sz w:val="24"/>
                <w:szCs w:val="24"/>
              </w:rPr>
            </w:pPr>
            <w:r w:rsidRPr="006742B0">
              <w:rPr>
                <w:spacing w:val="-1"/>
                <w:sz w:val="24"/>
                <w:szCs w:val="24"/>
              </w:rPr>
              <w:t>Fixed</w:t>
            </w:r>
            <w:r w:rsidRPr="006742B0">
              <w:rPr>
                <w:spacing w:val="-14"/>
                <w:sz w:val="24"/>
                <w:szCs w:val="24"/>
              </w:rPr>
              <w:t xml:space="preserve"> </w:t>
            </w:r>
            <w:r w:rsidRPr="006742B0">
              <w:rPr>
                <w:spacing w:val="-1"/>
                <w:sz w:val="24"/>
                <w:szCs w:val="24"/>
              </w:rPr>
              <w:t>Assets</w:t>
            </w:r>
            <w:r w:rsidRPr="006742B0">
              <w:rPr>
                <w:spacing w:val="-6"/>
                <w:sz w:val="24"/>
                <w:szCs w:val="24"/>
              </w:rPr>
              <w:t xml:space="preserve"> </w:t>
            </w:r>
            <w:r w:rsidRPr="006742B0">
              <w:rPr>
                <w:sz w:val="24"/>
                <w:szCs w:val="24"/>
              </w:rPr>
              <w:t>Turnover</w:t>
            </w:r>
            <w:r w:rsidRPr="006742B0">
              <w:rPr>
                <w:spacing w:val="-1"/>
                <w:sz w:val="24"/>
                <w:szCs w:val="24"/>
              </w:rPr>
              <w:t xml:space="preserve"> </w:t>
            </w:r>
            <w:r w:rsidRPr="006742B0">
              <w:rPr>
                <w:sz w:val="24"/>
                <w:szCs w:val="24"/>
              </w:rPr>
              <w:t>(x)</w:t>
            </w:r>
          </w:p>
        </w:tc>
        <w:tc>
          <w:tcPr>
            <w:tcW w:w="653" w:type="pct"/>
            <w:tcBorders>
              <w:top w:val="single" w:sz="6" w:space="0" w:color="9F9F9F"/>
              <w:left w:val="single" w:sz="4" w:space="0" w:color="9F9F9F"/>
              <w:bottom w:val="single" w:sz="6" w:space="0" w:color="9F9F9F"/>
              <w:right w:val="single" w:sz="4" w:space="0" w:color="9F9F9F"/>
            </w:tcBorders>
          </w:tcPr>
          <w:p w14:paraId="533E34F6" w14:textId="77777777" w:rsidR="00842B62" w:rsidRPr="006742B0" w:rsidRDefault="00842B62" w:rsidP="006B43A4">
            <w:pPr>
              <w:pStyle w:val="TableParagraph"/>
              <w:spacing w:line="276" w:lineRule="auto"/>
              <w:ind w:left="109"/>
              <w:jc w:val="both"/>
              <w:rPr>
                <w:sz w:val="24"/>
                <w:szCs w:val="24"/>
              </w:rPr>
            </w:pPr>
            <w:r w:rsidRPr="006742B0">
              <w:rPr>
                <w:sz w:val="24"/>
                <w:szCs w:val="24"/>
              </w:rPr>
              <w:t>7.31</w:t>
            </w:r>
          </w:p>
        </w:tc>
        <w:tc>
          <w:tcPr>
            <w:tcW w:w="652" w:type="pct"/>
            <w:tcBorders>
              <w:top w:val="single" w:sz="6" w:space="0" w:color="9F9F9F"/>
              <w:left w:val="single" w:sz="4" w:space="0" w:color="9F9F9F"/>
              <w:bottom w:val="single" w:sz="6" w:space="0" w:color="9F9F9F"/>
              <w:right w:val="single" w:sz="4" w:space="0" w:color="9F9F9F"/>
            </w:tcBorders>
          </w:tcPr>
          <w:p w14:paraId="14829357" w14:textId="77777777" w:rsidR="00842B62" w:rsidRPr="006742B0" w:rsidRDefault="00842B62" w:rsidP="006B43A4">
            <w:pPr>
              <w:pStyle w:val="TableParagraph"/>
              <w:spacing w:line="276" w:lineRule="auto"/>
              <w:ind w:left="108"/>
              <w:jc w:val="both"/>
              <w:rPr>
                <w:sz w:val="24"/>
                <w:szCs w:val="24"/>
              </w:rPr>
            </w:pPr>
            <w:r w:rsidRPr="006742B0">
              <w:rPr>
                <w:sz w:val="24"/>
                <w:szCs w:val="24"/>
              </w:rPr>
              <w:t>7.65</w:t>
            </w:r>
          </w:p>
        </w:tc>
        <w:tc>
          <w:tcPr>
            <w:tcW w:w="652" w:type="pct"/>
            <w:tcBorders>
              <w:top w:val="single" w:sz="6" w:space="0" w:color="9F9F9F"/>
              <w:left w:val="single" w:sz="4" w:space="0" w:color="9F9F9F"/>
              <w:bottom w:val="single" w:sz="6" w:space="0" w:color="9F9F9F"/>
              <w:right w:val="single" w:sz="4" w:space="0" w:color="9F9F9F"/>
            </w:tcBorders>
          </w:tcPr>
          <w:p w14:paraId="705B3F81" w14:textId="77777777" w:rsidR="00842B62" w:rsidRPr="006742B0" w:rsidRDefault="00842B62" w:rsidP="006B43A4">
            <w:pPr>
              <w:pStyle w:val="TableParagraph"/>
              <w:spacing w:line="276" w:lineRule="auto"/>
              <w:ind w:left="108"/>
              <w:jc w:val="both"/>
              <w:rPr>
                <w:sz w:val="24"/>
                <w:szCs w:val="24"/>
              </w:rPr>
            </w:pPr>
            <w:r w:rsidRPr="006742B0">
              <w:rPr>
                <w:sz w:val="24"/>
                <w:szCs w:val="24"/>
              </w:rPr>
              <w:t>8.34</w:t>
            </w:r>
          </w:p>
        </w:tc>
        <w:tc>
          <w:tcPr>
            <w:tcW w:w="652" w:type="pct"/>
            <w:tcBorders>
              <w:top w:val="single" w:sz="6" w:space="0" w:color="9F9F9F"/>
              <w:left w:val="single" w:sz="4" w:space="0" w:color="9F9F9F"/>
              <w:bottom w:val="single" w:sz="6" w:space="0" w:color="9F9F9F"/>
              <w:right w:val="single" w:sz="4" w:space="0" w:color="9F9F9F"/>
            </w:tcBorders>
          </w:tcPr>
          <w:p w14:paraId="77A01BF7" w14:textId="77777777" w:rsidR="00842B62" w:rsidRPr="006742B0" w:rsidRDefault="00842B62" w:rsidP="006B43A4">
            <w:pPr>
              <w:pStyle w:val="TableParagraph"/>
              <w:spacing w:line="276" w:lineRule="auto"/>
              <w:ind w:left="108"/>
              <w:jc w:val="both"/>
              <w:rPr>
                <w:sz w:val="24"/>
                <w:szCs w:val="24"/>
              </w:rPr>
            </w:pPr>
            <w:r w:rsidRPr="006742B0">
              <w:rPr>
                <w:sz w:val="24"/>
                <w:szCs w:val="24"/>
              </w:rPr>
              <w:t>9.21</w:t>
            </w:r>
          </w:p>
        </w:tc>
        <w:tc>
          <w:tcPr>
            <w:tcW w:w="652" w:type="pct"/>
            <w:tcBorders>
              <w:top w:val="single" w:sz="6" w:space="0" w:color="9F9F9F"/>
              <w:left w:val="single" w:sz="4" w:space="0" w:color="9F9F9F"/>
              <w:bottom w:val="single" w:sz="6" w:space="0" w:color="9F9F9F"/>
              <w:right w:val="single" w:sz="4" w:space="0" w:color="9F9F9F"/>
            </w:tcBorders>
          </w:tcPr>
          <w:p w14:paraId="545DC658" w14:textId="77777777" w:rsidR="00842B62" w:rsidRPr="006742B0" w:rsidRDefault="00842B62" w:rsidP="006B43A4">
            <w:pPr>
              <w:pStyle w:val="TableParagraph"/>
              <w:spacing w:line="276" w:lineRule="auto"/>
              <w:ind w:left="108"/>
              <w:jc w:val="both"/>
              <w:rPr>
                <w:sz w:val="24"/>
                <w:szCs w:val="24"/>
              </w:rPr>
            </w:pPr>
            <w:r w:rsidRPr="006742B0">
              <w:rPr>
                <w:sz w:val="24"/>
                <w:szCs w:val="24"/>
              </w:rPr>
              <w:t>9.08</w:t>
            </w:r>
          </w:p>
        </w:tc>
      </w:tr>
      <w:tr w:rsidR="006B43A4" w:rsidRPr="006742B0" w14:paraId="3B3BB35D" w14:textId="77777777" w:rsidTr="00EE2B8B">
        <w:trPr>
          <w:trHeight w:val="454"/>
          <w:jc w:val="center"/>
        </w:trPr>
        <w:tc>
          <w:tcPr>
            <w:tcW w:w="1738" w:type="pct"/>
            <w:tcBorders>
              <w:top w:val="single" w:sz="6" w:space="0" w:color="9F9F9F"/>
              <w:left w:val="single" w:sz="4" w:space="0" w:color="9F9F9F"/>
              <w:bottom w:val="single" w:sz="6" w:space="0" w:color="9F9F9F"/>
              <w:right w:val="single" w:sz="4" w:space="0" w:color="9F9F9F"/>
            </w:tcBorders>
            <w:hideMark/>
          </w:tcPr>
          <w:p w14:paraId="0557FFC5" w14:textId="77777777" w:rsidR="00842B62" w:rsidRPr="006742B0" w:rsidRDefault="00842B62" w:rsidP="006B43A4">
            <w:pPr>
              <w:pStyle w:val="TableParagraph"/>
              <w:spacing w:line="276" w:lineRule="auto"/>
              <w:ind w:left="169"/>
              <w:jc w:val="both"/>
              <w:rPr>
                <w:sz w:val="24"/>
                <w:szCs w:val="24"/>
              </w:rPr>
            </w:pPr>
            <w:r w:rsidRPr="006742B0">
              <w:rPr>
                <w:sz w:val="24"/>
                <w:szCs w:val="24"/>
              </w:rPr>
              <w:t>Interest</w:t>
            </w:r>
            <w:r w:rsidRPr="006742B0">
              <w:rPr>
                <w:spacing w:val="-3"/>
                <w:sz w:val="24"/>
                <w:szCs w:val="24"/>
              </w:rPr>
              <w:t xml:space="preserve"> </w:t>
            </w:r>
            <w:r w:rsidRPr="006742B0">
              <w:rPr>
                <w:sz w:val="24"/>
                <w:szCs w:val="24"/>
              </w:rPr>
              <w:t>Cover</w:t>
            </w:r>
            <w:r w:rsidRPr="006742B0">
              <w:rPr>
                <w:spacing w:val="-2"/>
                <w:sz w:val="24"/>
                <w:szCs w:val="24"/>
              </w:rPr>
              <w:t xml:space="preserve"> </w:t>
            </w:r>
            <w:r w:rsidRPr="006742B0">
              <w:rPr>
                <w:sz w:val="24"/>
                <w:szCs w:val="24"/>
              </w:rPr>
              <w:t>(x)</w:t>
            </w:r>
          </w:p>
        </w:tc>
        <w:tc>
          <w:tcPr>
            <w:tcW w:w="653" w:type="pct"/>
            <w:tcBorders>
              <w:top w:val="single" w:sz="6" w:space="0" w:color="9F9F9F"/>
              <w:left w:val="single" w:sz="4" w:space="0" w:color="9F9F9F"/>
              <w:bottom w:val="single" w:sz="6" w:space="0" w:color="9F9F9F"/>
              <w:right w:val="single" w:sz="4" w:space="0" w:color="9F9F9F"/>
            </w:tcBorders>
          </w:tcPr>
          <w:p w14:paraId="1BFBDA19" w14:textId="77777777" w:rsidR="00842B62" w:rsidRPr="006742B0" w:rsidRDefault="00842B62" w:rsidP="006B43A4">
            <w:pPr>
              <w:pStyle w:val="TableParagraph"/>
              <w:spacing w:line="276" w:lineRule="auto"/>
              <w:ind w:left="109"/>
              <w:jc w:val="both"/>
              <w:rPr>
                <w:sz w:val="24"/>
                <w:szCs w:val="24"/>
              </w:rPr>
            </w:pPr>
            <w:r w:rsidRPr="006742B0">
              <w:rPr>
                <w:sz w:val="24"/>
                <w:szCs w:val="24"/>
              </w:rPr>
              <w:t>32.47</w:t>
            </w:r>
          </w:p>
        </w:tc>
        <w:tc>
          <w:tcPr>
            <w:tcW w:w="652" w:type="pct"/>
            <w:tcBorders>
              <w:top w:val="single" w:sz="6" w:space="0" w:color="9F9F9F"/>
              <w:left w:val="single" w:sz="4" w:space="0" w:color="9F9F9F"/>
              <w:bottom w:val="single" w:sz="6" w:space="0" w:color="9F9F9F"/>
              <w:right w:val="single" w:sz="4" w:space="0" w:color="9F9F9F"/>
            </w:tcBorders>
          </w:tcPr>
          <w:p w14:paraId="27EAA708" w14:textId="77777777" w:rsidR="00842B62" w:rsidRPr="006742B0" w:rsidRDefault="00842B62" w:rsidP="006B43A4">
            <w:pPr>
              <w:pStyle w:val="TableParagraph"/>
              <w:spacing w:line="276" w:lineRule="auto"/>
              <w:ind w:left="108"/>
              <w:jc w:val="both"/>
              <w:rPr>
                <w:sz w:val="24"/>
                <w:szCs w:val="24"/>
              </w:rPr>
            </w:pPr>
            <w:r w:rsidRPr="006742B0">
              <w:rPr>
                <w:sz w:val="24"/>
                <w:szCs w:val="24"/>
              </w:rPr>
              <w:t>34.19</w:t>
            </w:r>
          </w:p>
        </w:tc>
        <w:tc>
          <w:tcPr>
            <w:tcW w:w="652" w:type="pct"/>
            <w:tcBorders>
              <w:top w:val="single" w:sz="6" w:space="0" w:color="9F9F9F"/>
              <w:left w:val="single" w:sz="4" w:space="0" w:color="9F9F9F"/>
              <w:bottom w:val="single" w:sz="6" w:space="0" w:color="9F9F9F"/>
              <w:right w:val="single" w:sz="4" w:space="0" w:color="9F9F9F"/>
            </w:tcBorders>
          </w:tcPr>
          <w:p w14:paraId="7016AF5A" w14:textId="77777777" w:rsidR="00842B62" w:rsidRPr="006742B0" w:rsidRDefault="00842B62" w:rsidP="006B43A4">
            <w:pPr>
              <w:pStyle w:val="TableParagraph"/>
              <w:spacing w:line="276" w:lineRule="auto"/>
              <w:ind w:left="108"/>
              <w:jc w:val="both"/>
              <w:rPr>
                <w:sz w:val="24"/>
                <w:szCs w:val="24"/>
              </w:rPr>
            </w:pPr>
            <w:r w:rsidRPr="006742B0">
              <w:rPr>
                <w:sz w:val="24"/>
                <w:szCs w:val="24"/>
              </w:rPr>
              <w:t>39.64</w:t>
            </w:r>
          </w:p>
        </w:tc>
        <w:tc>
          <w:tcPr>
            <w:tcW w:w="652" w:type="pct"/>
            <w:tcBorders>
              <w:top w:val="single" w:sz="6" w:space="0" w:color="9F9F9F"/>
              <w:left w:val="single" w:sz="4" w:space="0" w:color="9F9F9F"/>
              <w:bottom w:val="single" w:sz="6" w:space="0" w:color="9F9F9F"/>
              <w:right w:val="single" w:sz="4" w:space="0" w:color="9F9F9F"/>
            </w:tcBorders>
          </w:tcPr>
          <w:p w14:paraId="3151FA8B" w14:textId="77777777" w:rsidR="00842B62" w:rsidRPr="006742B0" w:rsidRDefault="00842B62" w:rsidP="006B43A4">
            <w:pPr>
              <w:pStyle w:val="TableParagraph"/>
              <w:spacing w:line="276" w:lineRule="auto"/>
              <w:ind w:left="108"/>
              <w:jc w:val="both"/>
              <w:rPr>
                <w:sz w:val="24"/>
                <w:szCs w:val="24"/>
              </w:rPr>
            </w:pPr>
            <w:r w:rsidRPr="006742B0">
              <w:rPr>
                <w:sz w:val="24"/>
                <w:szCs w:val="24"/>
              </w:rPr>
              <w:t>50.17</w:t>
            </w:r>
          </w:p>
        </w:tc>
        <w:tc>
          <w:tcPr>
            <w:tcW w:w="652" w:type="pct"/>
            <w:tcBorders>
              <w:top w:val="single" w:sz="6" w:space="0" w:color="9F9F9F"/>
              <w:left w:val="single" w:sz="4" w:space="0" w:color="9F9F9F"/>
              <w:bottom w:val="single" w:sz="6" w:space="0" w:color="9F9F9F"/>
              <w:right w:val="single" w:sz="4" w:space="0" w:color="9F9F9F"/>
            </w:tcBorders>
          </w:tcPr>
          <w:p w14:paraId="3105813C" w14:textId="77777777" w:rsidR="00842B62" w:rsidRPr="006742B0" w:rsidRDefault="00842B62" w:rsidP="006B43A4">
            <w:pPr>
              <w:pStyle w:val="TableParagraph"/>
              <w:spacing w:line="276" w:lineRule="auto"/>
              <w:ind w:left="108"/>
              <w:jc w:val="both"/>
              <w:rPr>
                <w:sz w:val="24"/>
                <w:szCs w:val="24"/>
              </w:rPr>
            </w:pPr>
            <w:r w:rsidRPr="006742B0">
              <w:rPr>
                <w:sz w:val="24"/>
                <w:szCs w:val="24"/>
              </w:rPr>
              <w:t>54.04</w:t>
            </w:r>
          </w:p>
        </w:tc>
      </w:tr>
      <w:tr w:rsidR="006B43A4" w:rsidRPr="006742B0" w14:paraId="6F96A3DD" w14:textId="77777777" w:rsidTr="00EE2B8B">
        <w:trPr>
          <w:trHeight w:val="454"/>
          <w:jc w:val="center"/>
        </w:trPr>
        <w:tc>
          <w:tcPr>
            <w:tcW w:w="1738" w:type="pct"/>
            <w:tcBorders>
              <w:top w:val="single" w:sz="6" w:space="0" w:color="9F9F9F"/>
              <w:left w:val="single" w:sz="4" w:space="0" w:color="9F9F9F"/>
              <w:bottom w:val="single" w:sz="6" w:space="0" w:color="9F9F9F"/>
              <w:right w:val="single" w:sz="4" w:space="0" w:color="9F9F9F"/>
            </w:tcBorders>
            <w:hideMark/>
          </w:tcPr>
          <w:p w14:paraId="7C5CC515" w14:textId="77777777" w:rsidR="00842B62" w:rsidRPr="006742B0" w:rsidRDefault="00842B62" w:rsidP="006B43A4">
            <w:pPr>
              <w:pStyle w:val="TableParagraph"/>
              <w:spacing w:line="276" w:lineRule="auto"/>
              <w:ind w:left="108"/>
              <w:jc w:val="both"/>
              <w:rPr>
                <w:sz w:val="24"/>
                <w:szCs w:val="24"/>
              </w:rPr>
            </w:pPr>
            <w:r w:rsidRPr="006742B0">
              <w:rPr>
                <w:sz w:val="24"/>
                <w:szCs w:val="24"/>
              </w:rPr>
              <w:t>Stock</w:t>
            </w:r>
            <w:r w:rsidRPr="006742B0">
              <w:rPr>
                <w:spacing w:val="-9"/>
                <w:sz w:val="24"/>
                <w:szCs w:val="24"/>
              </w:rPr>
              <w:t xml:space="preserve"> </w:t>
            </w:r>
            <w:r w:rsidRPr="006742B0">
              <w:rPr>
                <w:sz w:val="24"/>
                <w:szCs w:val="24"/>
              </w:rPr>
              <w:t>Turnover</w:t>
            </w:r>
            <w:r w:rsidRPr="006742B0">
              <w:rPr>
                <w:spacing w:val="-3"/>
                <w:sz w:val="24"/>
                <w:szCs w:val="24"/>
              </w:rPr>
              <w:t xml:space="preserve"> </w:t>
            </w:r>
            <w:r w:rsidRPr="006742B0">
              <w:rPr>
                <w:sz w:val="24"/>
                <w:szCs w:val="24"/>
              </w:rPr>
              <w:t>(x)</w:t>
            </w:r>
          </w:p>
        </w:tc>
        <w:tc>
          <w:tcPr>
            <w:tcW w:w="653" w:type="pct"/>
            <w:tcBorders>
              <w:top w:val="single" w:sz="6" w:space="0" w:color="9F9F9F"/>
              <w:left w:val="single" w:sz="4" w:space="0" w:color="9F9F9F"/>
              <w:bottom w:val="single" w:sz="6" w:space="0" w:color="9F9F9F"/>
              <w:right w:val="single" w:sz="4" w:space="0" w:color="9F9F9F"/>
            </w:tcBorders>
          </w:tcPr>
          <w:p w14:paraId="0E01AFB7" w14:textId="77777777" w:rsidR="00842B62" w:rsidRPr="006742B0" w:rsidRDefault="00842B62" w:rsidP="006B43A4">
            <w:pPr>
              <w:pStyle w:val="TableParagraph"/>
              <w:spacing w:line="276" w:lineRule="auto"/>
              <w:ind w:left="109"/>
              <w:jc w:val="both"/>
              <w:rPr>
                <w:sz w:val="24"/>
                <w:szCs w:val="24"/>
              </w:rPr>
            </w:pPr>
            <w:r w:rsidRPr="006742B0">
              <w:rPr>
                <w:sz w:val="24"/>
                <w:szCs w:val="24"/>
              </w:rPr>
              <w:t>11.66</w:t>
            </w:r>
          </w:p>
        </w:tc>
        <w:tc>
          <w:tcPr>
            <w:tcW w:w="652" w:type="pct"/>
            <w:tcBorders>
              <w:top w:val="single" w:sz="6" w:space="0" w:color="9F9F9F"/>
              <w:left w:val="single" w:sz="4" w:space="0" w:color="9F9F9F"/>
              <w:bottom w:val="single" w:sz="6" w:space="0" w:color="9F9F9F"/>
              <w:right w:val="single" w:sz="4" w:space="0" w:color="9F9F9F"/>
            </w:tcBorders>
          </w:tcPr>
          <w:p w14:paraId="71BEC756" w14:textId="77777777" w:rsidR="00842B62" w:rsidRPr="006742B0" w:rsidRDefault="00842B62" w:rsidP="006B43A4">
            <w:pPr>
              <w:pStyle w:val="TableParagraph"/>
              <w:spacing w:line="276" w:lineRule="auto"/>
              <w:ind w:left="108"/>
              <w:jc w:val="both"/>
              <w:rPr>
                <w:sz w:val="24"/>
                <w:szCs w:val="24"/>
              </w:rPr>
            </w:pPr>
            <w:r w:rsidRPr="006742B0">
              <w:rPr>
                <w:sz w:val="24"/>
                <w:szCs w:val="24"/>
              </w:rPr>
              <w:t>11.83</w:t>
            </w:r>
          </w:p>
        </w:tc>
        <w:tc>
          <w:tcPr>
            <w:tcW w:w="652" w:type="pct"/>
            <w:tcBorders>
              <w:top w:val="single" w:sz="6" w:space="0" w:color="9F9F9F"/>
              <w:left w:val="single" w:sz="4" w:space="0" w:color="9F9F9F"/>
              <w:bottom w:val="single" w:sz="6" w:space="0" w:color="9F9F9F"/>
              <w:right w:val="single" w:sz="4" w:space="0" w:color="9F9F9F"/>
            </w:tcBorders>
          </w:tcPr>
          <w:p w14:paraId="3EF20F80" w14:textId="77777777" w:rsidR="00842B62" w:rsidRPr="006742B0" w:rsidRDefault="00842B62" w:rsidP="006B43A4">
            <w:pPr>
              <w:pStyle w:val="TableParagraph"/>
              <w:spacing w:line="276" w:lineRule="auto"/>
              <w:ind w:left="108"/>
              <w:jc w:val="both"/>
              <w:rPr>
                <w:sz w:val="24"/>
                <w:szCs w:val="24"/>
              </w:rPr>
            </w:pPr>
            <w:r w:rsidRPr="006742B0">
              <w:rPr>
                <w:sz w:val="24"/>
                <w:szCs w:val="24"/>
              </w:rPr>
              <w:t>12.00</w:t>
            </w:r>
          </w:p>
        </w:tc>
        <w:tc>
          <w:tcPr>
            <w:tcW w:w="652" w:type="pct"/>
            <w:tcBorders>
              <w:top w:val="single" w:sz="6" w:space="0" w:color="9F9F9F"/>
              <w:left w:val="single" w:sz="4" w:space="0" w:color="9F9F9F"/>
              <w:bottom w:val="single" w:sz="6" w:space="0" w:color="9F9F9F"/>
              <w:right w:val="single" w:sz="4" w:space="0" w:color="9F9F9F"/>
            </w:tcBorders>
          </w:tcPr>
          <w:p w14:paraId="674972A5" w14:textId="77777777" w:rsidR="00842B62" w:rsidRPr="006742B0" w:rsidRDefault="00842B62" w:rsidP="006B43A4">
            <w:pPr>
              <w:pStyle w:val="TableParagraph"/>
              <w:spacing w:line="276" w:lineRule="auto"/>
              <w:ind w:left="108"/>
              <w:jc w:val="both"/>
              <w:rPr>
                <w:sz w:val="24"/>
                <w:szCs w:val="24"/>
              </w:rPr>
            </w:pPr>
            <w:r w:rsidRPr="006742B0">
              <w:rPr>
                <w:sz w:val="24"/>
                <w:szCs w:val="24"/>
              </w:rPr>
              <w:t>11.13</w:t>
            </w:r>
          </w:p>
        </w:tc>
        <w:tc>
          <w:tcPr>
            <w:tcW w:w="652" w:type="pct"/>
            <w:tcBorders>
              <w:top w:val="single" w:sz="6" w:space="0" w:color="9F9F9F"/>
              <w:left w:val="single" w:sz="4" w:space="0" w:color="9F9F9F"/>
              <w:bottom w:val="single" w:sz="6" w:space="0" w:color="9F9F9F"/>
              <w:right w:val="single" w:sz="4" w:space="0" w:color="9F9F9F"/>
            </w:tcBorders>
          </w:tcPr>
          <w:p w14:paraId="07C01948" w14:textId="77777777" w:rsidR="00842B62" w:rsidRPr="006742B0" w:rsidRDefault="00842B62" w:rsidP="006B43A4">
            <w:pPr>
              <w:pStyle w:val="TableParagraph"/>
              <w:spacing w:line="276" w:lineRule="auto"/>
              <w:ind w:left="108"/>
              <w:jc w:val="both"/>
              <w:rPr>
                <w:sz w:val="24"/>
                <w:szCs w:val="24"/>
              </w:rPr>
            </w:pPr>
            <w:r w:rsidRPr="006742B0">
              <w:rPr>
                <w:sz w:val="24"/>
                <w:szCs w:val="24"/>
              </w:rPr>
              <w:t>12.76</w:t>
            </w:r>
          </w:p>
        </w:tc>
      </w:tr>
      <w:tr w:rsidR="006B43A4" w:rsidRPr="006742B0" w14:paraId="243B7E09" w14:textId="77777777" w:rsidTr="00EE2B8B">
        <w:trPr>
          <w:trHeight w:val="455"/>
          <w:jc w:val="center"/>
        </w:trPr>
        <w:tc>
          <w:tcPr>
            <w:tcW w:w="1738" w:type="pct"/>
            <w:tcBorders>
              <w:top w:val="single" w:sz="6" w:space="0" w:color="9F9F9F"/>
              <w:left w:val="single" w:sz="4" w:space="0" w:color="9F9F9F"/>
              <w:bottom w:val="single" w:sz="6" w:space="0" w:color="9F9F9F"/>
              <w:right w:val="single" w:sz="4" w:space="0" w:color="9F9F9F"/>
            </w:tcBorders>
            <w:hideMark/>
          </w:tcPr>
          <w:p w14:paraId="011944C8" w14:textId="77777777" w:rsidR="00842B62" w:rsidRPr="006742B0" w:rsidRDefault="00842B62" w:rsidP="006B43A4">
            <w:pPr>
              <w:pStyle w:val="TableParagraph"/>
              <w:spacing w:line="276" w:lineRule="auto"/>
              <w:ind w:left="108"/>
              <w:jc w:val="both"/>
              <w:rPr>
                <w:sz w:val="24"/>
                <w:szCs w:val="24"/>
              </w:rPr>
            </w:pPr>
            <w:r w:rsidRPr="006742B0">
              <w:rPr>
                <w:sz w:val="24"/>
                <w:szCs w:val="24"/>
              </w:rPr>
              <w:t>Debtors</w:t>
            </w:r>
            <w:r w:rsidRPr="006742B0">
              <w:rPr>
                <w:spacing w:val="-8"/>
                <w:sz w:val="24"/>
                <w:szCs w:val="24"/>
              </w:rPr>
              <w:t xml:space="preserve"> </w:t>
            </w:r>
            <w:r w:rsidRPr="006742B0">
              <w:rPr>
                <w:sz w:val="24"/>
                <w:szCs w:val="24"/>
              </w:rPr>
              <w:t>Turnover</w:t>
            </w:r>
            <w:r w:rsidRPr="006742B0">
              <w:rPr>
                <w:spacing w:val="-4"/>
                <w:sz w:val="24"/>
                <w:szCs w:val="24"/>
              </w:rPr>
              <w:t xml:space="preserve"> </w:t>
            </w:r>
            <w:r w:rsidRPr="006742B0">
              <w:rPr>
                <w:sz w:val="24"/>
                <w:szCs w:val="24"/>
              </w:rPr>
              <w:t>(x)</w:t>
            </w:r>
          </w:p>
        </w:tc>
        <w:tc>
          <w:tcPr>
            <w:tcW w:w="653" w:type="pct"/>
            <w:tcBorders>
              <w:top w:val="single" w:sz="6" w:space="0" w:color="9F9F9F"/>
              <w:left w:val="single" w:sz="4" w:space="0" w:color="9F9F9F"/>
              <w:bottom w:val="single" w:sz="6" w:space="0" w:color="9F9F9F"/>
              <w:right w:val="single" w:sz="4" w:space="0" w:color="9F9F9F"/>
            </w:tcBorders>
          </w:tcPr>
          <w:p w14:paraId="41706AEC" w14:textId="77777777" w:rsidR="00842B62" w:rsidRPr="006742B0" w:rsidRDefault="00842B62" w:rsidP="006B43A4">
            <w:pPr>
              <w:pStyle w:val="TableParagraph"/>
              <w:spacing w:line="276" w:lineRule="auto"/>
              <w:ind w:left="109"/>
              <w:jc w:val="both"/>
              <w:rPr>
                <w:sz w:val="24"/>
                <w:szCs w:val="24"/>
              </w:rPr>
            </w:pPr>
            <w:r w:rsidRPr="006742B0">
              <w:rPr>
                <w:sz w:val="24"/>
                <w:szCs w:val="24"/>
              </w:rPr>
              <w:t>99.48</w:t>
            </w:r>
          </w:p>
        </w:tc>
        <w:tc>
          <w:tcPr>
            <w:tcW w:w="652" w:type="pct"/>
            <w:tcBorders>
              <w:top w:val="single" w:sz="6" w:space="0" w:color="9F9F9F"/>
              <w:left w:val="single" w:sz="4" w:space="0" w:color="9F9F9F"/>
              <w:bottom w:val="single" w:sz="6" w:space="0" w:color="9F9F9F"/>
              <w:right w:val="single" w:sz="4" w:space="0" w:color="9F9F9F"/>
            </w:tcBorders>
          </w:tcPr>
          <w:p w14:paraId="10C2B768" w14:textId="77777777" w:rsidR="00842B62" w:rsidRPr="006742B0" w:rsidRDefault="00842B62" w:rsidP="006B43A4">
            <w:pPr>
              <w:pStyle w:val="TableParagraph"/>
              <w:spacing w:line="276" w:lineRule="auto"/>
              <w:ind w:left="108"/>
              <w:jc w:val="both"/>
              <w:rPr>
                <w:sz w:val="24"/>
                <w:szCs w:val="24"/>
              </w:rPr>
            </w:pPr>
            <w:r w:rsidRPr="006742B0">
              <w:rPr>
                <w:sz w:val="24"/>
                <w:szCs w:val="24"/>
              </w:rPr>
              <w:t>107.58</w:t>
            </w:r>
          </w:p>
        </w:tc>
        <w:tc>
          <w:tcPr>
            <w:tcW w:w="652" w:type="pct"/>
            <w:tcBorders>
              <w:top w:val="single" w:sz="6" w:space="0" w:color="9F9F9F"/>
              <w:left w:val="single" w:sz="4" w:space="0" w:color="9F9F9F"/>
              <w:bottom w:val="single" w:sz="6" w:space="0" w:color="9F9F9F"/>
              <w:right w:val="single" w:sz="4" w:space="0" w:color="9F9F9F"/>
            </w:tcBorders>
          </w:tcPr>
          <w:p w14:paraId="1902BD4B" w14:textId="77777777" w:rsidR="00842B62" w:rsidRPr="006742B0" w:rsidRDefault="00842B62" w:rsidP="006B43A4">
            <w:pPr>
              <w:pStyle w:val="TableParagraph"/>
              <w:spacing w:line="276" w:lineRule="auto"/>
              <w:ind w:left="108"/>
              <w:jc w:val="both"/>
              <w:rPr>
                <w:sz w:val="24"/>
                <w:szCs w:val="24"/>
              </w:rPr>
            </w:pPr>
            <w:r w:rsidRPr="006742B0">
              <w:rPr>
                <w:sz w:val="24"/>
                <w:szCs w:val="24"/>
              </w:rPr>
              <w:t>108.66</w:t>
            </w:r>
          </w:p>
        </w:tc>
        <w:tc>
          <w:tcPr>
            <w:tcW w:w="652" w:type="pct"/>
            <w:tcBorders>
              <w:top w:val="single" w:sz="6" w:space="0" w:color="9F9F9F"/>
              <w:left w:val="single" w:sz="4" w:space="0" w:color="9F9F9F"/>
              <w:bottom w:val="single" w:sz="6" w:space="0" w:color="9F9F9F"/>
              <w:right w:val="single" w:sz="4" w:space="0" w:color="9F9F9F"/>
            </w:tcBorders>
          </w:tcPr>
          <w:p w14:paraId="192495AE" w14:textId="77777777" w:rsidR="00842B62" w:rsidRPr="006742B0" w:rsidRDefault="00842B62" w:rsidP="006B43A4">
            <w:pPr>
              <w:pStyle w:val="TableParagraph"/>
              <w:spacing w:line="276" w:lineRule="auto"/>
              <w:ind w:left="108"/>
              <w:jc w:val="both"/>
              <w:rPr>
                <w:sz w:val="24"/>
                <w:szCs w:val="24"/>
              </w:rPr>
            </w:pPr>
            <w:r w:rsidRPr="006742B0">
              <w:rPr>
                <w:sz w:val="24"/>
                <w:szCs w:val="24"/>
              </w:rPr>
              <w:t>101.27</w:t>
            </w:r>
          </w:p>
        </w:tc>
        <w:tc>
          <w:tcPr>
            <w:tcW w:w="652" w:type="pct"/>
            <w:tcBorders>
              <w:top w:val="single" w:sz="6" w:space="0" w:color="9F9F9F"/>
              <w:left w:val="single" w:sz="4" w:space="0" w:color="9F9F9F"/>
              <w:bottom w:val="single" w:sz="6" w:space="0" w:color="9F9F9F"/>
              <w:right w:val="single" w:sz="4" w:space="0" w:color="9F9F9F"/>
            </w:tcBorders>
          </w:tcPr>
          <w:p w14:paraId="2B8EE6DD" w14:textId="77777777" w:rsidR="00842B62" w:rsidRPr="006742B0" w:rsidRDefault="00842B62" w:rsidP="006B43A4">
            <w:pPr>
              <w:pStyle w:val="TableParagraph"/>
              <w:spacing w:line="276" w:lineRule="auto"/>
              <w:ind w:left="108"/>
              <w:jc w:val="both"/>
              <w:rPr>
                <w:sz w:val="24"/>
                <w:szCs w:val="24"/>
              </w:rPr>
            </w:pPr>
            <w:r w:rsidRPr="006742B0">
              <w:rPr>
                <w:sz w:val="24"/>
                <w:szCs w:val="24"/>
              </w:rPr>
              <w:t>106.03</w:t>
            </w:r>
          </w:p>
        </w:tc>
      </w:tr>
      <w:tr w:rsidR="006B43A4" w:rsidRPr="006742B0" w14:paraId="36991A56" w14:textId="77777777" w:rsidTr="00EE2B8B">
        <w:trPr>
          <w:trHeight w:val="455"/>
          <w:jc w:val="center"/>
        </w:trPr>
        <w:tc>
          <w:tcPr>
            <w:tcW w:w="1738" w:type="pct"/>
            <w:tcBorders>
              <w:top w:val="single" w:sz="6" w:space="0" w:color="9F9F9F"/>
              <w:left w:val="single" w:sz="4" w:space="0" w:color="9F9F9F"/>
              <w:bottom w:val="single" w:sz="6" w:space="0" w:color="9F9F9F"/>
              <w:right w:val="single" w:sz="4" w:space="0" w:color="9F9F9F"/>
            </w:tcBorders>
            <w:hideMark/>
          </w:tcPr>
          <w:p w14:paraId="195ED944" w14:textId="77777777" w:rsidR="00842B62" w:rsidRPr="006742B0" w:rsidRDefault="00842B62" w:rsidP="006B43A4">
            <w:pPr>
              <w:pStyle w:val="TableParagraph"/>
              <w:spacing w:line="276" w:lineRule="auto"/>
              <w:ind w:left="108"/>
              <w:jc w:val="both"/>
              <w:rPr>
                <w:sz w:val="24"/>
                <w:szCs w:val="24"/>
              </w:rPr>
            </w:pPr>
            <w:r w:rsidRPr="006742B0">
              <w:rPr>
                <w:sz w:val="24"/>
                <w:szCs w:val="24"/>
              </w:rPr>
              <w:t>Debtor Collection (days)</w:t>
            </w:r>
          </w:p>
        </w:tc>
        <w:tc>
          <w:tcPr>
            <w:tcW w:w="653" w:type="pct"/>
            <w:tcBorders>
              <w:top w:val="single" w:sz="6" w:space="0" w:color="9F9F9F"/>
              <w:left w:val="single" w:sz="4" w:space="0" w:color="9F9F9F"/>
              <w:bottom w:val="single" w:sz="6" w:space="0" w:color="9F9F9F"/>
              <w:right w:val="single" w:sz="4" w:space="0" w:color="9F9F9F"/>
            </w:tcBorders>
          </w:tcPr>
          <w:p w14:paraId="66C1CFCE" w14:textId="77777777" w:rsidR="00842B62" w:rsidRPr="006742B0" w:rsidRDefault="00842B62" w:rsidP="006B43A4">
            <w:pPr>
              <w:pStyle w:val="TableParagraph"/>
              <w:spacing w:line="276" w:lineRule="auto"/>
              <w:ind w:left="109"/>
              <w:jc w:val="both"/>
              <w:rPr>
                <w:sz w:val="24"/>
                <w:szCs w:val="24"/>
              </w:rPr>
            </w:pPr>
            <w:r w:rsidRPr="006742B0">
              <w:rPr>
                <w:sz w:val="24"/>
                <w:szCs w:val="24"/>
              </w:rPr>
              <w:t>27.76</w:t>
            </w:r>
          </w:p>
        </w:tc>
        <w:tc>
          <w:tcPr>
            <w:tcW w:w="652" w:type="pct"/>
            <w:tcBorders>
              <w:top w:val="single" w:sz="6" w:space="0" w:color="9F9F9F"/>
              <w:left w:val="single" w:sz="4" w:space="0" w:color="9F9F9F"/>
              <w:bottom w:val="single" w:sz="6" w:space="0" w:color="9F9F9F"/>
              <w:right w:val="single" w:sz="4" w:space="0" w:color="9F9F9F"/>
            </w:tcBorders>
          </w:tcPr>
          <w:p w14:paraId="344E0454" w14:textId="77777777" w:rsidR="00842B62" w:rsidRPr="006742B0" w:rsidRDefault="00842B62" w:rsidP="006B43A4">
            <w:pPr>
              <w:pStyle w:val="TableParagraph"/>
              <w:spacing w:line="276" w:lineRule="auto"/>
              <w:ind w:left="108"/>
              <w:jc w:val="both"/>
              <w:rPr>
                <w:sz w:val="24"/>
                <w:szCs w:val="24"/>
              </w:rPr>
            </w:pPr>
            <w:r w:rsidRPr="006742B0">
              <w:rPr>
                <w:sz w:val="24"/>
                <w:szCs w:val="24"/>
              </w:rPr>
              <w:t>21.70</w:t>
            </w:r>
          </w:p>
        </w:tc>
        <w:tc>
          <w:tcPr>
            <w:tcW w:w="652" w:type="pct"/>
            <w:tcBorders>
              <w:top w:val="single" w:sz="6" w:space="0" w:color="9F9F9F"/>
              <w:left w:val="single" w:sz="4" w:space="0" w:color="9F9F9F"/>
              <w:bottom w:val="single" w:sz="6" w:space="0" w:color="9F9F9F"/>
              <w:right w:val="single" w:sz="4" w:space="0" w:color="9F9F9F"/>
            </w:tcBorders>
          </w:tcPr>
          <w:p w14:paraId="3008D2F9" w14:textId="77777777" w:rsidR="00842B62" w:rsidRPr="006742B0" w:rsidRDefault="00842B62" w:rsidP="006B43A4">
            <w:pPr>
              <w:pStyle w:val="TableParagraph"/>
              <w:spacing w:line="276" w:lineRule="auto"/>
              <w:ind w:left="108"/>
              <w:jc w:val="both"/>
              <w:rPr>
                <w:sz w:val="24"/>
                <w:szCs w:val="24"/>
              </w:rPr>
            </w:pPr>
            <w:r w:rsidRPr="006742B0">
              <w:rPr>
                <w:sz w:val="24"/>
                <w:szCs w:val="24"/>
              </w:rPr>
              <w:t>28.09</w:t>
            </w:r>
          </w:p>
        </w:tc>
        <w:tc>
          <w:tcPr>
            <w:tcW w:w="652" w:type="pct"/>
            <w:tcBorders>
              <w:top w:val="single" w:sz="6" w:space="0" w:color="9F9F9F"/>
              <w:left w:val="single" w:sz="4" w:space="0" w:color="9F9F9F"/>
              <w:bottom w:val="single" w:sz="6" w:space="0" w:color="9F9F9F"/>
              <w:right w:val="single" w:sz="4" w:space="0" w:color="9F9F9F"/>
            </w:tcBorders>
          </w:tcPr>
          <w:p w14:paraId="5D9266BC" w14:textId="77777777" w:rsidR="00842B62" w:rsidRPr="006742B0" w:rsidRDefault="00842B62" w:rsidP="006B43A4">
            <w:pPr>
              <w:pStyle w:val="TableParagraph"/>
              <w:spacing w:line="276" w:lineRule="auto"/>
              <w:ind w:left="108"/>
              <w:jc w:val="both"/>
              <w:rPr>
                <w:sz w:val="24"/>
                <w:szCs w:val="24"/>
              </w:rPr>
            </w:pPr>
            <w:r w:rsidRPr="006742B0">
              <w:rPr>
                <w:sz w:val="24"/>
                <w:szCs w:val="24"/>
              </w:rPr>
              <w:t>28.64</w:t>
            </w:r>
          </w:p>
        </w:tc>
        <w:tc>
          <w:tcPr>
            <w:tcW w:w="652" w:type="pct"/>
            <w:tcBorders>
              <w:top w:val="single" w:sz="6" w:space="0" w:color="9F9F9F"/>
              <w:left w:val="single" w:sz="4" w:space="0" w:color="9F9F9F"/>
              <w:bottom w:val="single" w:sz="6" w:space="0" w:color="9F9F9F"/>
              <w:right w:val="single" w:sz="4" w:space="0" w:color="9F9F9F"/>
            </w:tcBorders>
          </w:tcPr>
          <w:p w14:paraId="547C10B0" w14:textId="77777777" w:rsidR="00842B62" w:rsidRPr="006742B0" w:rsidRDefault="00842B62" w:rsidP="006B43A4">
            <w:pPr>
              <w:pStyle w:val="TableParagraph"/>
              <w:spacing w:line="276" w:lineRule="auto"/>
              <w:ind w:left="108"/>
              <w:jc w:val="both"/>
              <w:rPr>
                <w:sz w:val="24"/>
                <w:szCs w:val="24"/>
              </w:rPr>
            </w:pPr>
            <w:r w:rsidRPr="006742B0">
              <w:rPr>
                <w:sz w:val="24"/>
                <w:szCs w:val="24"/>
              </w:rPr>
              <w:t>25.10</w:t>
            </w:r>
          </w:p>
        </w:tc>
      </w:tr>
      <w:tr w:rsidR="00842B62" w:rsidRPr="006742B0" w14:paraId="1D8AABE3" w14:textId="77777777" w:rsidTr="00EE2B8B">
        <w:trPr>
          <w:trHeight w:val="455"/>
          <w:jc w:val="center"/>
        </w:trPr>
        <w:tc>
          <w:tcPr>
            <w:tcW w:w="1738" w:type="pct"/>
            <w:tcBorders>
              <w:top w:val="single" w:sz="6" w:space="0" w:color="9F9F9F"/>
              <w:left w:val="single" w:sz="4" w:space="0" w:color="9F9F9F"/>
              <w:bottom w:val="single" w:sz="6" w:space="0" w:color="9F9F9F"/>
              <w:right w:val="single" w:sz="4" w:space="0" w:color="9F9F9F"/>
            </w:tcBorders>
            <w:hideMark/>
          </w:tcPr>
          <w:p w14:paraId="2A942C63" w14:textId="77777777" w:rsidR="00842B62" w:rsidRPr="006742B0" w:rsidRDefault="00842B62" w:rsidP="006B43A4">
            <w:pPr>
              <w:pStyle w:val="TableParagraph"/>
              <w:spacing w:line="276" w:lineRule="auto"/>
              <w:ind w:left="108"/>
              <w:jc w:val="both"/>
              <w:rPr>
                <w:sz w:val="24"/>
                <w:szCs w:val="24"/>
              </w:rPr>
            </w:pPr>
            <w:r w:rsidRPr="006742B0">
              <w:rPr>
                <w:sz w:val="24"/>
                <w:szCs w:val="24"/>
              </w:rPr>
              <w:t>Creditors Payment (days)</w:t>
            </w:r>
          </w:p>
        </w:tc>
        <w:tc>
          <w:tcPr>
            <w:tcW w:w="653" w:type="pct"/>
            <w:tcBorders>
              <w:top w:val="single" w:sz="6" w:space="0" w:color="9F9F9F"/>
              <w:left w:val="single" w:sz="4" w:space="0" w:color="9F9F9F"/>
              <w:bottom w:val="single" w:sz="6" w:space="0" w:color="9F9F9F"/>
              <w:right w:val="single" w:sz="4" w:space="0" w:color="9F9F9F"/>
            </w:tcBorders>
          </w:tcPr>
          <w:p w14:paraId="11778EF6" w14:textId="77777777" w:rsidR="00842B62" w:rsidRPr="006742B0" w:rsidRDefault="00842B62" w:rsidP="006B43A4">
            <w:pPr>
              <w:pStyle w:val="TableParagraph"/>
              <w:spacing w:line="276" w:lineRule="auto"/>
              <w:ind w:left="109"/>
              <w:jc w:val="both"/>
              <w:rPr>
                <w:sz w:val="24"/>
                <w:szCs w:val="24"/>
              </w:rPr>
            </w:pPr>
            <w:r w:rsidRPr="006742B0">
              <w:rPr>
                <w:sz w:val="24"/>
                <w:szCs w:val="24"/>
              </w:rPr>
              <w:t>31.47</w:t>
            </w:r>
          </w:p>
        </w:tc>
        <w:tc>
          <w:tcPr>
            <w:tcW w:w="652" w:type="pct"/>
            <w:tcBorders>
              <w:top w:val="single" w:sz="6" w:space="0" w:color="9F9F9F"/>
              <w:left w:val="single" w:sz="4" w:space="0" w:color="9F9F9F"/>
              <w:bottom w:val="single" w:sz="6" w:space="0" w:color="9F9F9F"/>
              <w:right w:val="single" w:sz="4" w:space="0" w:color="9F9F9F"/>
            </w:tcBorders>
          </w:tcPr>
          <w:p w14:paraId="32B4214D" w14:textId="77777777" w:rsidR="00842B62" w:rsidRPr="006742B0" w:rsidRDefault="00842B62" w:rsidP="006B43A4">
            <w:pPr>
              <w:pStyle w:val="TableParagraph"/>
              <w:spacing w:line="276" w:lineRule="auto"/>
              <w:ind w:left="108"/>
              <w:jc w:val="both"/>
              <w:rPr>
                <w:sz w:val="24"/>
                <w:szCs w:val="24"/>
              </w:rPr>
            </w:pPr>
            <w:r w:rsidRPr="006742B0">
              <w:rPr>
                <w:sz w:val="24"/>
                <w:szCs w:val="24"/>
              </w:rPr>
              <w:t>32.55</w:t>
            </w:r>
          </w:p>
        </w:tc>
        <w:tc>
          <w:tcPr>
            <w:tcW w:w="652" w:type="pct"/>
            <w:tcBorders>
              <w:top w:val="single" w:sz="6" w:space="0" w:color="9F9F9F"/>
              <w:left w:val="single" w:sz="4" w:space="0" w:color="9F9F9F"/>
              <w:bottom w:val="single" w:sz="6" w:space="0" w:color="9F9F9F"/>
              <w:right w:val="single" w:sz="4" w:space="0" w:color="9F9F9F"/>
            </w:tcBorders>
          </w:tcPr>
          <w:p w14:paraId="436E47B6" w14:textId="77777777" w:rsidR="00842B62" w:rsidRPr="006742B0" w:rsidRDefault="00842B62" w:rsidP="006B43A4">
            <w:pPr>
              <w:pStyle w:val="TableParagraph"/>
              <w:spacing w:line="276" w:lineRule="auto"/>
              <w:ind w:left="108"/>
              <w:jc w:val="both"/>
              <w:rPr>
                <w:sz w:val="24"/>
                <w:szCs w:val="24"/>
              </w:rPr>
            </w:pPr>
            <w:r w:rsidRPr="006742B0">
              <w:rPr>
                <w:sz w:val="24"/>
                <w:szCs w:val="24"/>
              </w:rPr>
              <w:t>32.56</w:t>
            </w:r>
          </w:p>
        </w:tc>
        <w:tc>
          <w:tcPr>
            <w:tcW w:w="652" w:type="pct"/>
            <w:tcBorders>
              <w:top w:val="single" w:sz="6" w:space="0" w:color="9F9F9F"/>
              <w:left w:val="single" w:sz="4" w:space="0" w:color="9F9F9F"/>
              <w:bottom w:val="single" w:sz="6" w:space="0" w:color="9F9F9F"/>
              <w:right w:val="single" w:sz="4" w:space="0" w:color="9F9F9F"/>
            </w:tcBorders>
          </w:tcPr>
          <w:p w14:paraId="78C1E88E" w14:textId="77777777" w:rsidR="00842B62" w:rsidRPr="006742B0" w:rsidRDefault="00842B62" w:rsidP="006B43A4">
            <w:pPr>
              <w:pStyle w:val="TableParagraph"/>
              <w:spacing w:line="276" w:lineRule="auto"/>
              <w:ind w:left="108"/>
              <w:jc w:val="both"/>
              <w:rPr>
                <w:sz w:val="24"/>
                <w:szCs w:val="24"/>
              </w:rPr>
            </w:pPr>
            <w:r w:rsidRPr="006742B0">
              <w:rPr>
                <w:sz w:val="24"/>
                <w:szCs w:val="24"/>
              </w:rPr>
              <w:t>31.24</w:t>
            </w:r>
          </w:p>
        </w:tc>
        <w:tc>
          <w:tcPr>
            <w:tcW w:w="652" w:type="pct"/>
            <w:tcBorders>
              <w:top w:val="single" w:sz="6" w:space="0" w:color="9F9F9F"/>
              <w:left w:val="single" w:sz="4" w:space="0" w:color="9F9F9F"/>
              <w:bottom w:val="single" w:sz="6" w:space="0" w:color="9F9F9F"/>
              <w:right w:val="single" w:sz="4" w:space="0" w:color="9F9F9F"/>
            </w:tcBorders>
          </w:tcPr>
          <w:p w14:paraId="42038ED0" w14:textId="77777777" w:rsidR="00842B62" w:rsidRPr="006742B0" w:rsidRDefault="00842B62" w:rsidP="006B43A4">
            <w:pPr>
              <w:pStyle w:val="TableParagraph"/>
              <w:spacing w:line="276" w:lineRule="auto"/>
              <w:ind w:left="108"/>
              <w:jc w:val="both"/>
              <w:rPr>
                <w:sz w:val="24"/>
                <w:szCs w:val="24"/>
              </w:rPr>
            </w:pPr>
            <w:r w:rsidRPr="006742B0">
              <w:rPr>
                <w:sz w:val="24"/>
                <w:szCs w:val="24"/>
              </w:rPr>
              <w:t>30.33</w:t>
            </w:r>
          </w:p>
        </w:tc>
      </w:tr>
    </w:tbl>
    <w:p w14:paraId="6BF0F3A3"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p>
    <w:p w14:paraId="6DF760AA" w14:textId="68EB07EA" w:rsidR="00842B62" w:rsidRPr="00851CDD" w:rsidRDefault="00F81050" w:rsidP="00851CDD">
      <w:pPr>
        <w:spacing w:line="276" w:lineRule="auto"/>
        <w:jc w:val="both"/>
        <w:rPr>
          <w:rFonts w:ascii="Times New Roman" w:hAnsi="Times New Roman" w:cs="Times New Roman"/>
          <w:sz w:val="24"/>
          <w:szCs w:val="24"/>
          <w:shd w:val="clear" w:color="auto" w:fill="FFFFFF"/>
        </w:rPr>
      </w:pPr>
      <w:r w:rsidRPr="00851CDD">
        <w:rPr>
          <w:rFonts w:ascii="Times New Roman" w:hAnsi="Times New Roman" w:cs="Times New Roman"/>
          <w:sz w:val="24"/>
          <w:szCs w:val="24"/>
          <w:shd w:val="clear" w:color="auto" w:fill="FFFFFF"/>
        </w:rPr>
        <w:t xml:space="preserve">Efficiency ratios are a type of financial measurement that </w:t>
      </w:r>
      <w:r w:rsidR="00AB48AC" w:rsidRPr="00851CDD">
        <w:rPr>
          <w:rFonts w:ascii="Times New Roman" w:hAnsi="Times New Roman" w:cs="Times New Roman"/>
          <w:sz w:val="24"/>
          <w:szCs w:val="24"/>
          <w:shd w:val="clear" w:color="auto" w:fill="FFFFFF"/>
        </w:rPr>
        <w:t>shows</w:t>
      </w:r>
      <w:r w:rsidRPr="00851CDD">
        <w:rPr>
          <w:rFonts w:ascii="Times New Roman" w:hAnsi="Times New Roman" w:cs="Times New Roman"/>
          <w:sz w:val="24"/>
          <w:szCs w:val="24"/>
          <w:shd w:val="clear" w:color="auto" w:fill="FFFFFF"/>
        </w:rPr>
        <w:t xml:space="preserve"> how effectively an organisation uses its assets and resources to produce income. They provide insightful information about overall performance, productivity, and operational effectiveness. Metrics such as Net Assets Turnover, Fixed Assets Turnover, Stock Turnover, Debtors Turnover, Debtor Collection Days, and Creditors Payment Days offer important insights into the company's operational and resource management at Costco Wholesale Corporation. (Schaefer, Forehand, and Roman, 2021). Various financial ratios for Costco Wholesale for the five years from 2019 to 2023 are shown in the provided table. Let's examine each of these ratios in more detail to see how important they are and what they may tell us about Costco's operational and financial success</w:t>
      </w:r>
      <w:r w:rsidR="00842B62" w:rsidRPr="006742B0">
        <w:rPr>
          <w:rFonts w:ascii="Times New Roman" w:hAnsi="Times New Roman" w:cs="Times New Roman"/>
          <w:sz w:val="24"/>
          <w:szCs w:val="24"/>
          <w:shd w:val="clear" w:color="auto" w:fill="FFFFFF"/>
        </w:rPr>
        <w:t>.</w:t>
      </w:r>
    </w:p>
    <w:p w14:paraId="46445790" w14:textId="5AFCB3F3" w:rsidR="00842B62" w:rsidRPr="00A84CF5" w:rsidRDefault="00640429" w:rsidP="005C5E30">
      <w:pPr>
        <w:pStyle w:val="Heading3"/>
        <w:rPr>
          <w:rFonts w:ascii="Times New Roman" w:hAnsi="Times New Roman" w:cs="Times New Roman"/>
          <w:b/>
          <w:bCs/>
          <w:color w:val="auto"/>
          <w:sz w:val="22"/>
          <w:szCs w:val="22"/>
          <w:shd w:val="clear" w:color="auto" w:fill="FFFFFF"/>
        </w:rPr>
      </w:pPr>
      <w:bookmarkStart w:id="30" w:name="_Toc164812048"/>
      <w:r w:rsidRPr="00A84CF5">
        <w:rPr>
          <w:rFonts w:ascii="Times New Roman" w:hAnsi="Times New Roman" w:cs="Times New Roman"/>
          <w:b/>
          <w:bCs/>
          <w:color w:val="auto"/>
          <w:sz w:val="22"/>
          <w:szCs w:val="22"/>
          <w:shd w:val="clear" w:color="auto" w:fill="FFFFFF"/>
        </w:rPr>
        <w:t xml:space="preserve">2.4.1 </w:t>
      </w:r>
      <w:r w:rsidR="00864380" w:rsidRPr="00A84CF5">
        <w:rPr>
          <w:rFonts w:ascii="Times New Roman" w:hAnsi="Times New Roman" w:cs="Times New Roman"/>
          <w:b/>
          <w:bCs/>
          <w:color w:val="auto"/>
          <w:sz w:val="22"/>
          <w:szCs w:val="22"/>
          <w:shd w:val="clear" w:color="auto" w:fill="FFFFFF"/>
        </w:rPr>
        <w:t>NET ASSETS TURNOVER (X)</w:t>
      </w:r>
      <w:bookmarkEnd w:id="30"/>
    </w:p>
    <w:p w14:paraId="7D41122F" w14:textId="49399E20" w:rsidR="0048495E" w:rsidRPr="005C5E30" w:rsidRDefault="00004103" w:rsidP="00000987">
      <w:pPr>
        <w:spacing w:line="276" w:lineRule="auto"/>
        <w:jc w:val="both"/>
        <w:rPr>
          <w:rFonts w:ascii="Times New Roman" w:hAnsi="Times New Roman" w:cs="Times New Roman"/>
          <w:sz w:val="24"/>
          <w:szCs w:val="24"/>
          <w:shd w:val="clear" w:color="auto" w:fill="FFFFFF"/>
        </w:rPr>
      </w:pPr>
      <w:r w:rsidRPr="00000987">
        <w:rPr>
          <w:rFonts w:ascii="Times New Roman" w:hAnsi="Times New Roman" w:cs="Times New Roman"/>
          <w:sz w:val="24"/>
          <w:szCs w:val="24"/>
          <w:shd w:val="clear" w:color="auto" w:fill="FFFFFF"/>
        </w:rPr>
        <w:t xml:space="preserve">The effectiveness with which a business uses all of its assets to produce income is gauged by its net </w:t>
      </w:r>
      <w:proofErr w:type="gramStart"/>
      <w:r w:rsidRPr="00000987">
        <w:rPr>
          <w:rFonts w:ascii="Times New Roman" w:hAnsi="Times New Roman" w:cs="Times New Roman"/>
          <w:sz w:val="24"/>
          <w:szCs w:val="24"/>
          <w:shd w:val="clear" w:color="auto" w:fill="FFFFFF"/>
        </w:rPr>
        <w:t>assets</w:t>
      </w:r>
      <w:proofErr w:type="gramEnd"/>
      <w:r w:rsidRPr="00000987">
        <w:rPr>
          <w:rFonts w:ascii="Times New Roman" w:hAnsi="Times New Roman" w:cs="Times New Roman"/>
          <w:sz w:val="24"/>
          <w:szCs w:val="24"/>
          <w:shd w:val="clear" w:color="auto" w:fill="FFFFFF"/>
        </w:rPr>
        <w:t xml:space="preserve"> turnover. Net revenue is divided by the average total assets to arrive at this figure. Throughout the last five years, Costco's Net Assets Turnover has shown a steady trend, ranging </w:t>
      </w:r>
      <w:r w:rsidRPr="00000987">
        <w:rPr>
          <w:rFonts w:ascii="Times New Roman" w:hAnsi="Times New Roman" w:cs="Times New Roman"/>
          <w:sz w:val="24"/>
          <w:szCs w:val="24"/>
          <w:shd w:val="clear" w:color="auto" w:fill="FFFFFF"/>
        </w:rPr>
        <w:lastRenderedPageBreak/>
        <w:t>from 3.00 to 3.54. This means that Costco makes money three or four times a year for every dollar of net assets.</w:t>
      </w:r>
      <w:r w:rsidR="00842B62" w:rsidRPr="006742B0">
        <w:rPr>
          <w:rFonts w:ascii="Times New Roman" w:hAnsi="Times New Roman" w:cs="Times New Roman"/>
          <w:sz w:val="24"/>
          <w:szCs w:val="24"/>
          <w:shd w:val="clear" w:color="auto" w:fill="FFFFFF"/>
        </w:rPr>
        <w:t xml:space="preserve"> A higher ratio generally indicates better efficiency in asset utilization, suggesting Costco effectively leverages its assets to generate revenue (Forehand, Roman, and Schaefer, 2021).</w:t>
      </w:r>
    </w:p>
    <w:p w14:paraId="1BA97065" w14:textId="7771EE8F" w:rsidR="00842B62" w:rsidRPr="00A84CF5" w:rsidRDefault="00640429" w:rsidP="005C5E30">
      <w:pPr>
        <w:pStyle w:val="Heading3"/>
        <w:rPr>
          <w:rFonts w:ascii="Times New Roman" w:hAnsi="Times New Roman" w:cs="Times New Roman"/>
          <w:b/>
          <w:bCs/>
          <w:color w:val="auto"/>
          <w:sz w:val="22"/>
          <w:szCs w:val="22"/>
          <w:shd w:val="clear" w:color="auto" w:fill="FFFFFF"/>
        </w:rPr>
      </w:pPr>
      <w:bookmarkStart w:id="31" w:name="_Toc164812049"/>
      <w:r w:rsidRPr="00A84CF5">
        <w:rPr>
          <w:rFonts w:ascii="Times New Roman" w:hAnsi="Times New Roman" w:cs="Times New Roman"/>
          <w:b/>
          <w:bCs/>
          <w:color w:val="auto"/>
          <w:sz w:val="22"/>
          <w:szCs w:val="22"/>
          <w:shd w:val="clear" w:color="auto" w:fill="FFFFFF"/>
        </w:rPr>
        <w:t xml:space="preserve">2.4.2 </w:t>
      </w:r>
      <w:r w:rsidR="00A84CF5">
        <w:rPr>
          <w:rFonts w:ascii="Times New Roman" w:hAnsi="Times New Roman" w:cs="Times New Roman"/>
          <w:b/>
          <w:bCs/>
          <w:color w:val="auto"/>
          <w:sz w:val="22"/>
          <w:szCs w:val="22"/>
          <w:shd w:val="clear" w:color="auto" w:fill="FFFFFF"/>
        </w:rPr>
        <w:t>FIXED ASSETS TURNOVER (X)</w:t>
      </w:r>
      <w:bookmarkEnd w:id="31"/>
    </w:p>
    <w:p w14:paraId="72485D60" w14:textId="17DBF451" w:rsidR="009837E8" w:rsidRPr="00000987" w:rsidRDefault="0048495E" w:rsidP="00000987">
      <w:pPr>
        <w:spacing w:line="276" w:lineRule="auto"/>
        <w:jc w:val="both"/>
        <w:rPr>
          <w:rFonts w:ascii="Times New Roman" w:hAnsi="Times New Roman" w:cs="Times New Roman"/>
          <w:sz w:val="24"/>
          <w:szCs w:val="24"/>
          <w:shd w:val="clear" w:color="auto" w:fill="FFFFFF"/>
        </w:rPr>
      </w:pPr>
      <w:r w:rsidRPr="00000987">
        <w:rPr>
          <w:rFonts w:ascii="Times New Roman" w:hAnsi="Times New Roman" w:cs="Times New Roman"/>
          <w:sz w:val="24"/>
          <w:szCs w:val="24"/>
          <w:shd w:val="clear" w:color="auto" w:fill="FFFFFF"/>
        </w:rPr>
        <w:t>Fixed Assets Turnover measures how well a business makes use of its fixed assets</w:t>
      </w:r>
      <w:r w:rsidR="00E129C8">
        <w:rPr>
          <w:rFonts w:ascii="Times New Roman" w:hAnsi="Times New Roman" w:cs="Times New Roman"/>
          <w:sz w:val="24"/>
          <w:szCs w:val="24"/>
          <w:shd w:val="clear" w:color="auto" w:fill="FFFFFF"/>
        </w:rPr>
        <w:t xml:space="preserve"> </w:t>
      </w:r>
      <w:r w:rsidRPr="00000987">
        <w:rPr>
          <w:rFonts w:ascii="Times New Roman" w:hAnsi="Times New Roman" w:cs="Times New Roman"/>
          <w:sz w:val="24"/>
          <w:szCs w:val="24"/>
          <w:shd w:val="clear" w:color="auto" w:fill="FFFFFF"/>
        </w:rPr>
        <w:t>such as real estate, machinery, and equipment</w:t>
      </w:r>
      <w:r w:rsidR="00E129C8">
        <w:rPr>
          <w:rFonts w:ascii="Times New Roman" w:hAnsi="Times New Roman" w:cs="Times New Roman"/>
          <w:sz w:val="24"/>
          <w:szCs w:val="24"/>
          <w:shd w:val="clear" w:color="auto" w:fill="FFFFFF"/>
        </w:rPr>
        <w:t xml:space="preserve"> </w:t>
      </w:r>
      <w:r w:rsidRPr="00000987">
        <w:rPr>
          <w:rFonts w:ascii="Times New Roman" w:hAnsi="Times New Roman" w:cs="Times New Roman"/>
          <w:sz w:val="24"/>
          <w:szCs w:val="24"/>
          <w:shd w:val="clear" w:color="auto" w:fill="FFFFFF"/>
        </w:rPr>
        <w:t>to produce income. It is computed by taking the average of fixed assets and the net revenue. The Fixed Assets Turnover of Costco shows an overall upward trend, rising from 7.31 in 2019 to 9.08 in 2023. This suggests that over time, Costco has become increasingly adept at generating income from its fixed assets. Improved productivity and efficient use of fixed assets can boost profitability and return on investment, as indicated by a rising fixed assets turnover (Forehand, Roman, and Schaefer, 2021).</w:t>
      </w:r>
    </w:p>
    <w:p w14:paraId="77451EED" w14:textId="5BDBB15D" w:rsidR="00842B62" w:rsidRPr="00616FD1" w:rsidRDefault="00640429" w:rsidP="005C5E30">
      <w:pPr>
        <w:pStyle w:val="Heading3"/>
        <w:rPr>
          <w:rFonts w:ascii="Times New Roman" w:hAnsi="Times New Roman" w:cs="Times New Roman"/>
          <w:b/>
          <w:bCs/>
          <w:color w:val="auto"/>
          <w:sz w:val="22"/>
          <w:szCs w:val="22"/>
          <w:shd w:val="clear" w:color="auto" w:fill="FFFFFF"/>
        </w:rPr>
      </w:pPr>
      <w:bookmarkStart w:id="32" w:name="_Toc164812050"/>
      <w:r w:rsidRPr="00616FD1">
        <w:rPr>
          <w:rFonts w:ascii="Times New Roman" w:hAnsi="Times New Roman" w:cs="Times New Roman"/>
          <w:b/>
          <w:bCs/>
          <w:color w:val="auto"/>
          <w:sz w:val="22"/>
          <w:szCs w:val="22"/>
          <w:shd w:val="clear" w:color="auto" w:fill="FFFFFF"/>
        </w:rPr>
        <w:t xml:space="preserve">2.4.3 </w:t>
      </w:r>
      <w:r w:rsidR="00616FD1" w:rsidRPr="00616FD1">
        <w:rPr>
          <w:rFonts w:ascii="Times New Roman" w:hAnsi="Times New Roman" w:cs="Times New Roman"/>
          <w:b/>
          <w:bCs/>
          <w:color w:val="auto"/>
          <w:sz w:val="22"/>
          <w:szCs w:val="22"/>
          <w:shd w:val="clear" w:color="auto" w:fill="FFFFFF"/>
        </w:rPr>
        <w:t>INTEREST COVER (X)</w:t>
      </w:r>
      <w:bookmarkEnd w:id="32"/>
    </w:p>
    <w:p w14:paraId="422F2336" w14:textId="0BC2067E" w:rsidR="009837E8" w:rsidRPr="00000987" w:rsidRDefault="009837E8" w:rsidP="00000987">
      <w:pPr>
        <w:spacing w:line="276" w:lineRule="auto"/>
        <w:jc w:val="both"/>
        <w:rPr>
          <w:rFonts w:ascii="Times New Roman" w:hAnsi="Times New Roman" w:cs="Times New Roman"/>
          <w:sz w:val="24"/>
          <w:szCs w:val="24"/>
          <w:shd w:val="clear" w:color="auto" w:fill="FFFFFF"/>
        </w:rPr>
      </w:pPr>
      <w:r w:rsidRPr="00000987">
        <w:rPr>
          <w:rFonts w:ascii="Times New Roman" w:hAnsi="Times New Roman" w:cs="Times New Roman"/>
          <w:sz w:val="24"/>
          <w:szCs w:val="24"/>
          <w:shd w:val="clear" w:color="auto" w:fill="FFFFFF"/>
        </w:rPr>
        <w:t>The Times Interest Earned (TIE) Ratio, or Interest Cover, gauges how well a business can use its profits before interest and taxes (EBIT) to pay interest on its debt. It is computed by dividing interest expenses by EBIT. Throughout the five years, Costco's Interest Cover has maintained a high level, ranging from 32.47 to 54.04. This suggests that Costco has a considerable ability to easily meet interest payments because its earnings are far larger than its interest charges. Investors and creditors benefit from a high-interest cover ratio, which indicates financial stability and a decreased chance of default on debt commitments (Ran, and Zhao, 2023).</w:t>
      </w:r>
    </w:p>
    <w:p w14:paraId="3C33EF4F" w14:textId="5648061F" w:rsidR="00842B62" w:rsidRPr="00CE09BC" w:rsidRDefault="00640429" w:rsidP="005C5E30">
      <w:pPr>
        <w:pStyle w:val="Heading3"/>
        <w:rPr>
          <w:rFonts w:ascii="Times New Roman" w:hAnsi="Times New Roman" w:cs="Times New Roman"/>
          <w:b/>
          <w:bCs/>
          <w:color w:val="auto"/>
          <w:sz w:val="22"/>
          <w:szCs w:val="22"/>
          <w:shd w:val="clear" w:color="auto" w:fill="FFFFFF"/>
        </w:rPr>
      </w:pPr>
      <w:bookmarkStart w:id="33" w:name="_Toc164812051"/>
      <w:r w:rsidRPr="00CE09BC">
        <w:rPr>
          <w:rFonts w:ascii="Times New Roman" w:hAnsi="Times New Roman" w:cs="Times New Roman"/>
          <w:b/>
          <w:bCs/>
          <w:color w:val="auto"/>
          <w:sz w:val="22"/>
          <w:szCs w:val="22"/>
          <w:shd w:val="clear" w:color="auto" w:fill="FFFFFF"/>
        </w:rPr>
        <w:t xml:space="preserve">2.4.4 </w:t>
      </w:r>
      <w:r w:rsidR="00CE09BC" w:rsidRPr="00CE09BC">
        <w:rPr>
          <w:rFonts w:ascii="Times New Roman" w:hAnsi="Times New Roman" w:cs="Times New Roman"/>
          <w:b/>
          <w:bCs/>
          <w:color w:val="auto"/>
          <w:sz w:val="22"/>
          <w:szCs w:val="22"/>
          <w:shd w:val="clear" w:color="auto" w:fill="FFFFFF"/>
        </w:rPr>
        <w:t>STOCK TURNOVER (X)</w:t>
      </w:r>
      <w:bookmarkEnd w:id="33"/>
    </w:p>
    <w:p w14:paraId="5D1D6F61" w14:textId="2D7FC9B2" w:rsidR="00AD19BD" w:rsidRPr="00000987" w:rsidRDefault="00AB48AC" w:rsidP="00000987">
      <w:pPr>
        <w:spacing w:line="276" w:lineRule="auto"/>
        <w:jc w:val="both"/>
        <w:rPr>
          <w:rFonts w:ascii="Times New Roman" w:hAnsi="Times New Roman" w:cs="Times New Roman"/>
          <w:sz w:val="24"/>
          <w:szCs w:val="24"/>
          <w:shd w:val="clear" w:color="auto" w:fill="FFFFFF"/>
        </w:rPr>
      </w:pPr>
      <w:r w:rsidRPr="00000987">
        <w:rPr>
          <w:rFonts w:ascii="Times New Roman" w:hAnsi="Times New Roman" w:cs="Times New Roman"/>
          <w:sz w:val="24"/>
          <w:szCs w:val="24"/>
          <w:shd w:val="clear" w:color="auto" w:fill="FFFFFF"/>
        </w:rPr>
        <w:t>Inventory turnover, also referred to as stock turnover, is a metric used to measure how efficiently a company replaces and sells its stock over a specified period. The average inventory is divided by the cost of goods sold (COGS) to calculate it</w:t>
      </w:r>
      <w:r w:rsidR="00122F74" w:rsidRPr="00000987">
        <w:rPr>
          <w:rFonts w:ascii="Times New Roman" w:hAnsi="Times New Roman" w:cs="Times New Roman"/>
          <w:sz w:val="24"/>
          <w:szCs w:val="24"/>
          <w:shd w:val="clear" w:color="auto" w:fill="FFFFFF"/>
        </w:rPr>
        <w:t>. Over five years, Costco's stock turnover ranged from 11.13 to 12.76, suggesting that the retailer efficiently sells and replenishes its inventory between 11 to 13 times a year. According to Ran and Zhao (2023), a higher stock turnover rate indicates effective inventory management that lowers holding costs and lowers the chance of obsolete goods.</w:t>
      </w:r>
    </w:p>
    <w:p w14:paraId="092E456C" w14:textId="582F3AF9" w:rsidR="00842B62" w:rsidRPr="00DC1BFA" w:rsidRDefault="00640429" w:rsidP="005C5E30">
      <w:pPr>
        <w:pStyle w:val="Heading3"/>
        <w:rPr>
          <w:rFonts w:ascii="Times New Roman" w:hAnsi="Times New Roman" w:cs="Times New Roman"/>
          <w:b/>
          <w:bCs/>
          <w:color w:val="auto"/>
          <w:sz w:val="22"/>
          <w:szCs w:val="22"/>
          <w:shd w:val="clear" w:color="auto" w:fill="FFFFFF"/>
        </w:rPr>
      </w:pPr>
      <w:bookmarkStart w:id="34" w:name="_Toc164812052"/>
      <w:r w:rsidRPr="00DC1BFA">
        <w:rPr>
          <w:rFonts w:ascii="Times New Roman" w:hAnsi="Times New Roman" w:cs="Times New Roman"/>
          <w:b/>
          <w:bCs/>
          <w:color w:val="auto"/>
          <w:sz w:val="22"/>
          <w:szCs w:val="22"/>
          <w:shd w:val="clear" w:color="auto" w:fill="FFFFFF"/>
        </w:rPr>
        <w:t xml:space="preserve">2.4.5 </w:t>
      </w:r>
      <w:r w:rsidR="00DC1BFA" w:rsidRPr="00DC1BFA">
        <w:rPr>
          <w:rFonts w:ascii="Times New Roman" w:hAnsi="Times New Roman" w:cs="Times New Roman"/>
          <w:b/>
          <w:bCs/>
          <w:color w:val="auto"/>
          <w:sz w:val="22"/>
          <w:szCs w:val="22"/>
          <w:shd w:val="clear" w:color="auto" w:fill="FFFFFF"/>
        </w:rPr>
        <w:t>DEBTORS TURNOVER (X)</w:t>
      </w:r>
      <w:bookmarkEnd w:id="34"/>
    </w:p>
    <w:p w14:paraId="38C0C89E" w14:textId="1A6974CD" w:rsidR="00B07CCD" w:rsidRPr="00000987" w:rsidRDefault="001C3A31" w:rsidP="00000987">
      <w:pPr>
        <w:spacing w:line="276" w:lineRule="auto"/>
        <w:jc w:val="both"/>
        <w:rPr>
          <w:rFonts w:ascii="Times New Roman" w:hAnsi="Times New Roman" w:cs="Times New Roman"/>
          <w:sz w:val="24"/>
          <w:szCs w:val="24"/>
          <w:shd w:val="clear" w:color="auto" w:fill="FFFFFF"/>
        </w:rPr>
      </w:pPr>
      <w:r w:rsidRPr="00000987">
        <w:rPr>
          <w:rFonts w:ascii="Times New Roman" w:hAnsi="Times New Roman" w:cs="Times New Roman"/>
          <w:sz w:val="24"/>
          <w:szCs w:val="24"/>
          <w:shd w:val="clear" w:color="auto" w:fill="FFFFFF"/>
        </w:rPr>
        <w:t>Accounts Receivable Turnover, also known as Debtors Turnover, gauges how effectively a business collects money from its credit sales. Net revenue is divided by average accounts receivable to arrive at this figure. Costco's Debtors Turnover shows that it earns cash from credit purchases between 100 and 108 times a year, with a range of 99.48 to 107.58. Increased debtor turnover indicates efficient credit management and prompt receivables collection, which improves cash flow and liquidity (Ran and Zhao, 2023).</w:t>
      </w:r>
    </w:p>
    <w:p w14:paraId="18323663" w14:textId="37367548" w:rsidR="00842B62" w:rsidRPr="00B036C7" w:rsidRDefault="00640429" w:rsidP="005C5E30">
      <w:pPr>
        <w:pStyle w:val="Heading3"/>
        <w:rPr>
          <w:rFonts w:ascii="Times New Roman" w:hAnsi="Times New Roman" w:cs="Times New Roman"/>
          <w:b/>
          <w:bCs/>
          <w:color w:val="auto"/>
          <w:sz w:val="22"/>
          <w:szCs w:val="22"/>
          <w:shd w:val="clear" w:color="auto" w:fill="FFFFFF"/>
        </w:rPr>
      </w:pPr>
      <w:bookmarkStart w:id="35" w:name="_Toc164812053"/>
      <w:r w:rsidRPr="00B036C7">
        <w:rPr>
          <w:rFonts w:ascii="Times New Roman" w:hAnsi="Times New Roman" w:cs="Times New Roman"/>
          <w:b/>
          <w:bCs/>
          <w:color w:val="auto"/>
          <w:sz w:val="22"/>
          <w:szCs w:val="22"/>
          <w:shd w:val="clear" w:color="auto" w:fill="FFFFFF"/>
        </w:rPr>
        <w:t xml:space="preserve">2.4.6 </w:t>
      </w:r>
      <w:r w:rsidR="00B036C7" w:rsidRPr="00B036C7">
        <w:rPr>
          <w:rFonts w:ascii="Times New Roman" w:hAnsi="Times New Roman" w:cs="Times New Roman"/>
          <w:b/>
          <w:bCs/>
          <w:color w:val="auto"/>
          <w:sz w:val="22"/>
          <w:szCs w:val="22"/>
          <w:shd w:val="clear" w:color="auto" w:fill="FFFFFF"/>
        </w:rPr>
        <w:t>DEBTOR COLLECTION (</w:t>
      </w:r>
      <w:r w:rsidR="00842B62" w:rsidRPr="00B036C7">
        <w:rPr>
          <w:rFonts w:ascii="Times New Roman" w:hAnsi="Times New Roman" w:cs="Times New Roman"/>
          <w:b/>
          <w:bCs/>
          <w:color w:val="auto"/>
          <w:sz w:val="22"/>
          <w:szCs w:val="22"/>
          <w:shd w:val="clear" w:color="auto" w:fill="FFFFFF"/>
        </w:rPr>
        <w:t>D</w:t>
      </w:r>
      <w:r w:rsidR="00B036C7" w:rsidRPr="00B036C7">
        <w:rPr>
          <w:rFonts w:ascii="Times New Roman" w:hAnsi="Times New Roman" w:cs="Times New Roman"/>
          <w:b/>
          <w:bCs/>
          <w:color w:val="auto"/>
          <w:sz w:val="22"/>
          <w:szCs w:val="22"/>
          <w:shd w:val="clear" w:color="auto" w:fill="FFFFFF"/>
        </w:rPr>
        <w:t>AYS)</w:t>
      </w:r>
      <w:bookmarkEnd w:id="35"/>
    </w:p>
    <w:p w14:paraId="595D27AA" w14:textId="5AB2ACB8" w:rsidR="00842B62" w:rsidRPr="00000987" w:rsidRDefault="00B07CCD" w:rsidP="00000987">
      <w:pPr>
        <w:spacing w:line="276" w:lineRule="auto"/>
        <w:jc w:val="both"/>
        <w:rPr>
          <w:rFonts w:ascii="Times New Roman" w:hAnsi="Times New Roman" w:cs="Times New Roman"/>
          <w:sz w:val="24"/>
          <w:szCs w:val="24"/>
          <w:shd w:val="clear" w:color="auto" w:fill="FFFFFF"/>
        </w:rPr>
      </w:pPr>
      <w:r w:rsidRPr="00000987">
        <w:rPr>
          <w:rFonts w:ascii="Times New Roman" w:hAnsi="Times New Roman" w:cs="Times New Roman"/>
          <w:sz w:val="24"/>
          <w:szCs w:val="24"/>
          <w:shd w:val="clear" w:color="auto" w:fill="FFFFFF"/>
        </w:rPr>
        <w:t xml:space="preserve">Days Sales Outstanding (DSO), also known as debtor collection, is the average amount of time it takes a business to get paid for credit sales. Debtor's Turnover is divided by 365, the number of days in a year, to determine it. Costco's Debtor Collection days fall between 21.70 and 28.64, meaning that, on average, it takes the retailer between 22 and 29 days to collect cash from credit transactions. A shorter debt collection duration is indicative of effective credit </w:t>
      </w:r>
      <w:r w:rsidRPr="00000987">
        <w:rPr>
          <w:rFonts w:ascii="Times New Roman" w:hAnsi="Times New Roman" w:cs="Times New Roman"/>
          <w:sz w:val="24"/>
          <w:szCs w:val="24"/>
          <w:shd w:val="clear" w:color="auto" w:fill="FFFFFF"/>
        </w:rPr>
        <w:lastRenderedPageBreak/>
        <w:t>management and timely receivables collection, which enhances working capital management and cash flow (Forehand, Roman, and Schaefer, 2021).</w:t>
      </w:r>
    </w:p>
    <w:p w14:paraId="65C78B55" w14:textId="08EDCA9E" w:rsidR="00842B62" w:rsidRPr="008C680B" w:rsidRDefault="00640429" w:rsidP="005C5E30">
      <w:pPr>
        <w:pStyle w:val="Heading3"/>
        <w:rPr>
          <w:rFonts w:ascii="Times New Roman" w:hAnsi="Times New Roman" w:cs="Times New Roman"/>
          <w:b/>
          <w:bCs/>
          <w:color w:val="auto"/>
          <w:sz w:val="22"/>
          <w:szCs w:val="22"/>
          <w:shd w:val="clear" w:color="auto" w:fill="FFFFFF"/>
        </w:rPr>
      </w:pPr>
      <w:bookmarkStart w:id="36" w:name="_Toc164812054"/>
      <w:r w:rsidRPr="008C680B">
        <w:rPr>
          <w:rFonts w:ascii="Times New Roman" w:hAnsi="Times New Roman" w:cs="Times New Roman"/>
          <w:b/>
          <w:bCs/>
          <w:color w:val="auto"/>
          <w:sz w:val="22"/>
          <w:szCs w:val="22"/>
          <w:shd w:val="clear" w:color="auto" w:fill="FFFFFF"/>
        </w:rPr>
        <w:t xml:space="preserve">2.4.7 </w:t>
      </w:r>
      <w:r w:rsidR="008C680B" w:rsidRPr="008C680B">
        <w:rPr>
          <w:rFonts w:ascii="Times New Roman" w:hAnsi="Times New Roman" w:cs="Times New Roman"/>
          <w:b/>
          <w:bCs/>
          <w:color w:val="auto"/>
          <w:sz w:val="22"/>
          <w:szCs w:val="22"/>
          <w:shd w:val="clear" w:color="auto" w:fill="FFFFFF"/>
        </w:rPr>
        <w:t>CREDITORS PAYMENT (DAYS)</w:t>
      </w:r>
      <w:bookmarkEnd w:id="36"/>
    </w:p>
    <w:p w14:paraId="214472D6" w14:textId="78EE993A" w:rsidR="00FD71FB" w:rsidRPr="00D4016A" w:rsidRDefault="00FD71FB" w:rsidP="00D4016A">
      <w:pPr>
        <w:spacing w:line="276" w:lineRule="auto"/>
        <w:jc w:val="both"/>
        <w:rPr>
          <w:rFonts w:ascii="Times New Roman" w:hAnsi="Times New Roman" w:cs="Times New Roman"/>
          <w:sz w:val="24"/>
          <w:szCs w:val="24"/>
          <w:shd w:val="clear" w:color="auto" w:fill="FFFFFF"/>
        </w:rPr>
      </w:pPr>
      <w:r w:rsidRPr="00D4016A">
        <w:rPr>
          <w:rFonts w:ascii="Times New Roman" w:hAnsi="Times New Roman" w:cs="Times New Roman"/>
          <w:sz w:val="24"/>
          <w:szCs w:val="24"/>
          <w:shd w:val="clear" w:color="auto" w:fill="FFFFFF"/>
        </w:rPr>
        <w:t>Days Payable Outstanding (DPO), also known as Creditors Payment, is the average amount of time it takes a business to pay its suppliers. It is computed by dividing the Payables Turnover ratio by 365 (the number of days in a year).</w:t>
      </w:r>
      <w:r w:rsidR="00842B62" w:rsidRPr="006742B0">
        <w:rPr>
          <w:rFonts w:ascii="Times New Roman" w:hAnsi="Times New Roman" w:cs="Times New Roman"/>
          <w:sz w:val="24"/>
          <w:szCs w:val="24"/>
          <w:shd w:val="clear" w:color="auto" w:fill="FFFFFF"/>
        </w:rPr>
        <w:t xml:space="preserve"> Costco's Creditors' Payment days range from 30.33 to 32.56, indicating that it takes Costco approximately 30 to 33 days on average to pay its suppliers. A longer creditor payment period suggests that Costco has negotiated </w:t>
      </w:r>
      <w:r w:rsidRPr="006742B0">
        <w:rPr>
          <w:rFonts w:ascii="Times New Roman" w:hAnsi="Times New Roman" w:cs="Times New Roman"/>
          <w:sz w:val="24"/>
          <w:szCs w:val="24"/>
          <w:shd w:val="clear" w:color="auto" w:fill="FFFFFF"/>
        </w:rPr>
        <w:t>favourable</w:t>
      </w:r>
      <w:r w:rsidR="00842B62" w:rsidRPr="006742B0">
        <w:rPr>
          <w:rFonts w:ascii="Times New Roman" w:hAnsi="Times New Roman" w:cs="Times New Roman"/>
          <w:sz w:val="24"/>
          <w:szCs w:val="24"/>
          <w:shd w:val="clear" w:color="auto" w:fill="FFFFFF"/>
        </w:rPr>
        <w:t xml:space="preserve"> credit terms with its suppliers, enabling it to preserve cash flow and maintain liquidity (Forehand, Roman, and Schaefer, 2021).</w:t>
      </w:r>
    </w:p>
    <w:p w14:paraId="33D7396B"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In summary, the financial ratios provided offer valuable insights into Costco's operational efficiency, financial health, and management effectiveness. Costco's consistent performance across these key metrics reflects its strong operational capabilities and prudent financial management practices, positioning it as a leading player in the retail industry.</w:t>
      </w:r>
    </w:p>
    <w:p w14:paraId="62C27F0F" w14:textId="4C62E120" w:rsidR="00842B62" w:rsidRPr="002259A1" w:rsidRDefault="00640429" w:rsidP="005C5E30">
      <w:pPr>
        <w:pStyle w:val="Heading3"/>
        <w:rPr>
          <w:rFonts w:ascii="Times New Roman" w:hAnsi="Times New Roman" w:cs="Times New Roman"/>
          <w:b/>
          <w:bCs/>
          <w:color w:val="auto"/>
          <w:sz w:val="22"/>
          <w:szCs w:val="22"/>
          <w:shd w:val="clear" w:color="auto" w:fill="FFFFFF"/>
        </w:rPr>
      </w:pPr>
      <w:bookmarkStart w:id="37" w:name="_Toc164812055"/>
      <w:r w:rsidRPr="002259A1">
        <w:rPr>
          <w:rFonts w:ascii="Times New Roman" w:hAnsi="Times New Roman" w:cs="Times New Roman"/>
          <w:b/>
          <w:bCs/>
          <w:color w:val="auto"/>
          <w:sz w:val="22"/>
          <w:szCs w:val="22"/>
          <w:shd w:val="clear" w:color="auto" w:fill="FFFFFF"/>
        </w:rPr>
        <w:t xml:space="preserve">2.4.8 </w:t>
      </w:r>
      <w:proofErr w:type="gramStart"/>
      <w:r w:rsidR="00193135" w:rsidRPr="002259A1">
        <w:rPr>
          <w:rFonts w:ascii="Times New Roman" w:hAnsi="Times New Roman" w:cs="Times New Roman"/>
          <w:b/>
          <w:bCs/>
          <w:color w:val="auto"/>
          <w:sz w:val="22"/>
          <w:szCs w:val="22"/>
          <w:shd w:val="clear" w:color="auto" w:fill="FFFFFF"/>
        </w:rPr>
        <w:t>RECOMMENDATION :</w:t>
      </w:r>
      <w:proofErr w:type="gramEnd"/>
      <w:r w:rsidR="00193135" w:rsidRPr="002259A1">
        <w:rPr>
          <w:rFonts w:ascii="Times New Roman" w:hAnsi="Times New Roman" w:cs="Times New Roman"/>
          <w:b/>
          <w:bCs/>
          <w:color w:val="auto"/>
          <w:sz w:val="22"/>
          <w:szCs w:val="22"/>
          <w:shd w:val="clear" w:color="auto" w:fill="FFFFFF"/>
        </w:rPr>
        <w:t xml:space="preserve"> </w:t>
      </w:r>
      <w:r w:rsidR="00D841A7" w:rsidRPr="002259A1">
        <w:rPr>
          <w:rFonts w:ascii="Times New Roman" w:hAnsi="Times New Roman" w:cs="Times New Roman"/>
          <w:b/>
          <w:bCs/>
          <w:color w:val="auto"/>
          <w:sz w:val="22"/>
          <w:szCs w:val="22"/>
          <w:shd w:val="clear" w:color="auto" w:fill="FFFFFF"/>
        </w:rPr>
        <w:t>h</w:t>
      </w:r>
      <w:r w:rsidR="00842B62" w:rsidRPr="002259A1">
        <w:rPr>
          <w:rFonts w:ascii="Times New Roman" w:hAnsi="Times New Roman" w:cs="Times New Roman"/>
          <w:b/>
          <w:bCs/>
          <w:color w:val="auto"/>
          <w:sz w:val="22"/>
          <w:szCs w:val="22"/>
          <w:shd w:val="clear" w:color="auto" w:fill="FFFFFF"/>
        </w:rPr>
        <w:t xml:space="preserve">ow </w:t>
      </w:r>
      <w:r w:rsidR="00D841A7" w:rsidRPr="002259A1">
        <w:rPr>
          <w:rFonts w:ascii="Times New Roman" w:hAnsi="Times New Roman" w:cs="Times New Roman"/>
          <w:b/>
          <w:bCs/>
          <w:color w:val="auto"/>
          <w:sz w:val="22"/>
          <w:szCs w:val="22"/>
          <w:shd w:val="clear" w:color="auto" w:fill="FFFFFF"/>
        </w:rPr>
        <w:t>t</w:t>
      </w:r>
      <w:r w:rsidR="00842B62" w:rsidRPr="002259A1">
        <w:rPr>
          <w:rFonts w:ascii="Times New Roman" w:hAnsi="Times New Roman" w:cs="Times New Roman"/>
          <w:b/>
          <w:bCs/>
          <w:color w:val="auto"/>
          <w:sz w:val="22"/>
          <w:szCs w:val="22"/>
          <w:shd w:val="clear" w:color="auto" w:fill="FFFFFF"/>
        </w:rPr>
        <w:t xml:space="preserve">o </w:t>
      </w:r>
      <w:r w:rsidR="00D841A7" w:rsidRPr="002259A1">
        <w:rPr>
          <w:rFonts w:ascii="Times New Roman" w:hAnsi="Times New Roman" w:cs="Times New Roman"/>
          <w:b/>
          <w:bCs/>
          <w:color w:val="auto"/>
          <w:sz w:val="22"/>
          <w:szCs w:val="22"/>
          <w:shd w:val="clear" w:color="auto" w:fill="FFFFFF"/>
        </w:rPr>
        <w:t>i</w:t>
      </w:r>
      <w:r w:rsidR="00842B62" w:rsidRPr="002259A1">
        <w:rPr>
          <w:rFonts w:ascii="Times New Roman" w:hAnsi="Times New Roman" w:cs="Times New Roman"/>
          <w:b/>
          <w:bCs/>
          <w:color w:val="auto"/>
          <w:sz w:val="22"/>
          <w:szCs w:val="22"/>
          <w:shd w:val="clear" w:color="auto" w:fill="FFFFFF"/>
        </w:rPr>
        <w:t xml:space="preserve">mprove </w:t>
      </w:r>
      <w:r w:rsidR="00D841A7" w:rsidRPr="002259A1">
        <w:rPr>
          <w:rFonts w:ascii="Times New Roman" w:hAnsi="Times New Roman" w:cs="Times New Roman"/>
          <w:b/>
          <w:bCs/>
          <w:color w:val="auto"/>
          <w:sz w:val="22"/>
          <w:szCs w:val="22"/>
          <w:shd w:val="clear" w:color="auto" w:fill="FFFFFF"/>
        </w:rPr>
        <w:t>t</w:t>
      </w:r>
      <w:r w:rsidR="00842B62" w:rsidRPr="002259A1">
        <w:rPr>
          <w:rFonts w:ascii="Times New Roman" w:hAnsi="Times New Roman" w:cs="Times New Roman"/>
          <w:b/>
          <w:bCs/>
          <w:color w:val="auto"/>
          <w:sz w:val="22"/>
          <w:szCs w:val="22"/>
          <w:shd w:val="clear" w:color="auto" w:fill="FFFFFF"/>
        </w:rPr>
        <w:t xml:space="preserve">he </w:t>
      </w:r>
      <w:r w:rsidR="00D841A7" w:rsidRPr="002259A1">
        <w:rPr>
          <w:rFonts w:ascii="Times New Roman" w:hAnsi="Times New Roman" w:cs="Times New Roman"/>
          <w:b/>
          <w:bCs/>
          <w:color w:val="auto"/>
          <w:sz w:val="22"/>
          <w:szCs w:val="22"/>
          <w:shd w:val="clear" w:color="auto" w:fill="FFFFFF"/>
        </w:rPr>
        <w:t>f</w:t>
      </w:r>
      <w:r w:rsidR="00842B62" w:rsidRPr="002259A1">
        <w:rPr>
          <w:rFonts w:ascii="Times New Roman" w:hAnsi="Times New Roman" w:cs="Times New Roman"/>
          <w:b/>
          <w:bCs/>
          <w:color w:val="auto"/>
          <w:sz w:val="22"/>
          <w:szCs w:val="22"/>
          <w:shd w:val="clear" w:color="auto" w:fill="FFFFFF"/>
        </w:rPr>
        <w:t xml:space="preserve">inancial </w:t>
      </w:r>
      <w:r w:rsidR="00D841A7" w:rsidRPr="002259A1">
        <w:rPr>
          <w:rFonts w:ascii="Times New Roman" w:hAnsi="Times New Roman" w:cs="Times New Roman"/>
          <w:b/>
          <w:bCs/>
          <w:color w:val="auto"/>
          <w:sz w:val="22"/>
          <w:szCs w:val="22"/>
          <w:shd w:val="clear" w:color="auto" w:fill="FFFFFF"/>
        </w:rPr>
        <w:t>m</w:t>
      </w:r>
      <w:r w:rsidR="00842B62" w:rsidRPr="002259A1">
        <w:rPr>
          <w:rFonts w:ascii="Times New Roman" w:hAnsi="Times New Roman" w:cs="Times New Roman"/>
          <w:b/>
          <w:bCs/>
          <w:color w:val="auto"/>
          <w:sz w:val="22"/>
          <w:szCs w:val="22"/>
          <w:shd w:val="clear" w:color="auto" w:fill="FFFFFF"/>
        </w:rPr>
        <w:t>anagement</w:t>
      </w:r>
      <w:r w:rsidR="00D841A7" w:rsidRPr="002259A1">
        <w:rPr>
          <w:rFonts w:ascii="Times New Roman" w:hAnsi="Times New Roman" w:cs="Times New Roman"/>
          <w:b/>
          <w:bCs/>
          <w:color w:val="auto"/>
          <w:sz w:val="22"/>
          <w:szCs w:val="22"/>
          <w:shd w:val="clear" w:color="auto" w:fill="FFFFFF"/>
        </w:rPr>
        <w:t xml:space="preserve"> of Costco</w:t>
      </w:r>
      <w:bookmarkEnd w:id="37"/>
    </w:p>
    <w:p w14:paraId="5A913D56"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To enhance the financial management of Costco Wholesale Corporation, several strategic initiatives can be implemented to further optimize its operational efficiency, strengthen its financial position, and drive sustainable growth (Rahman, 2020).</w:t>
      </w:r>
    </w:p>
    <w:p w14:paraId="10EAF2BF"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Firstly, Costco should focus on optimizing its capital structure and managing its debt levels prudently. While debt can be a valuable source of financing for expansion and investment, excessive reliance on debt can increase financial risk and constrain flexibility (Rahman, 2020). Costco should evaluate its debt-to-equity and debt-to-capital ratios regularly to ensure they remain within optimal ranges. Additionally, the company can explore alternative financing options, such as equity financing or retained earnings, to diversify its capital sources and mitigate debt-related risks. By maintaining a balanced capital structure, Costco can enhance financial stability, reduce interest expenses, and preserve shareholder value (Rahman, 2020).</w:t>
      </w:r>
    </w:p>
    <w:p w14:paraId="206F4F72"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Secondly, Costco should continue to prioritize operational efficiency and cost management to drive profitability and improve margins. Implementing robust cost control measures, streamlining processes, and leveraging technology to enhance productivity can help reduce operating expenses and boost margins (Rahman, 2020). Moreover, optimizing inventory management practices and supply chain operations can minimize carrying costs and improve inventory turnover, leading to better cash flow management and enhanced profitability. By focusing on operational excellence, Costco can enhance competitiveness, drive value creation, and maximize returns for shareholders (Rahman, 2020).</w:t>
      </w:r>
    </w:p>
    <w:p w14:paraId="69479BE2"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 xml:space="preserve">Lastly, Costco should invest in strategic initiatives to drive revenue growth and expand its market presence. This could involve diversifying product offerings, expanding into new geographic markets, and leveraging digital channels to reach a broader customer base (Eldomiaty et al, 2023). Investing in innovation and customer-centric initiatives, such as enhancing the online shopping experience, implementing personalized marketing strategies, and improving customer service, can help Costco stay ahead of evolving consumer preferences and market trends. Additionally, exploring strategic partnerships and alliances can provide </w:t>
      </w:r>
      <w:r w:rsidRPr="006742B0">
        <w:rPr>
          <w:rFonts w:ascii="Times New Roman" w:hAnsi="Times New Roman" w:cs="Times New Roman"/>
          <w:sz w:val="24"/>
          <w:szCs w:val="24"/>
          <w:shd w:val="clear" w:color="auto" w:fill="FFFFFF"/>
        </w:rPr>
        <w:lastRenderedPageBreak/>
        <w:t>opportunities for collaboration and market expansion. By pursuing growth-oriented strategies, Costco can capitalize on emerging opportunities, drive top-line growth, and strengthen its market leadership position (Eldomiaty et al, 2023).</w:t>
      </w:r>
    </w:p>
    <w:p w14:paraId="34B033C2" w14:textId="256C4A0F" w:rsidR="00E54F36" w:rsidRPr="006742B0" w:rsidRDefault="00842B62" w:rsidP="006B43A4">
      <w:pPr>
        <w:spacing w:line="276" w:lineRule="auto"/>
        <w:jc w:val="both"/>
        <w:rPr>
          <w:rFonts w:ascii="Times New Roman" w:eastAsia="Times New Roman" w:hAnsi="Times New Roman" w:cs="Times New Roman"/>
          <w:kern w:val="0"/>
          <w:sz w:val="24"/>
          <w:szCs w:val="24"/>
          <w:lang w:val="en-GB" w:eastAsia="en-GB"/>
          <w14:ligatures w14:val="none"/>
        </w:rPr>
      </w:pPr>
      <w:r w:rsidRPr="006742B0">
        <w:rPr>
          <w:rFonts w:ascii="Times New Roman" w:hAnsi="Times New Roman" w:cs="Times New Roman"/>
          <w:sz w:val="24"/>
          <w:szCs w:val="24"/>
          <w:shd w:val="clear" w:color="auto" w:fill="FFFFFF"/>
        </w:rPr>
        <w:t xml:space="preserve">In conclusion, by focusing on optimizing capital structure, enhancing operational efficiency, and pursuing growth-oriented strategies, Costco Wholesale Corporation can further improve its financial management practices and drive sustainable value creation (Eldomiaty et al, 2023; Rahman, 2020). </w:t>
      </w:r>
      <w:r w:rsidR="00E54F36" w:rsidRPr="006742B0">
        <w:rPr>
          <w:rFonts w:ascii="Times New Roman" w:eastAsia="Times New Roman" w:hAnsi="Times New Roman" w:cs="Times New Roman"/>
          <w:kern w:val="0"/>
          <w:sz w:val="24"/>
          <w:szCs w:val="24"/>
          <w:lang w:val="en-GB" w:eastAsia="en-GB"/>
          <w14:ligatures w14:val="none"/>
        </w:rPr>
        <w:t>Through the adoption of a cautious financial management strategy and a commitment to innovation and expansion, Costco can effectively handle obstacles, seize favourable circumstances, and preserve its prominent standing within the retail sector.</w:t>
      </w:r>
    </w:p>
    <w:p w14:paraId="17FAC635" w14:textId="1E66949E" w:rsidR="00842B62" w:rsidRPr="006742B0" w:rsidRDefault="00311BF1" w:rsidP="00A67597">
      <w:pPr>
        <w:pStyle w:val="Heading1"/>
        <w:rPr>
          <w:rFonts w:ascii="Times New Roman" w:hAnsi="Times New Roman" w:cs="Times New Roman"/>
          <w:b/>
          <w:bCs/>
          <w:color w:val="auto"/>
          <w:sz w:val="28"/>
          <w:szCs w:val="28"/>
          <w:shd w:val="clear" w:color="auto" w:fill="FFFFFF"/>
        </w:rPr>
      </w:pPr>
      <w:bookmarkStart w:id="38" w:name="_Toc164812056"/>
      <w:r w:rsidRPr="006742B0">
        <w:rPr>
          <w:rFonts w:ascii="Times New Roman" w:hAnsi="Times New Roman" w:cs="Times New Roman"/>
          <w:b/>
          <w:bCs/>
          <w:color w:val="auto"/>
          <w:sz w:val="28"/>
          <w:szCs w:val="28"/>
          <w:shd w:val="clear" w:color="auto" w:fill="FFFFFF"/>
        </w:rPr>
        <w:t xml:space="preserve">3. </w:t>
      </w:r>
      <w:r w:rsidR="00842B62" w:rsidRPr="006742B0">
        <w:rPr>
          <w:rFonts w:ascii="Times New Roman" w:hAnsi="Times New Roman" w:cs="Times New Roman"/>
          <w:b/>
          <w:bCs/>
          <w:color w:val="auto"/>
          <w:sz w:val="28"/>
          <w:szCs w:val="28"/>
          <w:shd w:val="clear" w:color="auto" w:fill="FFFFFF"/>
        </w:rPr>
        <w:t>PART C</w:t>
      </w:r>
      <w:bookmarkEnd w:id="38"/>
    </w:p>
    <w:p w14:paraId="0A928DA3" w14:textId="60707E80" w:rsidR="00842B62" w:rsidRPr="009E5335" w:rsidRDefault="00311BF1" w:rsidP="006B43A4">
      <w:pPr>
        <w:pStyle w:val="Heading2"/>
        <w:spacing w:line="276" w:lineRule="auto"/>
        <w:jc w:val="both"/>
        <w:rPr>
          <w:rFonts w:ascii="Times New Roman" w:hAnsi="Times New Roman" w:cs="Times New Roman"/>
          <w:b/>
          <w:bCs/>
          <w:color w:val="auto"/>
          <w:sz w:val="24"/>
          <w:szCs w:val="24"/>
          <w:shd w:val="clear" w:color="auto" w:fill="FFFFFF"/>
        </w:rPr>
      </w:pPr>
      <w:bookmarkStart w:id="39" w:name="_Toc164812057"/>
      <w:r w:rsidRPr="009E5335">
        <w:rPr>
          <w:rFonts w:ascii="Times New Roman" w:hAnsi="Times New Roman" w:cs="Times New Roman"/>
          <w:b/>
          <w:bCs/>
          <w:color w:val="auto"/>
          <w:sz w:val="24"/>
          <w:szCs w:val="24"/>
          <w:shd w:val="clear" w:color="auto" w:fill="FFFFFF"/>
        </w:rPr>
        <w:t xml:space="preserve">3.1 </w:t>
      </w:r>
      <w:r w:rsidR="00842B62" w:rsidRPr="009E5335">
        <w:rPr>
          <w:rFonts w:ascii="Times New Roman" w:hAnsi="Times New Roman" w:cs="Times New Roman"/>
          <w:b/>
          <w:bCs/>
          <w:color w:val="auto"/>
          <w:sz w:val="24"/>
          <w:szCs w:val="24"/>
          <w:shd w:val="clear" w:color="auto" w:fill="FFFFFF"/>
        </w:rPr>
        <w:t>PART 1</w:t>
      </w:r>
      <w:bookmarkEnd w:id="39"/>
    </w:p>
    <w:p w14:paraId="33506A67" w14:textId="6CC6EE00" w:rsidR="00842B62" w:rsidRPr="00380181" w:rsidRDefault="00E17544" w:rsidP="00380181">
      <w:pPr>
        <w:jc w:val="center"/>
        <w:rPr>
          <w:rFonts w:ascii="Times New Roman" w:hAnsi="Times New Roman" w:cs="Times New Roman"/>
          <w:b/>
          <w:bCs/>
          <w:sz w:val="24"/>
          <w:szCs w:val="24"/>
          <w:shd w:val="clear" w:color="auto" w:fill="FFFFFF"/>
        </w:rPr>
      </w:pPr>
      <w:bookmarkStart w:id="40" w:name="_Toc164168835"/>
      <w:bookmarkStart w:id="41" w:name="_Toc164780722"/>
      <w:bookmarkStart w:id="42" w:name="_Toc164801381"/>
      <w:bookmarkStart w:id="43" w:name="_Toc164802626"/>
      <w:r w:rsidRPr="00380181">
        <w:rPr>
          <w:rFonts w:ascii="Times New Roman" w:hAnsi="Times New Roman" w:cs="Times New Roman"/>
          <w:b/>
          <w:bCs/>
          <w:sz w:val="24"/>
          <w:szCs w:val="24"/>
          <w:shd w:val="clear" w:color="auto" w:fill="FFFFFF"/>
        </w:rPr>
        <w:t>TABLE 5</w:t>
      </w:r>
      <w:bookmarkEnd w:id="40"/>
      <w:r w:rsidR="006B6376" w:rsidRPr="00380181">
        <w:rPr>
          <w:rFonts w:ascii="Times New Roman" w:hAnsi="Times New Roman" w:cs="Times New Roman"/>
          <w:b/>
          <w:bCs/>
          <w:sz w:val="24"/>
          <w:szCs w:val="24"/>
          <w:shd w:val="clear" w:color="auto" w:fill="FFFFFF"/>
        </w:rPr>
        <w:t>: Project Cash Flow (£m)</w:t>
      </w:r>
      <w:bookmarkEnd w:id="41"/>
      <w:bookmarkEnd w:id="42"/>
      <w:bookmarkEnd w:id="43"/>
    </w:p>
    <w:tbl>
      <w:tblPr>
        <w:tblW w:w="3378" w:type="pct"/>
        <w:jc w:val="center"/>
        <w:tblBorders>
          <w:top w:val="single" w:sz="6" w:space="0" w:color="9F9F9F"/>
          <w:left w:val="single" w:sz="6" w:space="0" w:color="9F9F9F"/>
          <w:bottom w:val="single" w:sz="6" w:space="0" w:color="9F9F9F"/>
          <w:right w:val="single" w:sz="6" w:space="0" w:color="9F9F9F"/>
          <w:insideH w:val="single" w:sz="6" w:space="0" w:color="9F9F9F"/>
          <w:insideV w:val="single" w:sz="6" w:space="0" w:color="9F9F9F"/>
        </w:tblBorders>
        <w:tblCellMar>
          <w:left w:w="0" w:type="dxa"/>
          <w:right w:w="0" w:type="dxa"/>
        </w:tblCellMar>
        <w:tblLook w:val="04A0" w:firstRow="1" w:lastRow="0" w:firstColumn="1" w:lastColumn="0" w:noHBand="0" w:noVBand="1"/>
      </w:tblPr>
      <w:tblGrid>
        <w:gridCol w:w="1554"/>
        <w:gridCol w:w="2127"/>
        <w:gridCol w:w="2410"/>
      </w:tblGrid>
      <w:tr w:rsidR="006B43A4" w:rsidRPr="006742B0" w14:paraId="45BF5A7D" w14:textId="77777777" w:rsidTr="00EE2B8B">
        <w:trPr>
          <w:trHeight w:val="454"/>
          <w:jc w:val="center"/>
        </w:trPr>
        <w:tc>
          <w:tcPr>
            <w:tcW w:w="1276" w:type="pct"/>
            <w:tcBorders>
              <w:top w:val="single" w:sz="6" w:space="0" w:color="9F9F9F"/>
              <w:left w:val="single" w:sz="4" w:space="0" w:color="9F9F9F"/>
              <w:bottom w:val="single" w:sz="6" w:space="0" w:color="9F9F9F"/>
              <w:right w:val="single" w:sz="4" w:space="0" w:color="9F9F9F"/>
            </w:tcBorders>
            <w:hideMark/>
          </w:tcPr>
          <w:p w14:paraId="2F0EB022" w14:textId="77777777" w:rsidR="00842B62" w:rsidRPr="006742B0" w:rsidRDefault="00842B62" w:rsidP="006B43A4">
            <w:pPr>
              <w:pStyle w:val="TableParagraph"/>
              <w:spacing w:line="276" w:lineRule="auto"/>
              <w:ind w:left="108"/>
              <w:jc w:val="both"/>
              <w:rPr>
                <w:b/>
                <w:bCs/>
                <w:sz w:val="24"/>
                <w:szCs w:val="24"/>
              </w:rPr>
            </w:pPr>
            <w:r w:rsidRPr="006742B0">
              <w:rPr>
                <w:b/>
                <w:bCs/>
                <w:sz w:val="24"/>
                <w:szCs w:val="24"/>
              </w:rPr>
              <w:t>Year</w:t>
            </w:r>
          </w:p>
        </w:tc>
        <w:tc>
          <w:tcPr>
            <w:tcW w:w="1746" w:type="pct"/>
            <w:tcBorders>
              <w:top w:val="single" w:sz="6" w:space="0" w:color="9F9F9F"/>
              <w:left w:val="single" w:sz="4" w:space="0" w:color="9F9F9F"/>
              <w:bottom w:val="single" w:sz="6" w:space="0" w:color="9F9F9F"/>
              <w:right w:val="single" w:sz="4" w:space="0" w:color="9F9F9F"/>
            </w:tcBorders>
            <w:hideMark/>
          </w:tcPr>
          <w:p w14:paraId="6187E376" w14:textId="77777777" w:rsidR="00842B62" w:rsidRPr="006742B0" w:rsidRDefault="00842B62" w:rsidP="006B43A4">
            <w:pPr>
              <w:pStyle w:val="TableParagraph"/>
              <w:spacing w:line="276" w:lineRule="auto"/>
              <w:ind w:left="109"/>
              <w:jc w:val="both"/>
              <w:rPr>
                <w:b/>
                <w:bCs/>
                <w:sz w:val="24"/>
                <w:szCs w:val="24"/>
              </w:rPr>
            </w:pPr>
            <w:r w:rsidRPr="006742B0">
              <w:rPr>
                <w:b/>
                <w:bCs/>
                <w:sz w:val="24"/>
                <w:szCs w:val="24"/>
              </w:rPr>
              <w:t>A</w:t>
            </w:r>
          </w:p>
        </w:tc>
        <w:tc>
          <w:tcPr>
            <w:tcW w:w="1978" w:type="pct"/>
            <w:tcBorders>
              <w:top w:val="single" w:sz="6" w:space="0" w:color="9F9F9F"/>
              <w:left w:val="single" w:sz="4" w:space="0" w:color="9F9F9F"/>
              <w:bottom w:val="single" w:sz="6" w:space="0" w:color="9F9F9F"/>
              <w:right w:val="single" w:sz="4" w:space="0" w:color="9F9F9F"/>
            </w:tcBorders>
            <w:hideMark/>
          </w:tcPr>
          <w:p w14:paraId="352E2146" w14:textId="77777777" w:rsidR="00842B62" w:rsidRPr="006742B0" w:rsidRDefault="00842B62" w:rsidP="006B43A4">
            <w:pPr>
              <w:pStyle w:val="TableParagraph"/>
              <w:spacing w:line="276" w:lineRule="auto"/>
              <w:ind w:left="108"/>
              <w:jc w:val="both"/>
              <w:rPr>
                <w:b/>
                <w:bCs/>
                <w:sz w:val="24"/>
                <w:szCs w:val="24"/>
              </w:rPr>
            </w:pPr>
            <w:r w:rsidRPr="006742B0">
              <w:rPr>
                <w:b/>
                <w:bCs/>
                <w:sz w:val="24"/>
                <w:szCs w:val="24"/>
              </w:rPr>
              <w:t>B</w:t>
            </w:r>
          </w:p>
        </w:tc>
      </w:tr>
      <w:tr w:rsidR="006B43A4" w:rsidRPr="006742B0" w14:paraId="55B5B1A8" w14:textId="77777777" w:rsidTr="00EE2B8B">
        <w:trPr>
          <w:trHeight w:val="454"/>
          <w:jc w:val="center"/>
        </w:trPr>
        <w:tc>
          <w:tcPr>
            <w:tcW w:w="1276" w:type="pct"/>
            <w:tcBorders>
              <w:top w:val="single" w:sz="6" w:space="0" w:color="9F9F9F"/>
              <w:left w:val="single" w:sz="4" w:space="0" w:color="9F9F9F"/>
              <w:bottom w:val="single" w:sz="6" w:space="0" w:color="9F9F9F"/>
              <w:right w:val="single" w:sz="4" w:space="0" w:color="9F9F9F"/>
            </w:tcBorders>
          </w:tcPr>
          <w:p w14:paraId="58FF4201" w14:textId="77777777" w:rsidR="00842B62" w:rsidRPr="006742B0" w:rsidRDefault="00842B62" w:rsidP="006B43A4">
            <w:pPr>
              <w:pStyle w:val="TableParagraph"/>
              <w:spacing w:line="276" w:lineRule="auto"/>
              <w:ind w:left="169"/>
              <w:jc w:val="both"/>
              <w:rPr>
                <w:sz w:val="24"/>
                <w:szCs w:val="24"/>
              </w:rPr>
            </w:pPr>
            <w:r w:rsidRPr="006742B0">
              <w:rPr>
                <w:sz w:val="24"/>
                <w:szCs w:val="24"/>
              </w:rPr>
              <w:t>0</w:t>
            </w:r>
          </w:p>
        </w:tc>
        <w:tc>
          <w:tcPr>
            <w:tcW w:w="1746" w:type="pct"/>
            <w:tcBorders>
              <w:top w:val="single" w:sz="6" w:space="0" w:color="9F9F9F"/>
              <w:left w:val="single" w:sz="4" w:space="0" w:color="9F9F9F"/>
              <w:bottom w:val="single" w:sz="6" w:space="0" w:color="9F9F9F"/>
              <w:right w:val="single" w:sz="4" w:space="0" w:color="9F9F9F"/>
            </w:tcBorders>
          </w:tcPr>
          <w:p w14:paraId="5393FCF9" w14:textId="77777777" w:rsidR="00842B62" w:rsidRPr="006742B0" w:rsidRDefault="00842B62" w:rsidP="006B43A4">
            <w:pPr>
              <w:pStyle w:val="TableParagraph"/>
              <w:spacing w:line="276" w:lineRule="auto"/>
              <w:ind w:left="109"/>
              <w:jc w:val="both"/>
              <w:rPr>
                <w:sz w:val="24"/>
                <w:szCs w:val="24"/>
              </w:rPr>
            </w:pPr>
            <w:r w:rsidRPr="006742B0">
              <w:rPr>
                <w:sz w:val="24"/>
                <w:szCs w:val="24"/>
              </w:rPr>
              <w:t>-5000</w:t>
            </w:r>
          </w:p>
        </w:tc>
        <w:tc>
          <w:tcPr>
            <w:tcW w:w="1978" w:type="pct"/>
            <w:tcBorders>
              <w:top w:val="single" w:sz="6" w:space="0" w:color="9F9F9F"/>
              <w:left w:val="single" w:sz="4" w:space="0" w:color="9F9F9F"/>
              <w:bottom w:val="single" w:sz="6" w:space="0" w:color="9F9F9F"/>
              <w:right w:val="single" w:sz="4" w:space="0" w:color="9F9F9F"/>
            </w:tcBorders>
          </w:tcPr>
          <w:p w14:paraId="6F5CC9C6" w14:textId="77777777" w:rsidR="00842B62" w:rsidRPr="006742B0" w:rsidRDefault="00842B62" w:rsidP="006B43A4">
            <w:pPr>
              <w:pStyle w:val="TableParagraph"/>
              <w:spacing w:line="276" w:lineRule="auto"/>
              <w:ind w:left="108"/>
              <w:jc w:val="both"/>
              <w:rPr>
                <w:sz w:val="24"/>
                <w:szCs w:val="24"/>
              </w:rPr>
            </w:pPr>
            <w:r w:rsidRPr="006742B0">
              <w:rPr>
                <w:sz w:val="24"/>
                <w:szCs w:val="24"/>
              </w:rPr>
              <w:t>-1000</w:t>
            </w:r>
          </w:p>
        </w:tc>
      </w:tr>
      <w:tr w:rsidR="006B43A4" w:rsidRPr="006742B0" w14:paraId="4E2D1D72" w14:textId="77777777" w:rsidTr="00EE2B8B">
        <w:trPr>
          <w:trHeight w:val="455"/>
          <w:jc w:val="center"/>
        </w:trPr>
        <w:tc>
          <w:tcPr>
            <w:tcW w:w="1276" w:type="pct"/>
            <w:tcBorders>
              <w:top w:val="single" w:sz="6" w:space="0" w:color="9F9F9F"/>
              <w:left w:val="single" w:sz="4" w:space="0" w:color="9F9F9F"/>
              <w:bottom w:val="single" w:sz="6" w:space="0" w:color="9F9F9F"/>
              <w:right w:val="single" w:sz="4" w:space="0" w:color="9F9F9F"/>
            </w:tcBorders>
          </w:tcPr>
          <w:p w14:paraId="366D5645" w14:textId="77777777" w:rsidR="00842B62" w:rsidRPr="006742B0" w:rsidRDefault="00842B62" w:rsidP="006B43A4">
            <w:pPr>
              <w:pStyle w:val="TableParagraph"/>
              <w:spacing w:line="276" w:lineRule="auto"/>
              <w:ind w:left="108"/>
              <w:jc w:val="both"/>
              <w:rPr>
                <w:sz w:val="24"/>
                <w:szCs w:val="24"/>
              </w:rPr>
            </w:pPr>
            <w:r w:rsidRPr="006742B0">
              <w:rPr>
                <w:sz w:val="24"/>
                <w:szCs w:val="24"/>
              </w:rPr>
              <w:t>1</w:t>
            </w:r>
          </w:p>
        </w:tc>
        <w:tc>
          <w:tcPr>
            <w:tcW w:w="1746" w:type="pct"/>
            <w:tcBorders>
              <w:top w:val="single" w:sz="6" w:space="0" w:color="9F9F9F"/>
              <w:left w:val="single" w:sz="4" w:space="0" w:color="9F9F9F"/>
              <w:bottom w:val="single" w:sz="6" w:space="0" w:color="9F9F9F"/>
              <w:right w:val="single" w:sz="4" w:space="0" w:color="9F9F9F"/>
            </w:tcBorders>
          </w:tcPr>
          <w:p w14:paraId="1B935F8C" w14:textId="77777777" w:rsidR="00842B62" w:rsidRPr="006742B0" w:rsidRDefault="00842B62" w:rsidP="006B43A4">
            <w:pPr>
              <w:pStyle w:val="TableParagraph"/>
              <w:spacing w:line="276" w:lineRule="auto"/>
              <w:ind w:left="109"/>
              <w:jc w:val="both"/>
              <w:rPr>
                <w:sz w:val="24"/>
                <w:szCs w:val="24"/>
              </w:rPr>
            </w:pPr>
            <w:r w:rsidRPr="006742B0">
              <w:rPr>
                <w:sz w:val="24"/>
                <w:szCs w:val="24"/>
              </w:rPr>
              <w:t>2500</w:t>
            </w:r>
          </w:p>
        </w:tc>
        <w:tc>
          <w:tcPr>
            <w:tcW w:w="1978" w:type="pct"/>
            <w:tcBorders>
              <w:top w:val="single" w:sz="6" w:space="0" w:color="9F9F9F"/>
              <w:left w:val="single" w:sz="4" w:space="0" w:color="9F9F9F"/>
              <w:bottom w:val="single" w:sz="6" w:space="0" w:color="9F9F9F"/>
              <w:right w:val="single" w:sz="4" w:space="0" w:color="9F9F9F"/>
            </w:tcBorders>
          </w:tcPr>
          <w:p w14:paraId="7FC54676" w14:textId="77777777" w:rsidR="00842B62" w:rsidRPr="006742B0" w:rsidRDefault="00842B62" w:rsidP="006B43A4">
            <w:pPr>
              <w:pStyle w:val="TableParagraph"/>
              <w:spacing w:line="276" w:lineRule="auto"/>
              <w:ind w:left="108"/>
              <w:jc w:val="both"/>
              <w:rPr>
                <w:sz w:val="24"/>
                <w:szCs w:val="24"/>
              </w:rPr>
            </w:pPr>
            <w:r w:rsidRPr="006742B0">
              <w:rPr>
                <w:sz w:val="24"/>
                <w:szCs w:val="24"/>
              </w:rPr>
              <w:t>1500</w:t>
            </w:r>
          </w:p>
        </w:tc>
      </w:tr>
      <w:tr w:rsidR="006B43A4" w:rsidRPr="006742B0" w14:paraId="163F7D3E" w14:textId="77777777" w:rsidTr="00EE2B8B">
        <w:trPr>
          <w:trHeight w:val="454"/>
          <w:jc w:val="center"/>
        </w:trPr>
        <w:tc>
          <w:tcPr>
            <w:tcW w:w="1276" w:type="pct"/>
            <w:tcBorders>
              <w:top w:val="single" w:sz="6" w:space="0" w:color="9F9F9F"/>
              <w:left w:val="single" w:sz="4" w:space="0" w:color="9F9F9F"/>
              <w:bottom w:val="single" w:sz="6" w:space="0" w:color="9F9F9F"/>
              <w:right w:val="single" w:sz="4" w:space="0" w:color="9F9F9F"/>
            </w:tcBorders>
          </w:tcPr>
          <w:p w14:paraId="33CF6C91" w14:textId="77777777" w:rsidR="00842B62" w:rsidRPr="006742B0" w:rsidRDefault="00842B62" w:rsidP="006B43A4">
            <w:pPr>
              <w:pStyle w:val="TableParagraph"/>
              <w:spacing w:line="276" w:lineRule="auto"/>
              <w:ind w:left="169"/>
              <w:jc w:val="both"/>
              <w:rPr>
                <w:sz w:val="24"/>
                <w:szCs w:val="24"/>
              </w:rPr>
            </w:pPr>
            <w:r w:rsidRPr="006742B0">
              <w:rPr>
                <w:sz w:val="24"/>
                <w:szCs w:val="24"/>
              </w:rPr>
              <w:t>2</w:t>
            </w:r>
          </w:p>
        </w:tc>
        <w:tc>
          <w:tcPr>
            <w:tcW w:w="1746" w:type="pct"/>
            <w:tcBorders>
              <w:top w:val="single" w:sz="6" w:space="0" w:color="9F9F9F"/>
              <w:left w:val="single" w:sz="4" w:space="0" w:color="9F9F9F"/>
              <w:bottom w:val="single" w:sz="6" w:space="0" w:color="9F9F9F"/>
              <w:right w:val="single" w:sz="4" w:space="0" w:color="9F9F9F"/>
            </w:tcBorders>
          </w:tcPr>
          <w:p w14:paraId="3784BB76" w14:textId="77777777" w:rsidR="00842B62" w:rsidRPr="006742B0" w:rsidRDefault="00842B62" w:rsidP="006B43A4">
            <w:pPr>
              <w:pStyle w:val="TableParagraph"/>
              <w:spacing w:line="276" w:lineRule="auto"/>
              <w:ind w:left="109"/>
              <w:jc w:val="both"/>
              <w:rPr>
                <w:sz w:val="24"/>
                <w:szCs w:val="24"/>
              </w:rPr>
            </w:pPr>
            <w:r w:rsidRPr="006742B0">
              <w:rPr>
                <w:sz w:val="24"/>
                <w:szCs w:val="24"/>
              </w:rPr>
              <w:t>2000</w:t>
            </w:r>
          </w:p>
        </w:tc>
        <w:tc>
          <w:tcPr>
            <w:tcW w:w="1978" w:type="pct"/>
            <w:tcBorders>
              <w:top w:val="single" w:sz="6" w:space="0" w:color="9F9F9F"/>
              <w:left w:val="single" w:sz="4" w:space="0" w:color="9F9F9F"/>
              <w:bottom w:val="single" w:sz="6" w:space="0" w:color="9F9F9F"/>
              <w:right w:val="single" w:sz="4" w:space="0" w:color="9F9F9F"/>
            </w:tcBorders>
          </w:tcPr>
          <w:p w14:paraId="7A186DF6" w14:textId="77777777" w:rsidR="00842B62" w:rsidRPr="006742B0" w:rsidRDefault="00842B62" w:rsidP="006B43A4">
            <w:pPr>
              <w:pStyle w:val="TableParagraph"/>
              <w:spacing w:line="276" w:lineRule="auto"/>
              <w:ind w:left="108"/>
              <w:jc w:val="both"/>
              <w:rPr>
                <w:sz w:val="24"/>
                <w:szCs w:val="24"/>
              </w:rPr>
            </w:pPr>
            <w:r w:rsidRPr="006742B0">
              <w:rPr>
                <w:sz w:val="24"/>
                <w:szCs w:val="24"/>
              </w:rPr>
              <w:t>1000</w:t>
            </w:r>
          </w:p>
        </w:tc>
      </w:tr>
      <w:tr w:rsidR="006B43A4" w:rsidRPr="006742B0" w14:paraId="6C03B9BB" w14:textId="77777777" w:rsidTr="00EE2B8B">
        <w:trPr>
          <w:trHeight w:val="454"/>
          <w:jc w:val="center"/>
        </w:trPr>
        <w:tc>
          <w:tcPr>
            <w:tcW w:w="1276" w:type="pct"/>
            <w:tcBorders>
              <w:top w:val="single" w:sz="6" w:space="0" w:color="9F9F9F"/>
              <w:left w:val="single" w:sz="4" w:space="0" w:color="9F9F9F"/>
              <w:bottom w:val="single" w:sz="6" w:space="0" w:color="9F9F9F"/>
              <w:right w:val="single" w:sz="4" w:space="0" w:color="9F9F9F"/>
            </w:tcBorders>
          </w:tcPr>
          <w:p w14:paraId="1CB46534" w14:textId="77777777" w:rsidR="00842B62" w:rsidRPr="006742B0" w:rsidRDefault="00842B62" w:rsidP="006B43A4">
            <w:pPr>
              <w:pStyle w:val="TableParagraph"/>
              <w:spacing w:line="276" w:lineRule="auto"/>
              <w:ind w:left="108"/>
              <w:jc w:val="both"/>
              <w:rPr>
                <w:sz w:val="24"/>
                <w:szCs w:val="24"/>
              </w:rPr>
            </w:pPr>
            <w:r w:rsidRPr="006742B0">
              <w:rPr>
                <w:sz w:val="24"/>
                <w:szCs w:val="24"/>
              </w:rPr>
              <w:t>3</w:t>
            </w:r>
          </w:p>
        </w:tc>
        <w:tc>
          <w:tcPr>
            <w:tcW w:w="1746" w:type="pct"/>
            <w:tcBorders>
              <w:top w:val="single" w:sz="6" w:space="0" w:color="9F9F9F"/>
              <w:left w:val="single" w:sz="4" w:space="0" w:color="9F9F9F"/>
              <w:bottom w:val="single" w:sz="6" w:space="0" w:color="9F9F9F"/>
              <w:right w:val="single" w:sz="4" w:space="0" w:color="9F9F9F"/>
            </w:tcBorders>
          </w:tcPr>
          <w:p w14:paraId="4F9B3FC6" w14:textId="77777777" w:rsidR="00842B62" w:rsidRPr="006742B0" w:rsidRDefault="00842B62" w:rsidP="006B43A4">
            <w:pPr>
              <w:pStyle w:val="TableParagraph"/>
              <w:spacing w:line="276" w:lineRule="auto"/>
              <w:ind w:left="109"/>
              <w:jc w:val="both"/>
              <w:rPr>
                <w:sz w:val="24"/>
                <w:szCs w:val="24"/>
              </w:rPr>
            </w:pPr>
            <w:r w:rsidRPr="006742B0">
              <w:rPr>
                <w:sz w:val="24"/>
                <w:szCs w:val="24"/>
              </w:rPr>
              <w:t>1000</w:t>
            </w:r>
          </w:p>
        </w:tc>
        <w:tc>
          <w:tcPr>
            <w:tcW w:w="1978" w:type="pct"/>
            <w:tcBorders>
              <w:top w:val="single" w:sz="6" w:space="0" w:color="9F9F9F"/>
              <w:left w:val="single" w:sz="4" w:space="0" w:color="9F9F9F"/>
              <w:bottom w:val="single" w:sz="6" w:space="0" w:color="9F9F9F"/>
              <w:right w:val="single" w:sz="4" w:space="0" w:color="9F9F9F"/>
            </w:tcBorders>
          </w:tcPr>
          <w:p w14:paraId="11EA7E80" w14:textId="77777777" w:rsidR="00842B62" w:rsidRPr="006742B0" w:rsidRDefault="00842B62" w:rsidP="006B43A4">
            <w:pPr>
              <w:pStyle w:val="TableParagraph"/>
              <w:spacing w:line="276" w:lineRule="auto"/>
              <w:ind w:left="108"/>
              <w:jc w:val="both"/>
              <w:rPr>
                <w:sz w:val="24"/>
                <w:szCs w:val="24"/>
              </w:rPr>
            </w:pPr>
            <w:r w:rsidRPr="006742B0">
              <w:rPr>
                <w:sz w:val="24"/>
                <w:szCs w:val="24"/>
              </w:rPr>
              <w:t>1000</w:t>
            </w:r>
          </w:p>
        </w:tc>
      </w:tr>
      <w:tr w:rsidR="00842B62" w:rsidRPr="006742B0" w14:paraId="4553D424" w14:textId="77777777" w:rsidTr="00EE2B8B">
        <w:trPr>
          <w:trHeight w:val="455"/>
          <w:jc w:val="center"/>
        </w:trPr>
        <w:tc>
          <w:tcPr>
            <w:tcW w:w="1276" w:type="pct"/>
            <w:tcBorders>
              <w:top w:val="single" w:sz="6" w:space="0" w:color="9F9F9F"/>
              <w:left w:val="single" w:sz="4" w:space="0" w:color="9F9F9F"/>
              <w:bottom w:val="single" w:sz="6" w:space="0" w:color="9F9F9F"/>
              <w:right w:val="single" w:sz="4" w:space="0" w:color="9F9F9F"/>
            </w:tcBorders>
          </w:tcPr>
          <w:p w14:paraId="65F934D7" w14:textId="77777777" w:rsidR="00842B62" w:rsidRPr="006742B0" w:rsidRDefault="00842B62" w:rsidP="006B43A4">
            <w:pPr>
              <w:pStyle w:val="TableParagraph"/>
              <w:spacing w:line="276" w:lineRule="auto"/>
              <w:ind w:left="108"/>
              <w:jc w:val="both"/>
              <w:rPr>
                <w:sz w:val="24"/>
                <w:szCs w:val="24"/>
              </w:rPr>
            </w:pPr>
            <w:r w:rsidRPr="006742B0">
              <w:rPr>
                <w:sz w:val="24"/>
                <w:szCs w:val="24"/>
              </w:rPr>
              <w:t>4</w:t>
            </w:r>
          </w:p>
        </w:tc>
        <w:tc>
          <w:tcPr>
            <w:tcW w:w="1746" w:type="pct"/>
            <w:tcBorders>
              <w:top w:val="single" w:sz="6" w:space="0" w:color="9F9F9F"/>
              <w:left w:val="single" w:sz="4" w:space="0" w:color="9F9F9F"/>
              <w:bottom w:val="single" w:sz="6" w:space="0" w:color="9F9F9F"/>
              <w:right w:val="single" w:sz="4" w:space="0" w:color="9F9F9F"/>
            </w:tcBorders>
          </w:tcPr>
          <w:p w14:paraId="246D0A54" w14:textId="77777777" w:rsidR="00842B62" w:rsidRPr="006742B0" w:rsidRDefault="00842B62" w:rsidP="006B43A4">
            <w:pPr>
              <w:pStyle w:val="TableParagraph"/>
              <w:spacing w:line="276" w:lineRule="auto"/>
              <w:ind w:left="109"/>
              <w:jc w:val="both"/>
              <w:rPr>
                <w:sz w:val="24"/>
                <w:szCs w:val="24"/>
              </w:rPr>
            </w:pPr>
            <w:r w:rsidRPr="006742B0">
              <w:rPr>
                <w:sz w:val="24"/>
                <w:szCs w:val="24"/>
              </w:rPr>
              <w:t>-442</w:t>
            </w:r>
          </w:p>
        </w:tc>
        <w:tc>
          <w:tcPr>
            <w:tcW w:w="1978" w:type="pct"/>
            <w:tcBorders>
              <w:top w:val="single" w:sz="6" w:space="0" w:color="9F9F9F"/>
              <w:left w:val="single" w:sz="4" w:space="0" w:color="9F9F9F"/>
              <w:bottom w:val="single" w:sz="6" w:space="0" w:color="9F9F9F"/>
              <w:right w:val="single" w:sz="4" w:space="0" w:color="9F9F9F"/>
            </w:tcBorders>
          </w:tcPr>
          <w:p w14:paraId="0631F36A" w14:textId="77777777" w:rsidR="00842B62" w:rsidRPr="006742B0" w:rsidRDefault="00842B62" w:rsidP="006B43A4">
            <w:pPr>
              <w:pStyle w:val="TableParagraph"/>
              <w:spacing w:line="276" w:lineRule="auto"/>
              <w:ind w:left="108"/>
              <w:jc w:val="both"/>
              <w:rPr>
                <w:sz w:val="24"/>
                <w:szCs w:val="24"/>
              </w:rPr>
            </w:pPr>
            <w:r w:rsidRPr="006742B0">
              <w:rPr>
                <w:sz w:val="24"/>
                <w:szCs w:val="24"/>
              </w:rPr>
              <w:t>-470</w:t>
            </w:r>
          </w:p>
        </w:tc>
      </w:tr>
    </w:tbl>
    <w:p w14:paraId="3BFE507B"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p>
    <w:p w14:paraId="26624BA3" w14:textId="6F6A0CF7" w:rsidR="00842B62" w:rsidRPr="003B538D" w:rsidRDefault="00640429" w:rsidP="005C5E30">
      <w:pPr>
        <w:pStyle w:val="Heading3"/>
        <w:rPr>
          <w:rFonts w:ascii="Times New Roman" w:hAnsi="Times New Roman" w:cs="Times New Roman"/>
          <w:b/>
          <w:bCs/>
          <w:color w:val="auto"/>
          <w:sz w:val="22"/>
          <w:szCs w:val="22"/>
          <w:shd w:val="clear" w:color="auto" w:fill="FFFFFF"/>
        </w:rPr>
      </w:pPr>
      <w:bookmarkStart w:id="44" w:name="_Toc164812058"/>
      <w:r w:rsidRPr="003B538D">
        <w:rPr>
          <w:rFonts w:ascii="Times New Roman" w:hAnsi="Times New Roman" w:cs="Times New Roman"/>
          <w:b/>
          <w:bCs/>
          <w:color w:val="auto"/>
          <w:sz w:val="22"/>
          <w:szCs w:val="22"/>
          <w:shd w:val="clear" w:color="auto" w:fill="FFFFFF"/>
        </w:rPr>
        <w:t>3.1.</w:t>
      </w:r>
      <w:r w:rsidR="00842B62" w:rsidRPr="003B538D">
        <w:rPr>
          <w:rFonts w:ascii="Times New Roman" w:hAnsi="Times New Roman" w:cs="Times New Roman"/>
          <w:b/>
          <w:bCs/>
          <w:color w:val="auto"/>
          <w:sz w:val="22"/>
          <w:szCs w:val="22"/>
          <w:shd w:val="clear" w:color="auto" w:fill="FFFFFF"/>
        </w:rPr>
        <w:t xml:space="preserve">1 </w:t>
      </w:r>
      <w:r w:rsidR="003B538D" w:rsidRPr="003B538D">
        <w:rPr>
          <w:rFonts w:ascii="Times New Roman" w:hAnsi="Times New Roman" w:cs="Times New Roman"/>
          <w:b/>
          <w:bCs/>
          <w:color w:val="auto"/>
          <w:sz w:val="22"/>
          <w:szCs w:val="22"/>
          <w:shd w:val="clear" w:color="auto" w:fill="FFFFFF"/>
        </w:rPr>
        <w:t xml:space="preserve">PAYBACK PERIOD </w:t>
      </w:r>
      <w:r w:rsidR="00842B62" w:rsidRPr="003B538D">
        <w:rPr>
          <w:rFonts w:ascii="Times New Roman" w:hAnsi="Times New Roman" w:cs="Times New Roman"/>
          <w:b/>
          <w:bCs/>
          <w:color w:val="auto"/>
          <w:sz w:val="22"/>
          <w:szCs w:val="22"/>
          <w:shd w:val="clear" w:color="auto" w:fill="FFFFFF"/>
        </w:rPr>
        <w:t>(PBP)</w:t>
      </w:r>
      <w:bookmarkEnd w:id="44"/>
    </w:p>
    <w:p w14:paraId="3D9D4F37" w14:textId="6849744D" w:rsidR="00861E57" w:rsidRPr="00000987" w:rsidRDefault="00DA5E81" w:rsidP="00000987">
      <w:pPr>
        <w:spacing w:line="276" w:lineRule="auto"/>
        <w:jc w:val="both"/>
        <w:rPr>
          <w:rFonts w:ascii="Times New Roman" w:hAnsi="Times New Roman" w:cs="Times New Roman"/>
          <w:sz w:val="24"/>
          <w:szCs w:val="24"/>
          <w:shd w:val="clear" w:color="auto" w:fill="FFFFFF"/>
        </w:rPr>
      </w:pPr>
      <w:r w:rsidRPr="00000987">
        <w:rPr>
          <w:rFonts w:ascii="Times New Roman" w:hAnsi="Times New Roman" w:cs="Times New Roman"/>
          <w:sz w:val="24"/>
          <w:szCs w:val="24"/>
          <w:shd w:val="clear" w:color="auto" w:fill="FFFFFF"/>
        </w:rPr>
        <w:t xml:space="preserve">One important financial statistic to evaluate how long it takes a project to recover its initial investment is the payback period. It's an important measure of risk and liquidity since it shows how soon project cash flows will pay for the initial investment (Johnson, 2021). According to our data, Project B requires three years to recoup its initial expenditure, whereas Project A has a payback period of two years. A £5000 million initial investment is needed for Project A, and positive cumulative cash flows will start in Year 2 ($2500 million). </w:t>
      </w:r>
      <w:r w:rsidR="00842B62" w:rsidRPr="006742B0">
        <w:rPr>
          <w:rFonts w:ascii="Times New Roman" w:hAnsi="Times New Roman" w:cs="Times New Roman"/>
          <w:sz w:val="24"/>
          <w:szCs w:val="24"/>
          <w:shd w:val="clear" w:color="auto" w:fill="FFFFFF"/>
        </w:rPr>
        <w:t>By Year 3, the cumulative cash flows exceed the initial investment, resulting in a payback period of 2 years. Conversely, Project B, with an initial investment of £1000 million, achieves positive cumulative cash flows by Year 3 (£2500 million). However, it takes until Year 4 for Project B's cumulative cash flows to surpass its initial investment, resulting in a payback period of 3 years. The shorter payback period of Project A suggests a quicker return on investment and greater liquidity compared to Project B. This aspect makes Project A more attractive from a financial perspective, as Costco can recover its investment sooner and reinvest in other profitable ventures.</w:t>
      </w:r>
    </w:p>
    <w:p w14:paraId="2711D6E4" w14:textId="143C2DB1" w:rsidR="00842B62" w:rsidRPr="003B538D" w:rsidRDefault="00640429" w:rsidP="005C5E30">
      <w:pPr>
        <w:pStyle w:val="Heading3"/>
        <w:rPr>
          <w:rFonts w:ascii="Times New Roman" w:hAnsi="Times New Roman" w:cs="Times New Roman"/>
          <w:b/>
          <w:bCs/>
          <w:color w:val="auto"/>
          <w:sz w:val="22"/>
          <w:szCs w:val="22"/>
          <w:shd w:val="clear" w:color="auto" w:fill="FFFFFF"/>
        </w:rPr>
      </w:pPr>
      <w:bookmarkStart w:id="45" w:name="_Toc164812059"/>
      <w:r w:rsidRPr="003B538D">
        <w:rPr>
          <w:rFonts w:ascii="Times New Roman" w:hAnsi="Times New Roman" w:cs="Times New Roman"/>
          <w:b/>
          <w:bCs/>
          <w:color w:val="auto"/>
          <w:sz w:val="22"/>
          <w:szCs w:val="22"/>
          <w:shd w:val="clear" w:color="auto" w:fill="FFFFFF"/>
        </w:rPr>
        <w:t>3.1.</w:t>
      </w:r>
      <w:r w:rsidR="00842B62" w:rsidRPr="003B538D">
        <w:rPr>
          <w:rFonts w:ascii="Times New Roman" w:hAnsi="Times New Roman" w:cs="Times New Roman"/>
          <w:b/>
          <w:bCs/>
          <w:color w:val="auto"/>
          <w:sz w:val="22"/>
          <w:szCs w:val="22"/>
          <w:shd w:val="clear" w:color="auto" w:fill="FFFFFF"/>
        </w:rPr>
        <w:t xml:space="preserve">2 </w:t>
      </w:r>
      <w:r w:rsidR="003B538D" w:rsidRPr="003B538D">
        <w:rPr>
          <w:rFonts w:ascii="Times New Roman" w:hAnsi="Times New Roman" w:cs="Times New Roman"/>
          <w:b/>
          <w:bCs/>
          <w:color w:val="auto"/>
          <w:sz w:val="22"/>
          <w:szCs w:val="22"/>
          <w:shd w:val="clear" w:color="auto" w:fill="FFFFFF"/>
        </w:rPr>
        <w:t xml:space="preserve">ACCOUNTING RATE OF RETURN </w:t>
      </w:r>
      <w:r w:rsidR="00842B62" w:rsidRPr="003B538D">
        <w:rPr>
          <w:rFonts w:ascii="Times New Roman" w:hAnsi="Times New Roman" w:cs="Times New Roman"/>
          <w:b/>
          <w:bCs/>
          <w:color w:val="auto"/>
          <w:sz w:val="22"/>
          <w:szCs w:val="22"/>
          <w:shd w:val="clear" w:color="auto" w:fill="FFFFFF"/>
        </w:rPr>
        <w:t>(ARR)</w:t>
      </w:r>
      <w:bookmarkEnd w:id="45"/>
    </w:p>
    <w:p w14:paraId="7292E10E" w14:textId="36F85667" w:rsidR="0007411D" w:rsidRPr="00000987" w:rsidRDefault="00861E57" w:rsidP="00000987">
      <w:pPr>
        <w:spacing w:line="276" w:lineRule="auto"/>
        <w:jc w:val="both"/>
        <w:rPr>
          <w:rFonts w:ascii="Times New Roman" w:hAnsi="Times New Roman" w:cs="Times New Roman"/>
          <w:sz w:val="24"/>
          <w:szCs w:val="24"/>
          <w:shd w:val="clear" w:color="auto" w:fill="FFFFFF"/>
        </w:rPr>
      </w:pPr>
      <w:r w:rsidRPr="00000987">
        <w:rPr>
          <w:rFonts w:ascii="Times New Roman" w:hAnsi="Times New Roman" w:cs="Times New Roman"/>
          <w:sz w:val="24"/>
          <w:szCs w:val="24"/>
          <w:shd w:val="clear" w:color="auto" w:fill="FFFFFF"/>
        </w:rPr>
        <w:t xml:space="preserve">A project's average annual profit is measured by the Accounting Rate of Return (ARR), which expresses it as a percentage of the initial investment (Siziba and Hall, 2021). It offers information about how profitable the project is about its expenses. According to our analysis, the ARR for Project A is roughly 3.33%, whereas the ARR for Project B is 25%. With an </w:t>
      </w:r>
      <w:r w:rsidRPr="00000987">
        <w:rPr>
          <w:rFonts w:ascii="Times New Roman" w:hAnsi="Times New Roman" w:cs="Times New Roman"/>
          <w:sz w:val="24"/>
          <w:szCs w:val="24"/>
          <w:shd w:val="clear" w:color="auto" w:fill="FFFFFF"/>
        </w:rPr>
        <w:lastRenderedPageBreak/>
        <w:t xml:space="preserve">average yearly profit of £1666.67 million (£5000 million for the first investment divided by three years) and £2500 million in Year 1, Project A yields an annual rate of return of roughly 3.33%. </w:t>
      </w:r>
      <w:r w:rsidR="00842B62" w:rsidRPr="006742B0">
        <w:rPr>
          <w:rFonts w:ascii="Times New Roman" w:hAnsi="Times New Roman" w:cs="Times New Roman"/>
          <w:sz w:val="24"/>
          <w:szCs w:val="24"/>
          <w:shd w:val="clear" w:color="auto" w:fill="FFFFFF"/>
        </w:rPr>
        <w:t>On the other hand, Project B yields an average annual profit of £625 million (£1000 million initial investment / 4 years) and £1500 million in Year 1, leading to an ARR of 25%. Although Project B exhibits a significantly higher ARR compared to Project A, it's essential to consider other financial metrics like the payback period and net present value (NPV) for a comprehensive evaluation of profitability and risk.</w:t>
      </w:r>
    </w:p>
    <w:p w14:paraId="77EBCAA0" w14:textId="0A03A1CD" w:rsidR="00842B62" w:rsidRPr="00512C8F" w:rsidRDefault="00640429" w:rsidP="005C5E30">
      <w:pPr>
        <w:pStyle w:val="Heading3"/>
        <w:rPr>
          <w:rFonts w:ascii="Times New Roman" w:hAnsi="Times New Roman" w:cs="Times New Roman"/>
          <w:b/>
          <w:bCs/>
          <w:color w:val="auto"/>
          <w:sz w:val="22"/>
          <w:szCs w:val="22"/>
          <w:shd w:val="clear" w:color="auto" w:fill="FFFFFF"/>
        </w:rPr>
      </w:pPr>
      <w:bookmarkStart w:id="46" w:name="_Toc164812060"/>
      <w:r w:rsidRPr="00512C8F">
        <w:rPr>
          <w:rFonts w:ascii="Times New Roman" w:hAnsi="Times New Roman" w:cs="Times New Roman"/>
          <w:b/>
          <w:bCs/>
          <w:color w:val="auto"/>
          <w:sz w:val="22"/>
          <w:szCs w:val="22"/>
          <w:shd w:val="clear" w:color="auto" w:fill="FFFFFF"/>
        </w:rPr>
        <w:t>3.1.</w:t>
      </w:r>
      <w:r w:rsidR="00842B62" w:rsidRPr="00512C8F">
        <w:rPr>
          <w:rFonts w:ascii="Times New Roman" w:hAnsi="Times New Roman" w:cs="Times New Roman"/>
          <w:b/>
          <w:bCs/>
          <w:color w:val="auto"/>
          <w:sz w:val="22"/>
          <w:szCs w:val="22"/>
          <w:shd w:val="clear" w:color="auto" w:fill="FFFFFF"/>
        </w:rPr>
        <w:t xml:space="preserve">3 </w:t>
      </w:r>
      <w:r w:rsidR="00512C8F" w:rsidRPr="00512C8F">
        <w:rPr>
          <w:rFonts w:ascii="Times New Roman" w:hAnsi="Times New Roman" w:cs="Times New Roman"/>
          <w:b/>
          <w:bCs/>
          <w:color w:val="auto"/>
          <w:sz w:val="22"/>
          <w:szCs w:val="22"/>
          <w:shd w:val="clear" w:color="auto" w:fill="FFFFFF"/>
        </w:rPr>
        <w:t xml:space="preserve">NET PRESENT VALUE </w:t>
      </w:r>
      <w:r w:rsidR="00842B62" w:rsidRPr="00512C8F">
        <w:rPr>
          <w:rFonts w:ascii="Times New Roman" w:hAnsi="Times New Roman" w:cs="Times New Roman"/>
          <w:b/>
          <w:bCs/>
          <w:color w:val="auto"/>
          <w:sz w:val="22"/>
          <w:szCs w:val="22"/>
          <w:shd w:val="clear" w:color="auto" w:fill="FFFFFF"/>
        </w:rPr>
        <w:t>(NPV)</w:t>
      </w:r>
      <w:bookmarkEnd w:id="46"/>
    </w:p>
    <w:p w14:paraId="0F83CB16" w14:textId="4E12CB35" w:rsidR="005C5E30" w:rsidRPr="005C5E30" w:rsidRDefault="0007411D" w:rsidP="00AA584F">
      <w:pPr>
        <w:spacing w:line="276" w:lineRule="auto"/>
        <w:jc w:val="both"/>
        <w:rPr>
          <w:rFonts w:ascii="Times New Roman" w:hAnsi="Times New Roman" w:cs="Times New Roman"/>
          <w:sz w:val="24"/>
          <w:szCs w:val="24"/>
          <w:shd w:val="clear" w:color="auto" w:fill="FFFFFF"/>
        </w:rPr>
      </w:pPr>
      <w:r w:rsidRPr="00AA584F">
        <w:rPr>
          <w:rFonts w:ascii="Times New Roman" w:hAnsi="Times New Roman" w:cs="Times New Roman"/>
          <w:sz w:val="24"/>
          <w:szCs w:val="24"/>
          <w:shd w:val="clear" w:color="auto" w:fill="FFFFFF"/>
        </w:rPr>
        <w:t>By discounting future cash flows to their present value and taking the cost of capital into account, the Net Present Value (NPV) evaluates a project's profitability (Siziba and Hall, 2021). A project that creates value for the business and generates more cash inflows than outflows is said to have a positive net present value (NPV)</w:t>
      </w:r>
      <w:r w:rsidR="00842B62" w:rsidRPr="006742B0">
        <w:rPr>
          <w:rFonts w:ascii="Times New Roman" w:hAnsi="Times New Roman" w:cs="Times New Roman"/>
          <w:sz w:val="24"/>
          <w:szCs w:val="24"/>
          <w:shd w:val="clear" w:color="auto" w:fill="FFFFFF"/>
        </w:rPr>
        <w:t>. In our analysis, assuming a cost of capital of 0.75%, Project A has an NPV of approximately £2430.13 million, while Project B has an NPV of approximately £1963.77 million. Project A's positive NPV suggests that the project adds value to Costco Wholesale Corporation by generating returns that exceed the cost of capital. Conversely, Project B also has a positive NPV but falls short of Project A's NPV, indicating that it generates lower returns relative to its cost of capital.</w:t>
      </w:r>
    </w:p>
    <w:p w14:paraId="670A52B5" w14:textId="1A24358F" w:rsidR="00842B62" w:rsidRPr="00943F26" w:rsidRDefault="00640429" w:rsidP="005C5E30">
      <w:pPr>
        <w:pStyle w:val="Heading3"/>
        <w:rPr>
          <w:rFonts w:ascii="Times New Roman" w:hAnsi="Times New Roman" w:cs="Times New Roman"/>
          <w:b/>
          <w:bCs/>
          <w:color w:val="auto"/>
          <w:sz w:val="22"/>
          <w:szCs w:val="22"/>
          <w:shd w:val="clear" w:color="auto" w:fill="FFFFFF"/>
        </w:rPr>
      </w:pPr>
      <w:bookmarkStart w:id="47" w:name="_Toc164812061"/>
      <w:r w:rsidRPr="00943F26">
        <w:rPr>
          <w:rFonts w:ascii="Times New Roman" w:hAnsi="Times New Roman" w:cs="Times New Roman"/>
          <w:b/>
          <w:bCs/>
          <w:color w:val="auto"/>
          <w:sz w:val="22"/>
          <w:szCs w:val="22"/>
          <w:shd w:val="clear" w:color="auto" w:fill="FFFFFF"/>
        </w:rPr>
        <w:t>3.1.4</w:t>
      </w:r>
      <w:r w:rsidR="00C54584" w:rsidRPr="00943F26">
        <w:rPr>
          <w:rFonts w:ascii="Times New Roman" w:hAnsi="Times New Roman" w:cs="Times New Roman"/>
          <w:b/>
          <w:bCs/>
          <w:color w:val="auto"/>
          <w:sz w:val="22"/>
          <w:szCs w:val="22"/>
          <w:shd w:val="clear" w:color="auto" w:fill="FFFFFF"/>
        </w:rPr>
        <w:t xml:space="preserve"> RECOMMENDATION AND CONCLUSION</w:t>
      </w:r>
      <w:bookmarkEnd w:id="47"/>
    </w:p>
    <w:p w14:paraId="1213E564"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After evaluating all three metrics – payback period, ARR, and NPV – it's evident that Project A outperforms Project B in terms of quicker payback, lower ARR, and higher NPV. The shorter payback period of Project A implies a faster return on investment, enhancing liquidity and flexibility for Costco. Additionally, Project A's positive NPV indicates its ability to generate value for the company over time, making it a more lucrative investment option despite its lower ARR.</w:t>
      </w:r>
    </w:p>
    <w:p w14:paraId="2053D591" w14:textId="001E6DD2"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 xml:space="preserve">In conclusion, while Project B may seem more profitable based solely on ARR, a comprehensive analysis considering the payback period and NPV </w:t>
      </w:r>
      <w:r w:rsidR="00632FB4" w:rsidRPr="006742B0">
        <w:rPr>
          <w:rFonts w:ascii="Times New Roman" w:hAnsi="Times New Roman" w:cs="Times New Roman"/>
          <w:sz w:val="24"/>
          <w:szCs w:val="24"/>
          <w:shd w:val="clear" w:color="auto" w:fill="FFFFFF"/>
        </w:rPr>
        <w:t>favours</w:t>
      </w:r>
      <w:r w:rsidRPr="006742B0">
        <w:rPr>
          <w:rFonts w:ascii="Times New Roman" w:hAnsi="Times New Roman" w:cs="Times New Roman"/>
          <w:sz w:val="24"/>
          <w:szCs w:val="24"/>
          <w:shd w:val="clear" w:color="auto" w:fill="FFFFFF"/>
        </w:rPr>
        <w:t xml:space="preserve"> Project A as the optimal investment for Costco Wholesale Corporation. By selecting Project A, Costco can maximize long-term profitability, mitigate risks, and allocate resources efficiently to drive sustainable growth and shareholder value.</w:t>
      </w:r>
    </w:p>
    <w:p w14:paraId="4B34E3E8" w14:textId="4320C9B3" w:rsidR="00842B62" w:rsidRPr="00CD2CE5" w:rsidRDefault="00311BF1" w:rsidP="006B43A4">
      <w:pPr>
        <w:pStyle w:val="Heading2"/>
        <w:spacing w:line="276" w:lineRule="auto"/>
        <w:jc w:val="both"/>
        <w:rPr>
          <w:rFonts w:ascii="Times New Roman" w:hAnsi="Times New Roman" w:cs="Times New Roman"/>
          <w:b/>
          <w:bCs/>
          <w:color w:val="auto"/>
          <w:sz w:val="24"/>
          <w:szCs w:val="24"/>
          <w:shd w:val="clear" w:color="auto" w:fill="FFFFFF"/>
        </w:rPr>
      </w:pPr>
      <w:bookmarkStart w:id="48" w:name="_Toc164812062"/>
      <w:r w:rsidRPr="00CD2CE5">
        <w:rPr>
          <w:rFonts w:ascii="Times New Roman" w:hAnsi="Times New Roman" w:cs="Times New Roman"/>
          <w:b/>
          <w:bCs/>
          <w:color w:val="auto"/>
          <w:sz w:val="24"/>
          <w:szCs w:val="24"/>
          <w:shd w:val="clear" w:color="auto" w:fill="FFFFFF"/>
        </w:rPr>
        <w:t xml:space="preserve">3.2 </w:t>
      </w:r>
      <w:r w:rsidR="00842B62" w:rsidRPr="00CD2CE5">
        <w:rPr>
          <w:rFonts w:ascii="Times New Roman" w:hAnsi="Times New Roman" w:cs="Times New Roman"/>
          <w:b/>
          <w:bCs/>
          <w:color w:val="auto"/>
          <w:sz w:val="24"/>
          <w:szCs w:val="24"/>
          <w:shd w:val="clear" w:color="auto" w:fill="FFFFFF"/>
        </w:rPr>
        <w:t>PART 2</w:t>
      </w:r>
      <w:bookmarkEnd w:id="48"/>
    </w:p>
    <w:p w14:paraId="47181904" w14:textId="15F242FA" w:rsidR="00842B62" w:rsidRPr="00FA70F7" w:rsidRDefault="006E2743" w:rsidP="00B951D4">
      <w:pPr>
        <w:pStyle w:val="Heading3"/>
        <w:rPr>
          <w:rFonts w:ascii="Times New Roman" w:hAnsi="Times New Roman" w:cs="Times New Roman"/>
          <w:b/>
          <w:bCs/>
          <w:color w:val="auto"/>
          <w:sz w:val="22"/>
          <w:szCs w:val="22"/>
          <w:shd w:val="clear" w:color="auto" w:fill="FFFFFF"/>
        </w:rPr>
      </w:pPr>
      <w:bookmarkStart w:id="49" w:name="_Toc164812063"/>
      <w:r w:rsidRPr="00FA70F7">
        <w:rPr>
          <w:rFonts w:ascii="Times New Roman" w:hAnsi="Times New Roman" w:cs="Times New Roman"/>
          <w:b/>
          <w:bCs/>
          <w:color w:val="auto"/>
          <w:sz w:val="22"/>
          <w:szCs w:val="22"/>
          <w:shd w:val="clear" w:color="auto" w:fill="FFFFFF"/>
        </w:rPr>
        <w:t xml:space="preserve">3.2.1 </w:t>
      </w:r>
      <w:r w:rsidR="00FA70F7" w:rsidRPr="00FA70F7">
        <w:rPr>
          <w:rFonts w:ascii="Times New Roman" w:hAnsi="Times New Roman" w:cs="Times New Roman"/>
          <w:b/>
          <w:bCs/>
          <w:color w:val="auto"/>
          <w:sz w:val="22"/>
          <w:szCs w:val="22"/>
          <w:shd w:val="clear" w:color="auto" w:fill="FFFFFF"/>
        </w:rPr>
        <w:t xml:space="preserve">ADVANTAGES AND DISADVANTAGES OF PAYBACK PERIOD </w:t>
      </w:r>
      <w:r w:rsidR="00842B62" w:rsidRPr="00FA70F7">
        <w:rPr>
          <w:rFonts w:ascii="Times New Roman" w:hAnsi="Times New Roman" w:cs="Times New Roman"/>
          <w:b/>
          <w:bCs/>
          <w:color w:val="auto"/>
          <w:sz w:val="22"/>
          <w:szCs w:val="22"/>
          <w:shd w:val="clear" w:color="auto" w:fill="FFFFFF"/>
        </w:rPr>
        <w:t>(PBP):</w:t>
      </w:r>
      <w:bookmarkEnd w:id="49"/>
    </w:p>
    <w:p w14:paraId="02849136"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Advantages:</w:t>
      </w:r>
    </w:p>
    <w:p w14:paraId="472D520C" w14:textId="7C6993B5" w:rsidR="00632FB4" w:rsidRPr="00AA584F" w:rsidRDefault="0058301B" w:rsidP="00AA584F">
      <w:pPr>
        <w:spacing w:line="276" w:lineRule="auto"/>
        <w:jc w:val="both"/>
        <w:rPr>
          <w:rFonts w:ascii="Times New Roman" w:hAnsi="Times New Roman" w:cs="Times New Roman"/>
          <w:sz w:val="24"/>
          <w:szCs w:val="24"/>
          <w:shd w:val="clear" w:color="auto" w:fill="FFFFFF"/>
        </w:rPr>
      </w:pPr>
      <w:r w:rsidRPr="00AA584F">
        <w:rPr>
          <w:rFonts w:ascii="Times New Roman" w:hAnsi="Times New Roman" w:cs="Times New Roman"/>
          <w:sz w:val="24"/>
          <w:szCs w:val="24"/>
          <w:shd w:val="clear" w:color="auto" w:fill="FFFFFF"/>
        </w:rPr>
        <w:t xml:space="preserve">Simple and Easy to Understand: The payback period's primary advantage is how simple and easy to use it is. </w:t>
      </w:r>
      <w:r w:rsidR="00632FB4" w:rsidRPr="00AA584F">
        <w:rPr>
          <w:rFonts w:ascii="Times New Roman" w:hAnsi="Times New Roman" w:cs="Times New Roman"/>
          <w:sz w:val="24"/>
          <w:szCs w:val="24"/>
          <w:shd w:val="clear" w:color="auto" w:fill="FFFFFF"/>
        </w:rPr>
        <w:t>Managers and investors will find the payback time notion easy to grasp as it is simple to calculate and does not involve intricate computations.</w:t>
      </w:r>
      <w:r w:rsidR="00842B62" w:rsidRPr="006742B0">
        <w:rPr>
          <w:rFonts w:ascii="Times New Roman" w:hAnsi="Times New Roman" w:cs="Times New Roman"/>
          <w:sz w:val="24"/>
          <w:szCs w:val="24"/>
          <w:shd w:val="clear" w:color="auto" w:fill="FFFFFF"/>
        </w:rPr>
        <w:t xml:space="preserve"> This accessibility is particularly valuable for individuals who may not have a strong financial background but need to make investment decisions (Le, 2021).</w:t>
      </w:r>
    </w:p>
    <w:p w14:paraId="123327C1"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 xml:space="preserve">Focus on Liquidity and Risk: PBP emphasizes liquidity by providing insight into how quickly the initial investment can be recovered. Projects with shorter payback periods indicate a faster return on investment, which can be appealing to stakeholders concerned about liquidity. </w:t>
      </w:r>
      <w:r w:rsidRPr="006742B0">
        <w:rPr>
          <w:rFonts w:ascii="Times New Roman" w:hAnsi="Times New Roman" w:cs="Times New Roman"/>
          <w:sz w:val="24"/>
          <w:szCs w:val="24"/>
          <w:shd w:val="clear" w:color="auto" w:fill="FFFFFF"/>
        </w:rPr>
        <w:lastRenderedPageBreak/>
        <w:t>Additionally, shorter payback periods imply less exposure to risk, as the project's cash flows are realized sooner, reducing uncertainty about future returns (Le, 2021).</w:t>
      </w:r>
    </w:p>
    <w:p w14:paraId="4F88DC32"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Useful for Short-Term Projects: PBP is especially useful for evaluating short-term projects where liquidity and quick returns are essential considerations. In industries where rapid changes occur, or where investment opportunities are time-sensitive, the payback period can help prioritize projects that offer quicker payback, enabling companies to adapt to market conditions more effectively (Le, 2021).</w:t>
      </w:r>
    </w:p>
    <w:p w14:paraId="50745623"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Disadvantages:</w:t>
      </w:r>
    </w:p>
    <w:p w14:paraId="57A1C833" w14:textId="0E91E647" w:rsidR="00842B62" w:rsidRPr="006742B0" w:rsidRDefault="002F229E" w:rsidP="006B43A4">
      <w:pPr>
        <w:spacing w:after="0" w:line="276" w:lineRule="auto"/>
        <w:jc w:val="both"/>
        <w:rPr>
          <w:rFonts w:ascii="Times New Roman" w:eastAsia="Times New Roman" w:hAnsi="Times New Roman" w:cs="Times New Roman"/>
          <w:kern w:val="0"/>
          <w:sz w:val="24"/>
          <w:szCs w:val="24"/>
          <w:lang w:val="en-GB" w:eastAsia="en-GB"/>
          <w14:ligatures w14:val="none"/>
        </w:rPr>
      </w:pPr>
      <w:r w:rsidRPr="006742B0">
        <w:rPr>
          <w:rFonts w:ascii="Times New Roman" w:eastAsia="Times New Roman" w:hAnsi="Times New Roman" w:cs="Times New Roman"/>
          <w:kern w:val="0"/>
          <w:sz w:val="24"/>
          <w:szCs w:val="24"/>
          <w:lang w:val="en-GB" w:eastAsia="en-GB"/>
          <w14:ligatures w14:val="none"/>
        </w:rPr>
        <w:t xml:space="preserve">One significant disadvantage of the payback period is its disregard for the time worth of money. This approach ignores the opportunity cost of capital since it treats all cash flows identically and doesn't take into account when they happen. </w:t>
      </w:r>
      <w:r w:rsidR="007D7BAD" w:rsidRPr="006742B0">
        <w:rPr>
          <w:rFonts w:ascii="Times New Roman" w:hAnsi="Times New Roman" w:cs="Times New Roman"/>
          <w:sz w:val="24"/>
          <w:szCs w:val="24"/>
          <w:shd w:val="clear" w:color="auto" w:fill="FFFFFF"/>
        </w:rPr>
        <w:t>The payback period method has a limitation in that it solely concentrates on the duration required to recoup the initial investment, neglecting any cash flows generated thereafter. This narrow perspective can overlook the project's long-term profitability, possibly resulting in less-than-optimal investment choices</w:t>
      </w:r>
      <w:r w:rsidR="00842B62" w:rsidRPr="006742B0">
        <w:rPr>
          <w:rFonts w:ascii="Times New Roman" w:hAnsi="Times New Roman" w:cs="Times New Roman"/>
          <w:sz w:val="24"/>
          <w:szCs w:val="24"/>
          <w:shd w:val="clear" w:color="auto" w:fill="FFFFFF"/>
        </w:rPr>
        <w:t xml:space="preserve"> (Le, 2021).</w:t>
      </w:r>
    </w:p>
    <w:p w14:paraId="748A28B0"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Subjectivity in Acceptance Criteria: PBP does not provide a clear benchmark for evaluating investment projects, leading to subjectivity in acceptance criteria. The decision to accept or reject a project based solely on its payback period may vary depending on the organization's risk tolerance, investment objectives, and other qualitative factors, making it challenging to standardize decision-making processes (Le, 2021).</w:t>
      </w:r>
    </w:p>
    <w:p w14:paraId="7347D1CF" w14:textId="534BB939" w:rsidR="00842B62" w:rsidRPr="00961BE0" w:rsidRDefault="006E2743" w:rsidP="00B951D4">
      <w:pPr>
        <w:pStyle w:val="Heading3"/>
        <w:rPr>
          <w:rFonts w:ascii="Times New Roman" w:hAnsi="Times New Roman" w:cs="Times New Roman"/>
          <w:b/>
          <w:bCs/>
          <w:color w:val="auto"/>
          <w:sz w:val="22"/>
          <w:szCs w:val="22"/>
          <w:shd w:val="clear" w:color="auto" w:fill="FFFFFF"/>
        </w:rPr>
      </w:pPr>
      <w:bookmarkStart w:id="50" w:name="_Toc164812064"/>
      <w:r w:rsidRPr="00961BE0">
        <w:rPr>
          <w:rFonts w:ascii="Times New Roman" w:hAnsi="Times New Roman" w:cs="Times New Roman"/>
          <w:b/>
          <w:bCs/>
          <w:color w:val="auto"/>
          <w:sz w:val="22"/>
          <w:szCs w:val="22"/>
          <w:shd w:val="clear" w:color="auto" w:fill="FFFFFF"/>
        </w:rPr>
        <w:t xml:space="preserve">3.2.2 </w:t>
      </w:r>
      <w:r w:rsidR="00B5145D" w:rsidRPr="00961BE0">
        <w:rPr>
          <w:rFonts w:ascii="Times New Roman" w:hAnsi="Times New Roman" w:cs="Times New Roman"/>
          <w:b/>
          <w:bCs/>
          <w:color w:val="auto"/>
          <w:sz w:val="22"/>
          <w:szCs w:val="22"/>
          <w:shd w:val="clear" w:color="auto" w:fill="FFFFFF"/>
        </w:rPr>
        <w:t xml:space="preserve">ADVANTAGES AND DISADVANTAGES OF ACCOUNTING RATE OF RETURN </w:t>
      </w:r>
      <w:r w:rsidR="00842B62" w:rsidRPr="00961BE0">
        <w:rPr>
          <w:rFonts w:ascii="Times New Roman" w:hAnsi="Times New Roman" w:cs="Times New Roman"/>
          <w:b/>
          <w:bCs/>
          <w:color w:val="auto"/>
          <w:sz w:val="22"/>
          <w:szCs w:val="22"/>
          <w:shd w:val="clear" w:color="auto" w:fill="FFFFFF"/>
        </w:rPr>
        <w:t>(ARR)</w:t>
      </w:r>
      <w:bookmarkEnd w:id="50"/>
    </w:p>
    <w:p w14:paraId="2548E55E"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Advantages:</w:t>
      </w:r>
    </w:p>
    <w:p w14:paraId="7A1FC84C" w14:textId="46121364" w:rsidR="00992544" w:rsidRPr="00AA584F" w:rsidRDefault="00992544" w:rsidP="00AA584F">
      <w:pPr>
        <w:spacing w:line="276" w:lineRule="auto"/>
        <w:jc w:val="both"/>
        <w:rPr>
          <w:rFonts w:ascii="Times New Roman" w:hAnsi="Times New Roman" w:cs="Times New Roman"/>
          <w:sz w:val="24"/>
          <w:szCs w:val="24"/>
          <w:shd w:val="clear" w:color="auto" w:fill="FFFFFF"/>
        </w:rPr>
      </w:pPr>
      <w:r w:rsidRPr="00AA584F">
        <w:rPr>
          <w:rFonts w:ascii="Times New Roman" w:hAnsi="Times New Roman" w:cs="Times New Roman"/>
          <w:sz w:val="24"/>
          <w:szCs w:val="24"/>
          <w:shd w:val="clear" w:color="auto" w:fill="FFFFFF"/>
        </w:rPr>
        <w:t xml:space="preserve">Simplified Calculation and Interpretation: Managers and investors may easily understand and compute annualised </w:t>
      </w:r>
      <w:r w:rsidR="0016097B" w:rsidRPr="00AA584F">
        <w:rPr>
          <w:rFonts w:ascii="Times New Roman" w:hAnsi="Times New Roman" w:cs="Times New Roman"/>
          <w:sz w:val="24"/>
          <w:szCs w:val="24"/>
          <w:shd w:val="clear" w:color="auto" w:fill="FFFFFF"/>
        </w:rPr>
        <w:t>returns</w:t>
      </w:r>
      <w:r w:rsidRPr="00AA584F">
        <w:rPr>
          <w:rFonts w:ascii="Times New Roman" w:hAnsi="Times New Roman" w:cs="Times New Roman"/>
          <w:sz w:val="24"/>
          <w:szCs w:val="24"/>
          <w:shd w:val="clear" w:color="auto" w:fill="FFFFFF"/>
        </w:rPr>
        <w:t xml:space="preserve"> (ARR). It gives stakeholders a concise percentage that illustrates the average yearly return on the initial investment, enabling them to swiftly determine the project's financial sustainability (Le, 2021).</w:t>
      </w:r>
    </w:p>
    <w:p w14:paraId="6110D1A3" w14:textId="7DD2C44C"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Focus on Profitability: ARR focuses on profitability by comparing average annual profits to the initial investment. This emphasis on profitability allows stakeholders to evaluate the project's financial performance and its ability to generate returns over time (Le, 2021).</w:t>
      </w:r>
    </w:p>
    <w:p w14:paraId="5D475638"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Useful for Comparing Projects: ARR facilitates the comparison of multiple investment projects by providing a standardized measure of profitability. By calculating ARR for different projects, stakeholders can compare their relative attractiveness and prioritize investment decisions accordingly (Le, 2021).</w:t>
      </w:r>
    </w:p>
    <w:p w14:paraId="14C393CA"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Disadvantages:</w:t>
      </w:r>
    </w:p>
    <w:p w14:paraId="750768B9" w14:textId="2C8BD185" w:rsidR="00606A44" w:rsidRPr="00AA584F" w:rsidRDefault="00735DB0" w:rsidP="00AA584F">
      <w:pPr>
        <w:spacing w:line="276" w:lineRule="auto"/>
        <w:jc w:val="both"/>
        <w:rPr>
          <w:rFonts w:ascii="Times New Roman" w:hAnsi="Times New Roman" w:cs="Times New Roman"/>
          <w:sz w:val="24"/>
          <w:szCs w:val="24"/>
          <w:shd w:val="clear" w:color="auto" w:fill="FFFFFF"/>
        </w:rPr>
      </w:pPr>
      <w:r w:rsidRPr="00AA584F">
        <w:rPr>
          <w:rFonts w:ascii="Times New Roman" w:hAnsi="Times New Roman" w:cs="Times New Roman"/>
          <w:sz w:val="24"/>
          <w:szCs w:val="24"/>
          <w:shd w:val="clear" w:color="auto" w:fill="FFFFFF"/>
        </w:rPr>
        <w:t>Ignores Time Value of Money: The ARR treats all cash flows equally and, like the payback period, ignores the time value of money.</w:t>
      </w:r>
      <w:r w:rsidR="00842B62" w:rsidRPr="006742B0">
        <w:rPr>
          <w:rFonts w:ascii="Times New Roman" w:hAnsi="Times New Roman" w:cs="Times New Roman"/>
          <w:sz w:val="24"/>
          <w:szCs w:val="24"/>
          <w:shd w:val="clear" w:color="auto" w:fill="FFFFFF"/>
        </w:rPr>
        <w:t xml:space="preserve"> This limitation can lead to misleading conclusions, especially for projects with long durations or significant disparities in cash flows over time (Le, 2021).</w:t>
      </w:r>
    </w:p>
    <w:p w14:paraId="38B50C56"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 xml:space="preserve">Subject to Manipulation: ARR can be manipulated by adjusting the depreciation method or accounting policies, leading to inconsistent results and potential biases. This subjectivity </w:t>
      </w:r>
      <w:r w:rsidRPr="006742B0">
        <w:rPr>
          <w:rFonts w:ascii="Times New Roman" w:hAnsi="Times New Roman" w:cs="Times New Roman"/>
          <w:sz w:val="24"/>
          <w:szCs w:val="24"/>
          <w:shd w:val="clear" w:color="auto" w:fill="FFFFFF"/>
        </w:rPr>
        <w:lastRenderedPageBreak/>
        <w:t>undermines the reliability of ARR as a standalone evaluation metric and raises concerns about its susceptibility to manipulation for favorable outcomes (Le, 2021).</w:t>
      </w:r>
    </w:p>
    <w:p w14:paraId="14A71064"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Dependent on Accounting Measures: ARR relies on accounting measures such as net income and average investment, which may not accurately reflect economic reality. It may not consider non-cash expenses, changes in market conditions, or other factors that affect the project's profitability, limiting its effectiveness as a comprehensive evaluation tool (Le, 2021).</w:t>
      </w:r>
    </w:p>
    <w:p w14:paraId="682C9B4D" w14:textId="1691BB89" w:rsidR="00842B62" w:rsidRPr="001529C1" w:rsidRDefault="006E2743" w:rsidP="00B951D4">
      <w:pPr>
        <w:pStyle w:val="Heading3"/>
        <w:rPr>
          <w:rFonts w:ascii="Times New Roman" w:hAnsi="Times New Roman" w:cs="Times New Roman"/>
          <w:b/>
          <w:bCs/>
          <w:color w:val="auto"/>
          <w:sz w:val="22"/>
          <w:szCs w:val="22"/>
          <w:shd w:val="clear" w:color="auto" w:fill="FFFFFF"/>
        </w:rPr>
      </w:pPr>
      <w:bookmarkStart w:id="51" w:name="_Toc164812065"/>
      <w:r w:rsidRPr="001529C1">
        <w:rPr>
          <w:rFonts w:ascii="Times New Roman" w:hAnsi="Times New Roman" w:cs="Times New Roman"/>
          <w:b/>
          <w:bCs/>
          <w:color w:val="auto"/>
          <w:sz w:val="22"/>
          <w:szCs w:val="22"/>
          <w:shd w:val="clear" w:color="auto" w:fill="FFFFFF"/>
        </w:rPr>
        <w:t xml:space="preserve">3.2.3 </w:t>
      </w:r>
      <w:r w:rsidR="001529C1" w:rsidRPr="001529C1">
        <w:rPr>
          <w:rFonts w:ascii="Times New Roman" w:hAnsi="Times New Roman" w:cs="Times New Roman"/>
          <w:b/>
          <w:bCs/>
          <w:color w:val="auto"/>
          <w:sz w:val="22"/>
          <w:szCs w:val="22"/>
          <w:shd w:val="clear" w:color="auto" w:fill="FFFFFF"/>
        </w:rPr>
        <w:t xml:space="preserve">ADVANTAGES AND DISADVANTAGES OF NET PRESENT VALUE </w:t>
      </w:r>
      <w:r w:rsidR="00842B62" w:rsidRPr="001529C1">
        <w:rPr>
          <w:rFonts w:ascii="Times New Roman" w:hAnsi="Times New Roman" w:cs="Times New Roman"/>
          <w:b/>
          <w:bCs/>
          <w:color w:val="auto"/>
          <w:sz w:val="22"/>
          <w:szCs w:val="22"/>
          <w:shd w:val="clear" w:color="auto" w:fill="FFFFFF"/>
        </w:rPr>
        <w:t>(NPV)</w:t>
      </w:r>
      <w:bookmarkEnd w:id="51"/>
    </w:p>
    <w:p w14:paraId="124EC40C"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Advantages:</w:t>
      </w:r>
    </w:p>
    <w:p w14:paraId="620057D2" w14:textId="59BDE8BD" w:rsidR="00614CC7" w:rsidRPr="006742B0" w:rsidRDefault="00614CC7" w:rsidP="00760F21">
      <w:pPr>
        <w:spacing w:line="276" w:lineRule="auto"/>
        <w:jc w:val="both"/>
        <w:rPr>
          <w:rFonts w:ascii="Times New Roman" w:eastAsia="Times New Roman" w:hAnsi="Times New Roman" w:cs="Times New Roman"/>
          <w:kern w:val="0"/>
          <w:sz w:val="24"/>
          <w:szCs w:val="24"/>
          <w:lang w:val="en-GB" w:eastAsia="en-GB"/>
          <w14:ligatures w14:val="none"/>
        </w:rPr>
      </w:pPr>
      <w:r w:rsidRPr="006742B0">
        <w:rPr>
          <w:rFonts w:ascii="Times New Roman" w:eastAsia="Times New Roman" w:hAnsi="Times New Roman" w:cs="Times New Roman"/>
          <w:kern w:val="0"/>
          <w:sz w:val="24"/>
          <w:szCs w:val="24"/>
          <w:lang w:val="en-GB" w:eastAsia="en-GB"/>
          <w14:ligatures w14:val="none"/>
        </w:rPr>
        <w:t xml:space="preserve">Time Value of Money is Taken </w:t>
      </w:r>
      <w:proofErr w:type="gramStart"/>
      <w:r w:rsidRPr="006742B0">
        <w:rPr>
          <w:rFonts w:ascii="Times New Roman" w:eastAsia="Times New Roman" w:hAnsi="Times New Roman" w:cs="Times New Roman"/>
          <w:kern w:val="0"/>
          <w:sz w:val="24"/>
          <w:szCs w:val="24"/>
          <w:lang w:val="en-GB" w:eastAsia="en-GB"/>
          <w14:ligatures w14:val="none"/>
        </w:rPr>
        <w:t>Into</w:t>
      </w:r>
      <w:proofErr w:type="gramEnd"/>
      <w:r w:rsidRPr="006742B0">
        <w:rPr>
          <w:rFonts w:ascii="Times New Roman" w:eastAsia="Times New Roman" w:hAnsi="Times New Roman" w:cs="Times New Roman"/>
          <w:kern w:val="0"/>
          <w:sz w:val="24"/>
          <w:szCs w:val="24"/>
          <w:lang w:val="en-GB" w:eastAsia="en-GB"/>
          <w14:ligatures w14:val="none"/>
        </w:rPr>
        <w:t xml:space="preserve"> Account: </w:t>
      </w:r>
      <w:r w:rsidR="00760F21" w:rsidRPr="006742B0">
        <w:rPr>
          <w:rFonts w:ascii="Times New Roman" w:eastAsia="Times New Roman" w:hAnsi="Times New Roman" w:cs="Times New Roman"/>
          <w:kern w:val="0"/>
          <w:sz w:val="24"/>
          <w:szCs w:val="24"/>
          <w:lang w:val="en-GB" w:eastAsia="en-GB"/>
          <w14:ligatures w14:val="none"/>
        </w:rPr>
        <w:t>Net present value (NPV) provides a more accurate assessment of a project's profitability by accounting for the time worth of money by discounting future cash flows to their present value. When the opportunity cost of capital is taken into consideration, net present value (NPV) reflects the true economic value of an investment (Huang et al., 2022).</w:t>
      </w:r>
    </w:p>
    <w:p w14:paraId="5C15A50A" w14:textId="33D40B4F" w:rsidR="00842B62" w:rsidRPr="006742B0" w:rsidRDefault="00842B62" w:rsidP="006B43A4">
      <w:pPr>
        <w:spacing w:line="276" w:lineRule="auto"/>
        <w:jc w:val="both"/>
        <w:rPr>
          <w:rFonts w:ascii="Times New Roman" w:eastAsia="Times New Roman" w:hAnsi="Times New Roman" w:cs="Times New Roman"/>
          <w:kern w:val="0"/>
          <w:sz w:val="24"/>
          <w:szCs w:val="24"/>
          <w:lang w:val="en-GB" w:eastAsia="en-GB"/>
          <w14:ligatures w14:val="none"/>
        </w:rPr>
      </w:pPr>
      <w:r w:rsidRPr="006742B0">
        <w:rPr>
          <w:rFonts w:ascii="Times New Roman" w:hAnsi="Times New Roman" w:cs="Times New Roman"/>
          <w:sz w:val="24"/>
          <w:szCs w:val="24"/>
          <w:shd w:val="clear" w:color="auto" w:fill="FFFFFF"/>
        </w:rPr>
        <w:t xml:space="preserve">Considers Entire Cash Flow Stream: </w:t>
      </w:r>
      <w:r w:rsidR="00C45E5C" w:rsidRPr="006742B0">
        <w:rPr>
          <w:rFonts w:ascii="Times New Roman" w:eastAsia="Times New Roman" w:hAnsi="Times New Roman" w:cs="Times New Roman"/>
          <w:kern w:val="0"/>
          <w:sz w:val="24"/>
          <w:szCs w:val="24"/>
          <w:lang w:val="en-GB" w:eastAsia="en-GB"/>
          <w14:ligatures w14:val="none"/>
        </w:rPr>
        <w:t>All cash flows related to a project are taken into account by NPV, including those that happen after the payback period. Based on the project's total profitability, stakeholders can make well-informed investment decisions and evaluate the project's long-term financial impact thanks to this thorough review (Huang et al., 2022).</w:t>
      </w:r>
    </w:p>
    <w:p w14:paraId="45694860"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Provides Clear Decision Criterion: NPV offers a clear decision criterion – accept the project if NPV is positive and reject it if NPV is negative. This straightforward criterion helps stakeholders identify value-maximizing investment opportunities and allocate resources efficiently to maximize shareholder value (Huang et al, 2022).</w:t>
      </w:r>
    </w:p>
    <w:p w14:paraId="730A593F"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Disadvantages:</w:t>
      </w:r>
    </w:p>
    <w:p w14:paraId="6F0EC5F0" w14:textId="434CD059" w:rsidR="00842B62" w:rsidRPr="006742B0" w:rsidRDefault="00842B62" w:rsidP="006B43A4">
      <w:pPr>
        <w:spacing w:line="276" w:lineRule="auto"/>
        <w:jc w:val="both"/>
        <w:rPr>
          <w:rFonts w:ascii="Times New Roman" w:eastAsia="Times New Roman" w:hAnsi="Times New Roman" w:cs="Times New Roman"/>
          <w:kern w:val="0"/>
          <w:sz w:val="24"/>
          <w:szCs w:val="24"/>
          <w:lang w:val="en-GB" w:eastAsia="en-GB"/>
          <w14:ligatures w14:val="none"/>
        </w:rPr>
      </w:pPr>
      <w:r w:rsidRPr="006742B0">
        <w:rPr>
          <w:rFonts w:ascii="Times New Roman" w:hAnsi="Times New Roman" w:cs="Times New Roman"/>
          <w:sz w:val="24"/>
          <w:szCs w:val="24"/>
          <w:shd w:val="clear" w:color="auto" w:fill="FFFFFF"/>
        </w:rPr>
        <w:t xml:space="preserve">Complexity: </w:t>
      </w:r>
      <w:r w:rsidR="003F2ACD" w:rsidRPr="006742B0">
        <w:rPr>
          <w:rFonts w:ascii="Times New Roman" w:eastAsia="Times New Roman" w:hAnsi="Times New Roman" w:cs="Times New Roman"/>
          <w:kern w:val="0"/>
          <w:sz w:val="24"/>
          <w:szCs w:val="24"/>
          <w:lang w:val="en-GB" w:eastAsia="en-GB"/>
          <w14:ligatures w14:val="none"/>
        </w:rPr>
        <w:t xml:space="preserve">It can be difficult to calculate net present value (NPV), especially in projects with multiple cash flows and variable discount rates. </w:t>
      </w:r>
      <w:r w:rsidRPr="006742B0">
        <w:rPr>
          <w:rFonts w:ascii="Times New Roman" w:hAnsi="Times New Roman" w:cs="Times New Roman"/>
          <w:sz w:val="24"/>
          <w:szCs w:val="24"/>
          <w:shd w:val="clear" w:color="auto" w:fill="FFFFFF"/>
        </w:rPr>
        <w:t>This complexity may deter managers and investors who prefer simpler evaluation methods, leading to underutilization or misinterpretation of NPV as a decision-making tool (Huang et al, 2022).</w:t>
      </w:r>
    </w:p>
    <w:p w14:paraId="7981742C" w14:textId="458ABEAF" w:rsidR="00F657B2" w:rsidRPr="00AA584F" w:rsidRDefault="00F657B2" w:rsidP="00AA584F">
      <w:pPr>
        <w:spacing w:line="276" w:lineRule="auto"/>
        <w:jc w:val="both"/>
        <w:rPr>
          <w:rFonts w:ascii="Times New Roman" w:hAnsi="Times New Roman" w:cs="Times New Roman"/>
          <w:sz w:val="24"/>
          <w:szCs w:val="24"/>
          <w:shd w:val="clear" w:color="auto" w:fill="FFFFFF"/>
        </w:rPr>
      </w:pPr>
      <w:r w:rsidRPr="00AA584F">
        <w:rPr>
          <w:rFonts w:ascii="Times New Roman" w:hAnsi="Times New Roman" w:cs="Times New Roman"/>
          <w:sz w:val="24"/>
          <w:szCs w:val="24"/>
          <w:shd w:val="clear" w:color="auto" w:fill="FFFFFF"/>
        </w:rPr>
        <w:t>Sensitivity to Discount Rate: The net present value (NPV) is directly impacted by even minor modifications to the discount rate. Choosing a suitable discount rate necessitates thoughtful deliberation and may entail subjective assessment, adding ambiguity to net present value computations and decision-making procedures (Huang et al, 2022)</w:t>
      </w:r>
      <w:r w:rsidR="00842B62" w:rsidRPr="006742B0">
        <w:rPr>
          <w:rFonts w:ascii="Times New Roman" w:hAnsi="Times New Roman" w:cs="Times New Roman"/>
          <w:sz w:val="24"/>
          <w:szCs w:val="24"/>
          <w:shd w:val="clear" w:color="auto" w:fill="FFFFFF"/>
        </w:rPr>
        <w:t>.</w:t>
      </w:r>
    </w:p>
    <w:p w14:paraId="68B7D939" w14:textId="77777777" w:rsidR="0016547E" w:rsidRPr="006742B0" w:rsidRDefault="00842B62" w:rsidP="006B43A4">
      <w:pPr>
        <w:spacing w:line="276" w:lineRule="auto"/>
        <w:jc w:val="both"/>
        <w:rPr>
          <w:rFonts w:ascii="Times New Roman" w:eastAsia="Times New Roman" w:hAnsi="Times New Roman" w:cs="Times New Roman"/>
          <w:kern w:val="0"/>
          <w:sz w:val="24"/>
          <w:szCs w:val="24"/>
          <w:lang w:val="en-GB" w:eastAsia="en-GB"/>
          <w14:ligatures w14:val="none"/>
        </w:rPr>
      </w:pPr>
      <w:r w:rsidRPr="006742B0">
        <w:rPr>
          <w:rFonts w:ascii="Times New Roman" w:hAnsi="Times New Roman" w:cs="Times New Roman"/>
          <w:sz w:val="24"/>
          <w:szCs w:val="24"/>
          <w:shd w:val="clear" w:color="auto" w:fill="FFFFFF"/>
        </w:rPr>
        <w:t xml:space="preserve">Assumption of Reinvestment Rate: </w:t>
      </w:r>
      <w:r w:rsidR="00F637FF" w:rsidRPr="006742B0">
        <w:rPr>
          <w:rFonts w:ascii="Times New Roman" w:eastAsia="Times New Roman" w:hAnsi="Times New Roman" w:cs="Times New Roman"/>
          <w:kern w:val="0"/>
          <w:sz w:val="24"/>
          <w:szCs w:val="24"/>
          <w:lang w:val="en-GB" w:eastAsia="en-GB"/>
          <w14:ligatures w14:val="none"/>
        </w:rPr>
        <w:t>Since the discount rate is assumed to be used for reinvested cash flows, NPV may not accurately reflect current market conditions. This presumption may cause NPV computations to be inaccurate, particularly for projects with erratic cash flow patterns or unstable market conditions (Huang et al., 2022).</w:t>
      </w:r>
    </w:p>
    <w:p w14:paraId="39E2BFA9" w14:textId="76A0E25B" w:rsidR="00C22D2F" w:rsidRDefault="00090323" w:rsidP="00C22D2F">
      <w:pPr>
        <w:spacing w:after="0" w:line="276" w:lineRule="auto"/>
        <w:jc w:val="both"/>
        <w:rPr>
          <w:rFonts w:ascii="Times New Roman" w:eastAsia="Times New Roman" w:hAnsi="Times New Roman" w:cs="Times New Roman"/>
          <w:kern w:val="0"/>
          <w:sz w:val="24"/>
          <w:szCs w:val="24"/>
          <w:lang w:val="en-GB" w:eastAsia="en-GB"/>
          <w14:ligatures w14:val="none"/>
        </w:rPr>
      </w:pPr>
      <w:r w:rsidRPr="006742B0">
        <w:rPr>
          <w:rFonts w:ascii="Times New Roman" w:eastAsia="Times New Roman" w:hAnsi="Times New Roman" w:cs="Times New Roman"/>
          <w:kern w:val="0"/>
          <w:sz w:val="24"/>
          <w:szCs w:val="24"/>
          <w:lang w:val="en-GB" w:eastAsia="en-GB"/>
          <w14:ligatures w14:val="none"/>
        </w:rPr>
        <w:t xml:space="preserve">To sum up, every one of these assessment methods—payback duration, accounting rate of return, and net present value—has unique benefits and drawbacks. The payback period prioritises risk and liquidity, ARR concentrates on profitability, and NPV offers a thorough analysis that takes </w:t>
      </w:r>
      <w:r w:rsidR="003848E8" w:rsidRPr="006742B0">
        <w:rPr>
          <w:rFonts w:ascii="Times New Roman" w:eastAsia="Times New Roman" w:hAnsi="Times New Roman" w:cs="Times New Roman"/>
          <w:kern w:val="0"/>
          <w:sz w:val="24"/>
          <w:szCs w:val="24"/>
          <w:lang w:val="en-GB" w:eastAsia="en-GB"/>
          <w14:ligatures w14:val="none"/>
        </w:rPr>
        <w:t xml:space="preserve">the </w:t>
      </w:r>
      <w:r w:rsidRPr="006742B0">
        <w:rPr>
          <w:rFonts w:ascii="Times New Roman" w:eastAsia="Times New Roman" w:hAnsi="Times New Roman" w:cs="Times New Roman"/>
          <w:kern w:val="0"/>
          <w:sz w:val="24"/>
          <w:szCs w:val="24"/>
          <w:lang w:val="en-GB" w:eastAsia="en-GB"/>
          <w14:ligatures w14:val="none"/>
        </w:rPr>
        <w:t xml:space="preserve">time value of money into account. To maximise shareholder value and </w:t>
      </w:r>
      <w:r w:rsidRPr="006742B0">
        <w:rPr>
          <w:rFonts w:ascii="Times New Roman" w:eastAsia="Times New Roman" w:hAnsi="Times New Roman" w:cs="Times New Roman"/>
          <w:kern w:val="0"/>
          <w:sz w:val="24"/>
          <w:szCs w:val="24"/>
          <w:lang w:val="en-GB" w:eastAsia="en-GB"/>
          <w14:ligatures w14:val="none"/>
        </w:rPr>
        <w:lastRenderedPageBreak/>
        <w:t>make well-informed investment decisions, managers and investors should carefully analyse these issues and apply numerous evaluation measures in tandem.</w:t>
      </w:r>
    </w:p>
    <w:p w14:paraId="714123BC" w14:textId="77777777" w:rsidR="00C22D2F" w:rsidRDefault="00C22D2F">
      <w:pPr>
        <w:rPr>
          <w:rFonts w:ascii="Times New Roman" w:eastAsia="Times New Roman" w:hAnsi="Times New Roman" w:cs="Times New Roman"/>
          <w:kern w:val="0"/>
          <w:sz w:val="24"/>
          <w:szCs w:val="24"/>
          <w:lang w:val="en-GB" w:eastAsia="en-GB"/>
          <w14:ligatures w14:val="none"/>
        </w:rPr>
      </w:pPr>
      <w:r>
        <w:rPr>
          <w:rFonts w:ascii="Times New Roman" w:eastAsia="Times New Roman" w:hAnsi="Times New Roman" w:cs="Times New Roman"/>
          <w:kern w:val="0"/>
          <w:sz w:val="24"/>
          <w:szCs w:val="24"/>
          <w:lang w:val="en-GB" w:eastAsia="en-GB"/>
          <w14:ligatures w14:val="none"/>
        </w:rPr>
        <w:br w:type="page"/>
      </w:r>
    </w:p>
    <w:p w14:paraId="026FFC4F" w14:textId="76537912" w:rsidR="00842B62" w:rsidRDefault="00842B62" w:rsidP="00C22D2F">
      <w:pPr>
        <w:pStyle w:val="Heading1"/>
        <w:rPr>
          <w:rFonts w:ascii="Times New Roman" w:hAnsi="Times New Roman" w:cs="Times New Roman"/>
          <w:b/>
          <w:bCs/>
          <w:color w:val="auto"/>
          <w:sz w:val="28"/>
          <w:szCs w:val="28"/>
          <w:shd w:val="clear" w:color="auto" w:fill="FFFFFF"/>
        </w:rPr>
      </w:pPr>
      <w:bookmarkStart w:id="52" w:name="_Toc164812066"/>
      <w:r w:rsidRPr="00C22D2F">
        <w:rPr>
          <w:rFonts w:ascii="Times New Roman" w:hAnsi="Times New Roman" w:cs="Times New Roman"/>
          <w:b/>
          <w:bCs/>
          <w:color w:val="auto"/>
          <w:sz w:val="28"/>
          <w:szCs w:val="28"/>
          <w:shd w:val="clear" w:color="auto" w:fill="FFFFFF"/>
        </w:rPr>
        <w:lastRenderedPageBreak/>
        <w:t>REFERENCE</w:t>
      </w:r>
      <w:r w:rsidR="005E24E6">
        <w:rPr>
          <w:rFonts w:ascii="Times New Roman" w:hAnsi="Times New Roman" w:cs="Times New Roman"/>
          <w:b/>
          <w:bCs/>
          <w:color w:val="auto"/>
          <w:sz w:val="28"/>
          <w:szCs w:val="28"/>
          <w:shd w:val="clear" w:color="auto" w:fill="FFFFFF"/>
        </w:rPr>
        <w:t>S</w:t>
      </w:r>
      <w:bookmarkEnd w:id="52"/>
    </w:p>
    <w:p w14:paraId="103F7732" w14:textId="77777777" w:rsidR="004E1F35" w:rsidRPr="004E1F35" w:rsidRDefault="004E1F35" w:rsidP="004E1F35"/>
    <w:p w14:paraId="1D2F076B"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Almeida, R.F.R., 2016. </w:t>
      </w:r>
      <w:r w:rsidRPr="006742B0">
        <w:rPr>
          <w:rFonts w:ascii="Times New Roman" w:hAnsi="Times New Roman" w:cs="Times New Roman"/>
          <w:i/>
          <w:iCs/>
          <w:sz w:val="24"/>
          <w:szCs w:val="24"/>
          <w:shd w:val="clear" w:color="auto" w:fill="FFFFFF"/>
        </w:rPr>
        <w:t>The relationship between liquidity and profitability in the Food &amp; Beverage industry Evidence from Europe and the United States</w:t>
      </w:r>
      <w:r w:rsidRPr="006742B0">
        <w:rPr>
          <w:rFonts w:ascii="Times New Roman" w:hAnsi="Times New Roman" w:cs="Times New Roman"/>
          <w:sz w:val="24"/>
          <w:szCs w:val="24"/>
          <w:shd w:val="clear" w:color="auto" w:fill="FFFFFF"/>
        </w:rPr>
        <w:t> (Doctoral dissertation, NOVA–School of Business and Economics).</w:t>
      </w:r>
    </w:p>
    <w:p w14:paraId="04F39900" w14:textId="058AC491" w:rsidR="00311BF1" w:rsidRPr="006742B0" w:rsidRDefault="00842B62" w:rsidP="006B43A4">
      <w:pPr>
        <w:spacing w:line="276" w:lineRule="auto"/>
        <w:jc w:val="both"/>
        <w:rPr>
          <w:rFonts w:ascii="Times New Roman" w:hAnsi="Times New Roman" w:cs="Times New Roman"/>
          <w:sz w:val="24"/>
          <w:szCs w:val="24"/>
          <w:u w:val="single"/>
          <w:shd w:val="clear" w:color="auto" w:fill="FFFFFF"/>
        </w:rPr>
      </w:pPr>
      <w:r w:rsidRPr="006742B0">
        <w:rPr>
          <w:rFonts w:ascii="Times New Roman" w:hAnsi="Times New Roman" w:cs="Times New Roman"/>
          <w:sz w:val="24"/>
          <w:szCs w:val="24"/>
          <w:shd w:val="clear" w:color="auto" w:fill="FFFFFF"/>
        </w:rPr>
        <w:t xml:space="preserve">Costco Wholesale Corporation Financial Ratio (2024) </w:t>
      </w:r>
      <w:hyperlink r:id="rId7" w:history="1">
        <w:r w:rsidRPr="006742B0">
          <w:rPr>
            <w:rStyle w:val="Hyperlink"/>
            <w:rFonts w:ascii="Times New Roman" w:hAnsi="Times New Roman" w:cs="Times New Roman"/>
            <w:color w:val="auto"/>
            <w:sz w:val="24"/>
            <w:szCs w:val="24"/>
            <w:shd w:val="clear" w:color="auto" w:fill="FFFFFF"/>
          </w:rPr>
          <w:t>https://stockanalysis.com/stocks/cost/financials/ratios/</w:t>
        </w:r>
      </w:hyperlink>
    </w:p>
    <w:p w14:paraId="138FC9C0"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Dallas II, A.F., 2019. A Comprehensive Financial Analysis of Retail and Wholesale Food Chains.</w:t>
      </w:r>
    </w:p>
    <w:p w14:paraId="0E3B92D6"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Eldomiaty, T., Eid, N., Taman, F. and Rashwan, M., 2023. An Assessment of the Benefits of Optimizing Working Capital and Profitability: Perspectives from DJIA30 and NASDAQ100. </w:t>
      </w:r>
      <w:r w:rsidRPr="006742B0">
        <w:rPr>
          <w:rFonts w:ascii="Times New Roman" w:hAnsi="Times New Roman" w:cs="Times New Roman"/>
          <w:i/>
          <w:iCs/>
          <w:sz w:val="24"/>
          <w:szCs w:val="24"/>
          <w:shd w:val="clear" w:color="auto" w:fill="FFFFFF"/>
        </w:rPr>
        <w:t>Journal of Risk and Financial Management</w:t>
      </w:r>
      <w:r w:rsidRPr="006742B0">
        <w:rPr>
          <w:rFonts w:ascii="Times New Roman" w:hAnsi="Times New Roman" w:cs="Times New Roman"/>
          <w:sz w:val="24"/>
          <w:szCs w:val="24"/>
          <w:shd w:val="clear" w:color="auto" w:fill="FFFFFF"/>
        </w:rPr>
        <w:t>, </w:t>
      </w:r>
      <w:r w:rsidRPr="006742B0">
        <w:rPr>
          <w:rFonts w:ascii="Times New Roman" w:hAnsi="Times New Roman" w:cs="Times New Roman"/>
          <w:i/>
          <w:iCs/>
          <w:sz w:val="24"/>
          <w:szCs w:val="24"/>
          <w:shd w:val="clear" w:color="auto" w:fill="FFFFFF"/>
        </w:rPr>
        <w:t>16</w:t>
      </w:r>
      <w:r w:rsidRPr="006742B0">
        <w:rPr>
          <w:rFonts w:ascii="Times New Roman" w:hAnsi="Times New Roman" w:cs="Times New Roman"/>
          <w:sz w:val="24"/>
          <w:szCs w:val="24"/>
          <w:shd w:val="clear" w:color="auto" w:fill="FFFFFF"/>
        </w:rPr>
        <w:t>(5), p.274.</w:t>
      </w:r>
    </w:p>
    <w:p w14:paraId="1E7CC52E"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Forehand, K., Roman, J. and Schaefer, T., 2021. Supply chain efficiency in the discount store industry post COVID-19: Applying the supply chain efficiency ratio. </w:t>
      </w:r>
      <w:r w:rsidRPr="006742B0">
        <w:rPr>
          <w:rFonts w:ascii="Times New Roman" w:hAnsi="Times New Roman" w:cs="Times New Roman"/>
          <w:i/>
          <w:iCs/>
          <w:sz w:val="24"/>
          <w:szCs w:val="24"/>
          <w:shd w:val="clear" w:color="auto" w:fill="FFFFFF"/>
        </w:rPr>
        <w:t>Operations and Supply Chain Management: An International Journal</w:t>
      </w:r>
      <w:r w:rsidRPr="006742B0">
        <w:rPr>
          <w:rFonts w:ascii="Times New Roman" w:hAnsi="Times New Roman" w:cs="Times New Roman"/>
          <w:sz w:val="24"/>
          <w:szCs w:val="24"/>
          <w:shd w:val="clear" w:color="auto" w:fill="FFFFFF"/>
        </w:rPr>
        <w:t>, </w:t>
      </w:r>
      <w:r w:rsidRPr="006742B0">
        <w:rPr>
          <w:rFonts w:ascii="Times New Roman" w:hAnsi="Times New Roman" w:cs="Times New Roman"/>
          <w:i/>
          <w:iCs/>
          <w:sz w:val="24"/>
          <w:szCs w:val="24"/>
          <w:shd w:val="clear" w:color="auto" w:fill="FFFFFF"/>
        </w:rPr>
        <w:t>14</w:t>
      </w:r>
      <w:r w:rsidRPr="006742B0">
        <w:rPr>
          <w:rFonts w:ascii="Times New Roman" w:hAnsi="Times New Roman" w:cs="Times New Roman"/>
          <w:sz w:val="24"/>
          <w:szCs w:val="24"/>
          <w:shd w:val="clear" w:color="auto" w:fill="FFFFFF"/>
        </w:rPr>
        <w:t>(4), pp.423-430.</w:t>
      </w:r>
    </w:p>
    <w:p w14:paraId="33A53A59"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Huang, J., Tong, J., Wang, P. and Zheng, X., 2022, March. Application and Comparison of NPV and IRR Methods in the Company Investment Decision. In </w:t>
      </w:r>
      <w:r w:rsidRPr="006742B0">
        <w:rPr>
          <w:rFonts w:ascii="Times New Roman" w:hAnsi="Times New Roman" w:cs="Times New Roman"/>
          <w:i/>
          <w:iCs/>
          <w:sz w:val="24"/>
          <w:szCs w:val="24"/>
          <w:shd w:val="clear" w:color="auto" w:fill="FFFFFF"/>
        </w:rPr>
        <w:t>2022 7th International Conference on Financial Innovation and Economic Development (ICFIED 2022)</w:t>
      </w:r>
      <w:r w:rsidRPr="006742B0">
        <w:rPr>
          <w:rFonts w:ascii="Times New Roman" w:hAnsi="Times New Roman" w:cs="Times New Roman"/>
          <w:sz w:val="24"/>
          <w:szCs w:val="24"/>
          <w:shd w:val="clear" w:color="auto" w:fill="FFFFFF"/>
        </w:rPr>
        <w:t> (pp. 71-78). Atlantis Press.</w:t>
      </w:r>
    </w:p>
    <w:p w14:paraId="64BC2A7E"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Johnson, K., 2021. </w:t>
      </w:r>
      <w:r w:rsidRPr="006742B0">
        <w:rPr>
          <w:rFonts w:ascii="Times New Roman" w:hAnsi="Times New Roman" w:cs="Times New Roman"/>
          <w:i/>
          <w:iCs/>
          <w:sz w:val="24"/>
          <w:szCs w:val="24"/>
          <w:shd w:val="clear" w:color="auto" w:fill="FFFFFF"/>
        </w:rPr>
        <w:t>Daylighting in Supermarket Retrofits to Improve Social &amp; Economic Features</w:t>
      </w:r>
      <w:r w:rsidRPr="006742B0">
        <w:rPr>
          <w:rFonts w:ascii="Times New Roman" w:hAnsi="Times New Roman" w:cs="Times New Roman"/>
          <w:sz w:val="24"/>
          <w:szCs w:val="24"/>
          <w:shd w:val="clear" w:color="auto" w:fill="FFFFFF"/>
        </w:rPr>
        <w:t>. Rochester Institute of Technology.</w:t>
      </w:r>
    </w:p>
    <w:p w14:paraId="21B70C86"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Kumar, A., Kar, S.K., Mishra, S.K., Bansal, R. and Harichandan, S., 2022. Costco wholesale: the global expansion dilemma. </w:t>
      </w:r>
      <w:r w:rsidRPr="006742B0">
        <w:rPr>
          <w:rFonts w:ascii="Times New Roman" w:hAnsi="Times New Roman" w:cs="Times New Roman"/>
          <w:i/>
          <w:iCs/>
          <w:sz w:val="24"/>
          <w:szCs w:val="24"/>
          <w:shd w:val="clear" w:color="auto" w:fill="FFFFFF"/>
        </w:rPr>
        <w:t>Emerald Emerging Markets Case Studies</w:t>
      </w:r>
      <w:r w:rsidRPr="006742B0">
        <w:rPr>
          <w:rFonts w:ascii="Times New Roman" w:hAnsi="Times New Roman" w:cs="Times New Roman"/>
          <w:sz w:val="24"/>
          <w:szCs w:val="24"/>
          <w:shd w:val="clear" w:color="auto" w:fill="FFFFFF"/>
        </w:rPr>
        <w:t>, </w:t>
      </w:r>
      <w:r w:rsidRPr="006742B0">
        <w:rPr>
          <w:rFonts w:ascii="Times New Roman" w:hAnsi="Times New Roman" w:cs="Times New Roman"/>
          <w:i/>
          <w:iCs/>
          <w:sz w:val="24"/>
          <w:szCs w:val="24"/>
          <w:shd w:val="clear" w:color="auto" w:fill="FFFFFF"/>
        </w:rPr>
        <w:t>12</w:t>
      </w:r>
      <w:r w:rsidRPr="006742B0">
        <w:rPr>
          <w:rFonts w:ascii="Times New Roman" w:hAnsi="Times New Roman" w:cs="Times New Roman"/>
          <w:sz w:val="24"/>
          <w:szCs w:val="24"/>
          <w:shd w:val="clear" w:color="auto" w:fill="FFFFFF"/>
        </w:rPr>
        <w:t>(1), pp.1-28.</w:t>
      </w:r>
    </w:p>
    <w:p w14:paraId="066847FA"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Le, S., 2021, December. The applications of NPV in different types of markets. In </w:t>
      </w:r>
      <w:r w:rsidRPr="006742B0">
        <w:rPr>
          <w:rFonts w:ascii="Times New Roman" w:hAnsi="Times New Roman" w:cs="Times New Roman"/>
          <w:i/>
          <w:iCs/>
          <w:sz w:val="24"/>
          <w:szCs w:val="24"/>
          <w:shd w:val="clear" w:color="auto" w:fill="FFFFFF"/>
        </w:rPr>
        <w:t>2021 3rd International Conference on Economic Management and Cultural Industry (ICEMCI 2021)</w:t>
      </w:r>
      <w:r w:rsidRPr="006742B0">
        <w:rPr>
          <w:rFonts w:ascii="Times New Roman" w:hAnsi="Times New Roman" w:cs="Times New Roman"/>
          <w:sz w:val="24"/>
          <w:szCs w:val="24"/>
          <w:shd w:val="clear" w:color="auto" w:fill="FFFFFF"/>
        </w:rPr>
        <w:t> (pp. 1054-1059). Atlantis Press.</w:t>
      </w:r>
    </w:p>
    <w:p w14:paraId="699DE662"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Rahman, M.H., 2020. Financial analysis of Costco wholesale corporation: exploring the strengths and weaknesses. </w:t>
      </w:r>
      <w:r w:rsidRPr="006742B0">
        <w:rPr>
          <w:rFonts w:ascii="Times New Roman" w:hAnsi="Times New Roman" w:cs="Times New Roman"/>
          <w:i/>
          <w:iCs/>
          <w:sz w:val="24"/>
          <w:szCs w:val="24"/>
          <w:shd w:val="clear" w:color="auto" w:fill="FFFFFF"/>
        </w:rPr>
        <w:t>The Bangladesh Journal of Agricultural Economics</w:t>
      </w:r>
      <w:r w:rsidRPr="006742B0">
        <w:rPr>
          <w:rFonts w:ascii="Times New Roman" w:hAnsi="Times New Roman" w:cs="Times New Roman"/>
          <w:sz w:val="24"/>
          <w:szCs w:val="24"/>
          <w:shd w:val="clear" w:color="auto" w:fill="FFFFFF"/>
        </w:rPr>
        <w:t>, </w:t>
      </w:r>
      <w:r w:rsidRPr="006742B0">
        <w:rPr>
          <w:rFonts w:ascii="Times New Roman" w:hAnsi="Times New Roman" w:cs="Times New Roman"/>
          <w:i/>
          <w:iCs/>
          <w:sz w:val="24"/>
          <w:szCs w:val="24"/>
          <w:shd w:val="clear" w:color="auto" w:fill="FFFFFF"/>
        </w:rPr>
        <w:t>41</w:t>
      </w:r>
      <w:r w:rsidRPr="006742B0">
        <w:rPr>
          <w:rFonts w:ascii="Times New Roman" w:hAnsi="Times New Roman" w:cs="Times New Roman"/>
          <w:sz w:val="24"/>
          <w:szCs w:val="24"/>
          <w:shd w:val="clear" w:color="auto" w:fill="FFFFFF"/>
        </w:rPr>
        <w:t>(1), pp.17-34.</w:t>
      </w:r>
    </w:p>
    <w:p w14:paraId="699C3004" w14:textId="4ADCC23F"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Ran, J. and Zhao, J., 2023. Retailing Industry Investment Analysis Based on Indicators: Evidence from Costco, Walmart</w:t>
      </w:r>
      <w:r w:rsidR="0047671B" w:rsidRPr="006742B0">
        <w:rPr>
          <w:rFonts w:ascii="Times New Roman" w:hAnsi="Times New Roman" w:cs="Times New Roman"/>
          <w:sz w:val="24"/>
          <w:szCs w:val="24"/>
          <w:shd w:val="clear" w:color="auto" w:fill="FFFFFF"/>
        </w:rPr>
        <w:t>,</w:t>
      </w:r>
      <w:r w:rsidRPr="006742B0">
        <w:rPr>
          <w:rFonts w:ascii="Times New Roman" w:hAnsi="Times New Roman" w:cs="Times New Roman"/>
          <w:sz w:val="24"/>
          <w:szCs w:val="24"/>
          <w:shd w:val="clear" w:color="auto" w:fill="FFFFFF"/>
        </w:rPr>
        <w:t xml:space="preserve"> and Target. </w:t>
      </w:r>
      <w:r w:rsidRPr="006742B0">
        <w:rPr>
          <w:rFonts w:ascii="Times New Roman" w:hAnsi="Times New Roman" w:cs="Times New Roman"/>
          <w:i/>
          <w:iCs/>
          <w:sz w:val="24"/>
          <w:szCs w:val="24"/>
          <w:shd w:val="clear" w:color="auto" w:fill="FFFFFF"/>
        </w:rPr>
        <w:t>Highlights in Business, Economics and Management</w:t>
      </w:r>
      <w:r w:rsidRPr="006742B0">
        <w:rPr>
          <w:rFonts w:ascii="Times New Roman" w:hAnsi="Times New Roman" w:cs="Times New Roman"/>
          <w:sz w:val="24"/>
          <w:szCs w:val="24"/>
          <w:shd w:val="clear" w:color="auto" w:fill="FFFFFF"/>
        </w:rPr>
        <w:t>, </w:t>
      </w:r>
      <w:r w:rsidRPr="006742B0">
        <w:rPr>
          <w:rFonts w:ascii="Times New Roman" w:hAnsi="Times New Roman" w:cs="Times New Roman"/>
          <w:i/>
          <w:iCs/>
          <w:sz w:val="24"/>
          <w:szCs w:val="24"/>
          <w:shd w:val="clear" w:color="auto" w:fill="FFFFFF"/>
        </w:rPr>
        <w:t>7</w:t>
      </w:r>
      <w:r w:rsidRPr="006742B0">
        <w:rPr>
          <w:rFonts w:ascii="Times New Roman" w:hAnsi="Times New Roman" w:cs="Times New Roman"/>
          <w:sz w:val="24"/>
          <w:szCs w:val="24"/>
          <w:shd w:val="clear" w:color="auto" w:fill="FFFFFF"/>
        </w:rPr>
        <w:t>, pp.62-70.</w:t>
      </w:r>
    </w:p>
    <w:p w14:paraId="27EAF14E"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Sarisa, L., 2021. Business strategies in the retail supermarkets industry: A comparative case study analysis of Costco and Aldi.</w:t>
      </w:r>
    </w:p>
    <w:p w14:paraId="7B380DBB"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Siziba, S. and Hall, J.H., 2021. The evolution of the application of capital budgeting techniques in enterprises. </w:t>
      </w:r>
      <w:r w:rsidRPr="006742B0">
        <w:rPr>
          <w:rFonts w:ascii="Times New Roman" w:hAnsi="Times New Roman" w:cs="Times New Roman"/>
          <w:i/>
          <w:iCs/>
          <w:sz w:val="24"/>
          <w:szCs w:val="24"/>
          <w:shd w:val="clear" w:color="auto" w:fill="FFFFFF"/>
        </w:rPr>
        <w:t>Global finance journal</w:t>
      </w:r>
      <w:r w:rsidRPr="006742B0">
        <w:rPr>
          <w:rFonts w:ascii="Times New Roman" w:hAnsi="Times New Roman" w:cs="Times New Roman"/>
          <w:sz w:val="24"/>
          <w:szCs w:val="24"/>
          <w:shd w:val="clear" w:color="auto" w:fill="FFFFFF"/>
        </w:rPr>
        <w:t>, </w:t>
      </w:r>
      <w:r w:rsidRPr="006742B0">
        <w:rPr>
          <w:rFonts w:ascii="Times New Roman" w:hAnsi="Times New Roman" w:cs="Times New Roman"/>
          <w:i/>
          <w:iCs/>
          <w:sz w:val="24"/>
          <w:szCs w:val="24"/>
          <w:shd w:val="clear" w:color="auto" w:fill="FFFFFF"/>
        </w:rPr>
        <w:t>47</w:t>
      </w:r>
      <w:r w:rsidRPr="006742B0">
        <w:rPr>
          <w:rFonts w:ascii="Times New Roman" w:hAnsi="Times New Roman" w:cs="Times New Roman"/>
          <w:sz w:val="24"/>
          <w:szCs w:val="24"/>
          <w:shd w:val="clear" w:color="auto" w:fill="FFFFFF"/>
        </w:rPr>
        <w:t>, p.100504.</w:t>
      </w:r>
    </w:p>
    <w:p w14:paraId="3073BB51"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lastRenderedPageBreak/>
        <w:t>Spencer-McDaniel Sr, J.A. and Anthony, P., 2012. Sustainable Solutions Paper: Several Strategic Analyses of Costco Wholesale Corporation.</w:t>
      </w:r>
    </w:p>
    <w:p w14:paraId="62E5D9FB"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Stewart, B.L., 2021. Pandemic panic and retail reconfiguration: Consumer and supply chain responses to COVID-19. </w:t>
      </w:r>
      <w:r w:rsidRPr="006742B0">
        <w:rPr>
          <w:rFonts w:ascii="Times New Roman" w:hAnsi="Times New Roman" w:cs="Times New Roman"/>
          <w:i/>
          <w:iCs/>
          <w:sz w:val="24"/>
          <w:szCs w:val="24"/>
          <w:shd w:val="clear" w:color="auto" w:fill="FFFFFF"/>
        </w:rPr>
        <w:t>Journal of Family &amp; Consumer Sciences</w:t>
      </w:r>
      <w:r w:rsidRPr="006742B0">
        <w:rPr>
          <w:rFonts w:ascii="Times New Roman" w:hAnsi="Times New Roman" w:cs="Times New Roman"/>
          <w:sz w:val="24"/>
          <w:szCs w:val="24"/>
          <w:shd w:val="clear" w:color="auto" w:fill="FFFFFF"/>
        </w:rPr>
        <w:t>, </w:t>
      </w:r>
      <w:r w:rsidRPr="006742B0">
        <w:rPr>
          <w:rFonts w:ascii="Times New Roman" w:hAnsi="Times New Roman" w:cs="Times New Roman"/>
          <w:i/>
          <w:iCs/>
          <w:sz w:val="24"/>
          <w:szCs w:val="24"/>
          <w:shd w:val="clear" w:color="auto" w:fill="FFFFFF"/>
        </w:rPr>
        <w:t>113</w:t>
      </w:r>
      <w:r w:rsidRPr="006742B0">
        <w:rPr>
          <w:rFonts w:ascii="Times New Roman" w:hAnsi="Times New Roman" w:cs="Times New Roman"/>
          <w:sz w:val="24"/>
          <w:szCs w:val="24"/>
          <w:shd w:val="clear" w:color="auto" w:fill="FFFFFF"/>
        </w:rPr>
        <w:t>(1), pp.7-16.</w:t>
      </w:r>
    </w:p>
    <w:p w14:paraId="26E85DEF"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Supriono, S., 2022. Analysis of the Effect of Return on Equity, Debt-to-equity, Net Profit Margin on Price-to-earnings Ratio. </w:t>
      </w:r>
      <w:r w:rsidRPr="006742B0">
        <w:rPr>
          <w:rFonts w:ascii="Times New Roman" w:hAnsi="Times New Roman" w:cs="Times New Roman"/>
          <w:i/>
          <w:iCs/>
          <w:sz w:val="24"/>
          <w:szCs w:val="24"/>
          <w:shd w:val="clear" w:color="auto" w:fill="FFFFFF"/>
        </w:rPr>
        <w:t>Economic and Business Horizon</w:t>
      </w:r>
      <w:r w:rsidRPr="006742B0">
        <w:rPr>
          <w:rFonts w:ascii="Times New Roman" w:hAnsi="Times New Roman" w:cs="Times New Roman"/>
          <w:sz w:val="24"/>
          <w:szCs w:val="24"/>
          <w:shd w:val="clear" w:color="auto" w:fill="FFFFFF"/>
        </w:rPr>
        <w:t>, </w:t>
      </w:r>
      <w:r w:rsidRPr="006742B0">
        <w:rPr>
          <w:rFonts w:ascii="Times New Roman" w:hAnsi="Times New Roman" w:cs="Times New Roman"/>
          <w:i/>
          <w:iCs/>
          <w:sz w:val="24"/>
          <w:szCs w:val="24"/>
          <w:shd w:val="clear" w:color="auto" w:fill="FFFFFF"/>
        </w:rPr>
        <w:t>1</w:t>
      </w:r>
      <w:r w:rsidRPr="006742B0">
        <w:rPr>
          <w:rFonts w:ascii="Times New Roman" w:hAnsi="Times New Roman" w:cs="Times New Roman"/>
          <w:sz w:val="24"/>
          <w:szCs w:val="24"/>
          <w:shd w:val="clear" w:color="auto" w:fill="FFFFFF"/>
        </w:rPr>
        <w:t>(1), pp.9-23.</w:t>
      </w:r>
    </w:p>
    <w:p w14:paraId="3B6854F1" w14:textId="77777777" w:rsidR="00842B62" w:rsidRPr="006742B0" w:rsidRDefault="00842B62" w:rsidP="006B43A4">
      <w:pPr>
        <w:spacing w:line="276" w:lineRule="auto"/>
        <w:jc w:val="both"/>
        <w:rPr>
          <w:rFonts w:ascii="Times New Roman" w:hAnsi="Times New Roman" w:cs="Times New Roman"/>
          <w:sz w:val="24"/>
          <w:szCs w:val="24"/>
          <w:shd w:val="clear" w:color="auto" w:fill="FFFFFF"/>
        </w:rPr>
      </w:pPr>
      <w:r w:rsidRPr="006742B0">
        <w:rPr>
          <w:rFonts w:ascii="Times New Roman" w:hAnsi="Times New Roman" w:cs="Times New Roman"/>
          <w:sz w:val="24"/>
          <w:szCs w:val="24"/>
          <w:shd w:val="clear" w:color="auto" w:fill="FFFFFF"/>
        </w:rPr>
        <w:t>Wang, H., 2024. The Strengths and Weaknesses of Costco's Business and Financial Model as well as the Potential Risk of Costco's International Development and Outlook. </w:t>
      </w:r>
      <w:r w:rsidRPr="006742B0">
        <w:rPr>
          <w:rFonts w:ascii="Times New Roman" w:hAnsi="Times New Roman" w:cs="Times New Roman"/>
          <w:i/>
          <w:iCs/>
          <w:sz w:val="24"/>
          <w:szCs w:val="24"/>
          <w:shd w:val="clear" w:color="auto" w:fill="FFFFFF"/>
        </w:rPr>
        <w:t>Highlights in Business, Economics and Management</w:t>
      </w:r>
      <w:r w:rsidRPr="006742B0">
        <w:rPr>
          <w:rFonts w:ascii="Times New Roman" w:hAnsi="Times New Roman" w:cs="Times New Roman"/>
          <w:sz w:val="24"/>
          <w:szCs w:val="24"/>
          <w:shd w:val="clear" w:color="auto" w:fill="FFFFFF"/>
        </w:rPr>
        <w:t>, </w:t>
      </w:r>
      <w:r w:rsidRPr="006742B0">
        <w:rPr>
          <w:rFonts w:ascii="Times New Roman" w:hAnsi="Times New Roman" w:cs="Times New Roman"/>
          <w:i/>
          <w:iCs/>
          <w:sz w:val="24"/>
          <w:szCs w:val="24"/>
          <w:shd w:val="clear" w:color="auto" w:fill="FFFFFF"/>
        </w:rPr>
        <w:t>24</w:t>
      </w:r>
      <w:r w:rsidRPr="006742B0">
        <w:rPr>
          <w:rFonts w:ascii="Times New Roman" w:hAnsi="Times New Roman" w:cs="Times New Roman"/>
          <w:sz w:val="24"/>
          <w:szCs w:val="24"/>
          <w:shd w:val="clear" w:color="auto" w:fill="FFFFFF"/>
        </w:rPr>
        <w:t>, pp.75-80.</w:t>
      </w:r>
    </w:p>
    <w:p w14:paraId="2F451B32" w14:textId="175E696B" w:rsidR="00D319E8" w:rsidRPr="00603DE6" w:rsidRDefault="00842B62" w:rsidP="006B43A4">
      <w:pPr>
        <w:spacing w:line="276" w:lineRule="auto"/>
        <w:jc w:val="both"/>
        <w:rPr>
          <w:rFonts w:ascii="Times New Roman" w:hAnsi="Times New Roman" w:cs="Times New Roman"/>
          <w:b/>
          <w:bCs/>
          <w:sz w:val="24"/>
          <w:szCs w:val="24"/>
          <w:lang w:val="en-US"/>
        </w:rPr>
      </w:pPr>
      <w:r w:rsidRPr="006742B0">
        <w:rPr>
          <w:rFonts w:ascii="Times New Roman" w:hAnsi="Times New Roman" w:cs="Times New Roman"/>
          <w:sz w:val="24"/>
          <w:szCs w:val="24"/>
          <w:shd w:val="clear" w:color="auto" w:fill="FFFFFF"/>
        </w:rPr>
        <w:t>Zheng, L., 2020. </w:t>
      </w:r>
      <w:r w:rsidRPr="006742B0">
        <w:rPr>
          <w:rFonts w:ascii="Times New Roman" w:hAnsi="Times New Roman" w:cs="Times New Roman"/>
          <w:i/>
          <w:iCs/>
          <w:sz w:val="24"/>
          <w:szCs w:val="24"/>
          <w:shd w:val="clear" w:color="auto" w:fill="FFFFFF"/>
        </w:rPr>
        <w:t>Financial Strategy Analysis of Costco, Inc</w:t>
      </w:r>
      <w:r w:rsidRPr="006742B0">
        <w:rPr>
          <w:rFonts w:ascii="Times New Roman" w:hAnsi="Times New Roman" w:cs="Times New Roman"/>
          <w:sz w:val="24"/>
          <w:szCs w:val="24"/>
          <w:shd w:val="clear" w:color="auto" w:fill="FFFFFF"/>
        </w:rPr>
        <w:t>. California State University, Los Angeles.</w:t>
      </w:r>
    </w:p>
    <w:sectPr w:rsidR="00D319E8" w:rsidRPr="00603DE6" w:rsidSect="00017334">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6CE034" w14:textId="77777777" w:rsidR="00017334" w:rsidRDefault="00017334">
      <w:pPr>
        <w:spacing w:after="0" w:line="240" w:lineRule="auto"/>
      </w:pPr>
      <w:r>
        <w:separator/>
      </w:r>
    </w:p>
  </w:endnote>
  <w:endnote w:type="continuationSeparator" w:id="0">
    <w:p w14:paraId="773872F9" w14:textId="77777777" w:rsidR="00017334" w:rsidRDefault="000173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Latha">
    <w:panose1 w:val="02000400000000000000"/>
    <w:charset w:val="00"/>
    <w:family w:val="swiss"/>
    <w:pitch w:val="variable"/>
    <w:sig w:usb0="001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16B485" w14:textId="77777777" w:rsidR="000753E8" w:rsidRDefault="000753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5111776"/>
      <w:docPartObj>
        <w:docPartGallery w:val="Page Numbers (Bottom of Page)"/>
        <w:docPartUnique/>
      </w:docPartObj>
    </w:sdtPr>
    <w:sdtEndPr>
      <w:rPr>
        <w:noProof/>
      </w:rPr>
    </w:sdtEndPr>
    <w:sdtContent>
      <w:p w14:paraId="33A4E93B" w14:textId="77777777" w:rsidR="000753E8"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9443C4" w14:textId="77777777" w:rsidR="000753E8" w:rsidRDefault="000753E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B51BB5" w14:textId="77777777" w:rsidR="000753E8" w:rsidRDefault="000753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CC432E" w14:textId="77777777" w:rsidR="00017334" w:rsidRDefault="00017334">
      <w:pPr>
        <w:spacing w:after="0" w:line="240" w:lineRule="auto"/>
      </w:pPr>
      <w:r>
        <w:separator/>
      </w:r>
    </w:p>
  </w:footnote>
  <w:footnote w:type="continuationSeparator" w:id="0">
    <w:p w14:paraId="734B0907" w14:textId="77777777" w:rsidR="00017334" w:rsidRDefault="000173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C482E" w14:textId="77777777" w:rsidR="000753E8" w:rsidRDefault="000753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B3533" w14:textId="77777777" w:rsidR="000753E8" w:rsidRDefault="000753E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47CCD7" w14:textId="77777777" w:rsidR="000753E8" w:rsidRDefault="000753E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3DAB"/>
    <w:rsid w:val="00000987"/>
    <w:rsid w:val="00004103"/>
    <w:rsid w:val="00017334"/>
    <w:rsid w:val="0007411D"/>
    <w:rsid w:val="000753E8"/>
    <w:rsid w:val="00080DE7"/>
    <w:rsid w:val="00090323"/>
    <w:rsid w:val="00093798"/>
    <w:rsid w:val="000D2225"/>
    <w:rsid w:val="000E67F3"/>
    <w:rsid w:val="000F3EB8"/>
    <w:rsid w:val="00101A35"/>
    <w:rsid w:val="00122F74"/>
    <w:rsid w:val="00124921"/>
    <w:rsid w:val="001529C1"/>
    <w:rsid w:val="0016097B"/>
    <w:rsid w:val="001617B6"/>
    <w:rsid w:val="0016547E"/>
    <w:rsid w:val="00193135"/>
    <w:rsid w:val="001C3A31"/>
    <w:rsid w:val="001D67EF"/>
    <w:rsid w:val="001E7DEC"/>
    <w:rsid w:val="001F1280"/>
    <w:rsid w:val="00223EA7"/>
    <w:rsid w:val="002259A1"/>
    <w:rsid w:val="00255C5E"/>
    <w:rsid w:val="002663DB"/>
    <w:rsid w:val="002678CF"/>
    <w:rsid w:val="00277F31"/>
    <w:rsid w:val="00285D0A"/>
    <w:rsid w:val="00295680"/>
    <w:rsid w:val="002C7DD2"/>
    <w:rsid w:val="002D2D4F"/>
    <w:rsid w:val="002F229E"/>
    <w:rsid w:val="00311BF1"/>
    <w:rsid w:val="00313DAB"/>
    <w:rsid w:val="00327AB5"/>
    <w:rsid w:val="00365E40"/>
    <w:rsid w:val="00380181"/>
    <w:rsid w:val="003848E8"/>
    <w:rsid w:val="003854D8"/>
    <w:rsid w:val="00396023"/>
    <w:rsid w:val="003B538D"/>
    <w:rsid w:val="003F2ACD"/>
    <w:rsid w:val="003F2B0C"/>
    <w:rsid w:val="0045597A"/>
    <w:rsid w:val="00465F75"/>
    <w:rsid w:val="0047671B"/>
    <w:rsid w:val="0048342A"/>
    <w:rsid w:val="0048495E"/>
    <w:rsid w:val="004B0B18"/>
    <w:rsid w:val="004C0D07"/>
    <w:rsid w:val="004C3A7D"/>
    <w:rsid w:val="004D0E63"/>
    <w:rsid w:val="004E1F35"/>
    <w:rsid w:val="004E6BF3"/>
    <w:rsid w:val="004F010C"/>
    <w:rsid w:val="00512C8F"/>
    <w:rsid w:val="005159FF"/>
    <w:rsid w:val="005376ED"/>
    <w:rsid w:val="00547ABE"/>
    <w:rsid w:val="0056648B"/>
    <w:rsid w:val="00567C78"/>
    <w:rsid w:val="0058301B"/>
    <w:rsid w:val="005B5E47"/>
    <w:rsid w:val="005C5E30"/>
    <w:rsid w:val="005D1753"/>
    <w:rsid w:val="005E24E6"/>
    <w:rsid w:val="005E7C88"/>
    <w:rsid w:val="0060227A"/>
    <w:rsid w:val="00603DE6"/>
    <w:rsid w:val="00606A44"/>
    <w:rsid w:val="00613D66"/>
    <w:rsid w:val="00614CC7"/>
    <w:rsid w:val="00616FD1"/>
    <w:rsid w:val="00632FB4"/>
    <w:rsid w:val="00640429"/>
    <w:rsid w:val="00642ACB"/>
    <w:rsid w:val="00643446"/>
    <w:rsid w:val="00660D2A"/>
    <w:rsid w:val="006742B0"/>
    <w:rsid w:val="006B43A4"/>
    <w:rsid w:val="006B468A"/>
    <w:rsid w:val="006B6376"/>
    <w:rsid w:val="006C4A82"/>
    <w:rsid w:val="006D654F"/>
    <w:rsid w:val="006E2743"/>
    <w:rsid w:val="006E70E0"/>
    <w:rsid w:val="006F7172"/>
    <w:rsid w:val="00735DB0"/>
    <w:rsid w:val="00760F21"/>
    <w:rsid w:val="0077744E"/>
    <w:rsid w:val="00792C1D"/>
    <w:rsid w:val="007D7BAD"/>
    <w:rsid w:val="00813738"/>
    <w:rsid w:val="00824CDD"/>
    <w:rsid w:val="00842B62"/>
    <w:rsid w:val="00851CDD"/>
    <w:rsid w:val="00861E57"/>
    <w:rsid w:val="00864380"/>
    <w:rsid w:val="008829F1"/>
    <w:rsid w:val="008834B5"/>
    <w:rsid w:val="00886A4C"/>
    <w:rsid w:val="008876BD"/>
    <w:rsid w:val="00890668"/>
    <w:rsid w:val="00891055"/>
    <w:rsid w:val="008A1BA4"/>
    <w:rsid w:val="008B2EFB"/>
    <w:rsid w:val="008C680B"/>
    <w:rsid w:val="00943F26"/>
    <w:rsid w:val="00961BE0"/>
    <w:rsid w:val="009837E8"/>
    <w:rsid w:val="00992544"/>
    <w:rsid w:val="009D12E4"/>
    <w:rsid w:val="009D5812"/>
    <w:rsid w:val="009E5335"/>
    <w:rsid w:val="00A1268C"/>
    <w:rsid w:val="00A13AE6"/>
    <w:rsid w:val="00A2157A"/>
    <w:rsid w:val="00A60B9A"/>
    <w:rsid w:val="00A67597"/>
    <w:rsid w:val="00A752BD"/>
    <w:rsid w:val="00A84CF5"/>
    <w:rsid w:val="00AA584F"/>
    <w:rsid w:val="00AB48AC"/>
    <w:rsid w:val="00AD192C"/>
    <w:rsid w:val="00AD19BD"/>
    <w:rsid w:val="00AE7CB5"/>
    <w:rsid w:val="00AF0E2C"/>
    <w:rsid w:val="00B036C7"/>
    <w:rsid w:val="00B07CCD"/>
    <w:rsid w:val="00B451CA"/>
    <w:rsid w:val="00B5145D"/>
    <w:rsid w:val="00B51C2C"/>
    <w:rsid w:val="00B63E94"/>
    <w:rsid w:val="00B676E6"/>
    <w:rsid w:val="00B951D4"/>
    <w:rsid w:val="00BC73C4"/>
    <w:rsid w:val="00BD6702"/>
    <w:rsid w:val="00C056A8"/>
    <w:rsid w:val="00C139E2"/>
    <w:rsid w:val="00C22D2F"/>
    <w:rsid w:val="00C25F8C"/>
    <w:rsid w:val="00C342C5"/>
    <w:rsid w:val="00C406AD"/>
    <w:rsid w:val="00C44795"/>
    <w:rsid w:val="00C45E5C"/>
    <w:rsid w:val="00C514C8"/>
    <w:rsid w:val="00C54584"/>
    <w:rsid w:val="00C6769A"/>
    <w:rsid w:val="00C82D22"/>
    <w:rsid w:val="00CB47E6"/>
    <w:rsid w:val="00CD2CE5"/>
    <w:rsid w:val="00CE09BC"/>
    <w:rsid w:val="00CE6AAD"/>
    <w:rsid w:val="00D03C2B"/>
    <w:rsid w:val="00D319E8"/>
    <w:rsid w:val="00D33D7C"/>
    <w:rsid w:val="00D4016A"/>
    <w:rsid w:val="00D40E6D"/>
    <w:rsid w:val="00D53993"/>
    <w:rsid w:val="00D77B5B"/>
    <w:rsid w:val="00D836C9"/>
    <w:rsid w:val="00D841A7"/>
    <w:rsid w:val="00D93282"/>
    <w:rsid w:val="00DA5E81"/>
    <w:rsid w:val="00DC1BFA"/>
    <w:rsid w:val="00DF5B58"/>
    <w:rsid w:val="00E129C8"/>
    <w:rsid w:val="00E17544"/>
    <w:rsid w:val="00E30AC1"/>
    <w:rsid w:val="00E54F36"/>
    <w:rsid w:val="00E55153"/>
    <w:rsid w:val="00E85C10"/>
    <w:rsid w:val="00E86D16"/>
    <w:rsid w:val="00EA631E"/>
    <w:rsid w:val="00EB3FE3"/>
    <w:rsid w:val="00EE18AE"/>
    <w:rsid w:val="00EE6672"/>
    <w:rsid w:val="00EF084E"/>
    <w:rsid w:val="00F1575C"/>
    <w:rsid w:val="00F15E8E"/>
    <w:rsid w:val="00F34484"/>
    <w:rsid w:val="00F637FF"/>
    <w:rsid w:val="00F657B2"/>
    <w:rsid w:val="00F735A1"/>
    <w:rsid w:val="00F81050"/>
    <w:rsid w:val="00F8217B"/>
    <w:rsid w:val="00F930EE"/>
    <w:rsid w:val="00F95ABF"/>
    <w:rsid w:val="00FA70F7"/>
    <w:rsid w:val="00FB254D"/>
    <w:rsid w:val="00FD71FB"/>
    <w:rsid w:val="00FF4448"/>
    <w:rsid w:val="00FF5AEB"/>
    <w:rsid w:val="00FF66F6"/>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1F9846"/>
  <w15:chartTrackingRefBased/>
  <w15:docId w15:val="{E27765C7-48DC-4CFB-8531-9C10879B3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B62"/>
    <w:rPr>
      <w:rFonts w:cs="Latha"/>
    </w:rPr>
  </w:style>
  <w:style w:type="paragraph" w:styleId="Heading1">
    <w:name w:val="heading 1"/>
    <w:basedOn w:val="Normal"/>
    <w:next w:val="Normal"/>
    <w:link w:val="Heading1Char"/>
    <w:uiPriority w:val="9"/>
    <w:qFormat/>
    <w:rsid w:val="00842B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F0E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F2B0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B6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42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2B62"/>
    <w:rPr>
      <w:rFonts w:cs="Latha"/>
    </w:rPr>
  </w:style>
  <w:style w:type="paragraph" w:styleId="Footer">
    <w:name w:val="footer"/>
    <w:basedOn w:val="Normal"/>
    <w:link w:val="FooterChar"/>
    <w:uiPriority w:val="99"/>
    <w:unhideWhenUsed/>
    <w:rsid w:val="00842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2B62"/>
    <w:rPr>
      <w:rFonts w:cs="Latha"/>
    </w:rPr>
  </w:style>
  <w:style w:type="table" w:styleId="TableGrid">
    <w:name w:val="Table Grid"/>
    <w:basedOn w:val="TableNormal"/>
    <w:uiPriority w:val="39"/>
    <w:rsid w:val="00842B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rsid w:val="00842B62"/>
    <w:pPr>
      <w:widowControl w:val="0"/>
      <w:autoSpaceDE w:val="0"/>
      <w:autoSpaceDN w:val="0"/>
      <w:spacing w:after="0" w:line="272" w:lineRule="exact"/>
      <w:jc w:val="right"/>
    </w:pPr>
    <w:rPr>
      <w:rFonts w:ascii="Times New Roman" w:eastAsia="Times New Roman" w:hAnsi="Times New Roman" w:cs="Times New Roman"/>
      <w:kern w:val="0"/>
      <w:lang w:val="en-US" w:bidi="ar-SA"/>
      <w14:ligatures w14:val="none"/>
    </w:rPr>
  </w:style>
  <w:style w:type="character" w:styleId="Hyperlink">
    <w:name w:val="Hyperlink"/>
    <w:basedOn w:val="DefaultParagraphFont"/>
    <w:uiPriority w:val="99"/>
    <w:unhideWhenUsed/>
    <w:rsid w:val="00842B62"/>
    <w:rPr>
      <w:color w:val="0563C1" w:themeColor="hyperlink"/>
      <w:u w:val="single"/>
    </w:rPr>
  </w:style>
  <w:style w:type="paragraph" w:styleId="TOCHeading">
    <w:name w:val="TOC Heading"/>
    <w:basedOn w:val="Heading1"/>
    <w:next w:val="Normal"/>
    <w:uiPriority w:val="39"/>
    <w:unhideWhenUsed/>
    <w:qFormat/>
    <w:rsid w:val="00842B62"/>
    <w:pPr>
      <w:outlineLvl w:val="9"/>
    </w:pPr>
    <w:rPr>
      <w:kern w:val="0"/>
      <w:lang w:val="en-US" w:bidi="ar-SA"/>
      <w14:ligatures w14:val="none"/>
    </w:rPr>
  </w:style>
  <w:style w:type="paragraph" w:styleId="TOC1">
    <w:name w:val="toc 1"/>
    <w:basedOn w:val="Normal"/>
    <w:next w:val="Normal"/>
    <w:autoRedefine/>
    <w:uiPriority w:val="39"/>
    <w:unhideWhenUsed/>
    <w:rsid w:val="00842B62"/>
    <w:pPr>
      <w:spacing w:after="100"/>
    </w:pPr>
  </w:style>
  <w:style w:type="paragraph" w:styleId="NoSpacing">
    <w:name w:val="No Spacing"/>
    <w:link w:val="NoSpacingChar"/>
    <w:uiPriority w:val="1"/>
    <w:qFormat/>
    <w:rsid w:val="006C4A82"/>
    <w:pPr>
      <w:spacing w:after="0" w:line="240" w:lineRule="auto"/>
    </w:pPr>
    <w:rPr>
      <w:rFonts w:eastAsiaTheme="minorEastAsia"/>
      <w:kern w:val="0"/>
      <w:lang w:val="en-US" w:bidi="ar-SA"/>
      <w14:ligatures w14:val="none"/>
    </w:rPr>
  </w:style>
  <w:style w:type="character" w:customStyle="1" w:styleId="NoSpacingChar">
    <w:name w:val="No Spacing Char"/>
    <w:basedOn w:val="DefaultParagraphFont"/>
    <w:link w:val="NoSpacing"/>
    <w:uiPriority w:val="1"/>
    <w:rsid w:val="006C4A82"/>
    <w:rPr>
      <w:rFonts w:eastAsiaTheme="minorEastAsia"/>
      <w:kern w:val="0"/>
      <w:lang w:val="en-US" w:bidi="ar-SA"/>
      <w14:ligatures w14:val="none"/>
    </w:rPr>
  </w:style>
  <w:style w:type="character" w:customStyle="1" w:styleId="Heading2Char">
    <w:name w:val="Heading 2 Char"/>
    <w:basedOn w:val="DefaultParagraphFont"/>
    <w:link w:val="Heading2"/>
    <w:uiPriority w:val="9"/>
    <w:rsid w:val="00AF0E2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93282"/>
    <w:pPr>
      <w:spacing w:after="100"/>
      <w:ind w:left="220"/>
    </w:pPr>
  </w:style>
  <w:style w:type="character" w:styleId="FollowedHyperlink">
    <w:name w:val="FollowedHyperlink"/>
    <w:basedOn w:val="DefaultParagraphFont"/>
    <w:uiPriority w:val="99"/>
    <w:semiHidden/>
    <w:unhideWhenUsed/>
    <w:rsid w:val="00311BF1"/>
    <w:rPr>
      <w:color w:val="954F72" w:themeColor="followedHyperlink"/>
      <w:u w:val="single"/>
    </w:rPr>
  </w:style>
  <w:style w:type="character" w:customStyle="1" w:styleId="Heading3Char">
    <w:name w:val="Heading 3 Char"/>
    <w:basedOn w:val="DefaultParagraphFont"/>
    <w:link w:val="Heading3"/>
    <w:uiPriority w:val="9"/>
    <w:rsid w:val="003F2B0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829F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77099">
      <w:bodyDiv w:val="1"/>
      <w:marLeft w:val="0"/>
      <w:marRight w:val="0"/>
      <w:marTop w:val="0"/>
      <w:marBottom w:val="0"/>
      <w:divBdr>
        <w:top w:val="none" w:sz="0" w:space="0" w:color="auto"/>
        <w:left w:val="none" w:sz="0" w:space="0" w:color="auto"/>
        <w:bottom w:val="none" w:sz="0" w:space="0" w:color="auto"/>
        <w:right w:val="none" w:sz="0" w:space="0" w:color="auto"/>
      </w:divBdr>
    </w:div>
    <w:div w:id="63840626">
      <w:bodyDiv w:val="1"/>
      <w:marLeft w:val="0"/>
      <w:marRight w:val="0"/>
      <w:marTop w:val="0"/>
      <w:marBottom w:val="0"/>
      <w:divBdr>
        <w:top w:val="none" w:sz="0" w:space="0" w:color="auto"/>
        <w:left w:val="none" w:sz="0" w:space="0" w:color="auto"/>
        <w:bottom w:val="none" w:sz="0" w:space="0" w:color="auto"/>
        <w:right w:val="none" w:sz="0" w:space="0" w:color="auto"/>
      </w:divBdr>
    </w:div>
    <w:div w:id="74129676">
      <w:bodyDiv w:val="1"/>
      <w:marLeft w:val="0"/>
      <w:marRight w:val="0"/>
      <w:marTop w:val="0"/>
      <w:marBottom w:val="0"/>
      <w:divBdr>
        <w:top w:val="none" w:sz="0" w:space="0" w:color="auto"/>
        <w:left w:val="none" w:sz="0" w:space="0" w:color="auto"/>
        <w:bottom w:val="none" w:sz="0" w:space="0" w:color="auto"/>
        <w:right w:val="none" w:sz="0" w:space="0" w:color="auto"/>
      </w:divBdr>
    </w:div>
    <w:div w:id="79959249">
      <w:bodyDiv w:val="1"/>
      <w:marLeft w:val="0"/>
      <w:marRight w:val="0"/>
      <w:marTop w:val="0"/>
      <w:marBottom w:val="0"/>
      <w:divBdr>
        <w:top w:val="none" w:sz="0" w:space="0" w:color="auto"/>
        <w:left w:val="none" w:sz="0" w:space="0" w:color="auto"/>
        <w:bottom w:val="none" w:sz="0" w:space="0" w:color="auto"/>
        <w:right w:val="none" w:sz="0" w:space="0" w:color="auto"/>
      </w:divBdr>
    </w:div>
    <w:div w:id="174269641">
      <w:bodyDiv w:val="1"/>
      <w:marLeft w:val="0"/>
      <w:marRight w:val="0"/>
      <w:marTop w:val="0"/>
      <w:marBottom w:val="0"/>
      <w:divBdr>
        <w:top w:val="none" w:sz="0" w:space="0" w:color="auto"/>
        <w:left w:val="none" w:sz="0" w:space="0" w:color="auto"/>
        <w:bottom w:val="none" w:sz="0" w:space="0" w:color="auto"/>
        <w:right w:val="none" w:sz="0" w:space="0" w:color="auto"/>
      </w:divBdr>
    </w:div>
    <w:div w:id="204221051">
      <w:bodyDiv w:val="1"/>
      <w:marLeft w:val="0"/>
      <w:marRight w:val="0"/>
      <w:marTop w:val="0"/>
      <w:marBottom w:val="0"/>
      <w:divBdr>
        <w:top w:val="none" w:sz="0" w:space="0" w:color="auto"/>
        <w:left w:val="none" w:sz="0" w:space="0" w:color="auto"/>
        <w:bottom w:val="none" w:sz="0" w:space="0" w:color="auto"/>
        <w:right w:val="none" w:sz="0" w:space="0" w:color="auto"/>
      </w:divBdr>
    </w:div>
    <w:div w:id="242566993">
      <w:bodyDiv w:val="1"/>
      <w:marLeft w:val="0"/>
      <w:marRight w:val="0"/>
      <w:marTop w:val="0"/>
      <w:marBottom w:val="0"/>
      <w:divBdr>
        <w:top w:val="none" w:sz="0" w:space="0" w:color="auto"/>
        <w:left w:val="none" w:sz="0" w:space="0" w:color="auto"/>
        <w:bottom w:val="none" w:sz="0" w:space="0" w:color="auto"/>
        <w:right w:val="none" w:sz="0" w:space="0" w:color="auto"/>
      </w:divBdr>
    </w:div>
    <w:div w:id="268271478">
      <w:bodyDiv w:val="1"/>
      <w:marLeft w:val="0"/>
      <w:marRight w:val="0"/>
      <w:marTop w:val="0"/>
      <w:marBottom w:val="0"/>
      <w:divBdr>
        <w:top w:val="none" w:sz="0" w:space="0" w:color="auto"/>
        <w:left w:val="none" w:sz="0" w:space="0" w:color="auto"/>
        <w:bottom w:val="none" w:sz="0" w:space="0" w:color="auto"/>
        <w:right w:val="none" w:sz="0" w:space="0" w:color="auto"/>
      </w:divBdr>
    </w:div>
    <w:div w:id="319622721">
      <w:bodyDiv w:val="1"/>
      <w:marLeft w:val="0"/>
      <w:marRight w:val="0"/>
      <w:marTop w:val="0"/>
      <w:marBottom w:val="0"/>
      <w:divBdr>
        <w:top w:val="none" w:sz="0" w:space="0" w:color="auto"/>
        <w:left w:val="none" w:sz="0" w:space="0" w:color="auto"/>
        <w:bottom w:val="none" w:sz="0" w:space="0" w:color="auto"/>
        <w:right w:val="none" w:sz="0" w:space="0" w:color="auto"/>
      </w:divBdr>
    </w:div>
    <w:div w:id="351957700">
      <w:bodyDiv w:val="1"/>
      <w:marLeft w:val="0"/>
      <w:marRight w:val="0"/>
      <w:marTop w:val="0"/>
      <w:marBottom w:val="0"/>
      <w:divBdr>
        <w:top w:val="none" w:sz="0" w:space="0" w:color="auto"/>
        <w:left w:val="none" w:sz="0" w:space="0" w:color="auto"/>
        <w:bottom w:val="none" w:sz="0" w:space="0" w:color="auto"/>
        <w:right w:val="none" w:sz="0" w:space="0" w:color="auto"/>
      </w:divBdr>
    </w:div>
    <w:div w:id="364060470">
      <w:bodyDiv w:val="1"/>
      <w:marLeft w:val="0"/>
      <w:marRight w:val="0"/>
      <w:marTop w:val="0"/>
      <w:marBottom w:val="0"/>
      <w:divBdr>
        <w:top w:val="none" w:sz="0" w:space="0" w:color="auto"/>
        <w:left w:val="none" w:sz="0" w:space="0" w:color="auto"/>
        <w:bottom w:val="none" w:sz="0" w:space="0" w:color="auto"/>
        <w:right w:val="none" w:sz="0" w:space="0" w:color="auto"/>
      </w:divBdr>
    </w:div>
    <w:div w:id="451285208">
      <w:bodyDiv w:val="1"/>
      <w:marLeft w:val="0"/>
      <w:marRight w:val="0"/>
      <w:marTop w:val="0"/>
      <w:marBottom w:val="0"/>
      <w:divBdr>
        <w:top w:val="none" w:sz="0" w:space="0" w:color="auto"/>
        <w:left w:val="none" w:sz="0" w:space="0" w:color="auto"/>
        <w:bottom w:val="none" w:sz="0" w:space="0" w:color="auto"/>
        <w:right w:val="none" w:sz="0" w:space="0" w:color="auto"/>
      </w:divBdr>
    </w:div>
    <w:div w:id="472480097">
      <w:bodyDiv w:val="1"/>
      <w:marLeft w:val="0"/>
      <w:marRight w:val="0"/>
      <w:marTop w:val="0"/>
      <w:marBottom w:val="0"/>
      <w:divBdr>
        <w:top w:val="none" w:sz="0" w:space="0" w:color="auto"/>
        <w:left w:val="none" w:sz="0" w:space="0" w:color="auto"/>
        <w:bottom w:val="none" w:sz="0" w:space="0" w:color="auto"/>
        <w:right w:val="none" w:sz="0" w:space="0" w:color="auto"/>
      </w:divBdr>
    </w:div>
    <w:div w:id="565343336">
      <w:bodyDiv w:val="1"/>
      <w:marLeft w:val="0"/>
      <w:marRight w:val="0"/>
      <w:marTop w:val="0"/>
      <w:marBottom w:val="0"/>
      <w:divBdr>
        <w:top w:val="none" w:sz="0" w:space="0" w:color="auto"/>
        <w:left w:val="none" w:sz="0" w:space="0" w:color="auto"/>
        <w:bottom w:val="none" w:sz="0" w:space="0" w:color="auto"/>
        <w:right w:val="none" w:sz="0" w:space="0" w:color="auto"/>
      </w:divBdr>
    </w:div>
    <w:div w:id="569921410">
      <w:bodyDiv w:val="1"/>
      <w:marLeft w:val="0"/>
      <w:marRight w:val="0"/>
      <w:marTop w:val="0"/>
      <w:marBottom w:val="0"/>
      <w:divBdr>
        <w:top w:val="none" w:sz="0" w:space="0" w:color="auto"/>
        <w:left w:val="none" w:sz="0" w:space="0" w:color="auto"/>
        <w:bottom w:val="none" w:sz="0" w:space="0" w:color="auto"/>
        <w:right w:val="none" w:sz="0" w:space="0" w:color="auto"/>
      </w:divBdr>
    </w:div>
    <w:div w:id="585842558">
      <w:bodyDiv w:val="1"/>
      <w:marLeft w:val="0"/>
      <w:marRight w:val="0"/>
      <w:marTop w:val="0"/>
      <w:marBottom w:val="0"/>
      <w:divBdr>
        <w:top w:val="none" w:sz="0" w:space="0" w:color="auto"/>
        <w:left w:val="none" w:sz="0" w:space="0" w:color="auto"/>
        <w:bottom w:val="none" w:sz="0" w:space="0" w:color="auto"/>
        <w:right w:val="none" w:sz="0" w:space="0" w:color="auto"/>
      </w:divBdr>
    </w:div>
    <w:div w:id="630942909">
      <w:bodyDiv w:val="1"/>
      <w:marLeft w:val="0"/>
      <w:marRight w:val="0"/>
      <w:marTop w:val="0"/>
      <w:marBottom w:val="0"/>
      <w:divBdr>
        <w:top w:val="none" w:sz="0" w:space="0" w:color="auto"/>
        <w:left w:val="none" w:sz="0" w:space="0" w:color="auto"/>
        <w:bottom w:val="none" w:sz="0" w:space="0" w:color="auto"/>
        <w:right w:val="none" w:sz="0" w:space="0" w:color="auto"/>
      </w:divBdr>
    </w:div>
    <w:div w:id="726487319">
      <w:bodyDiv w:val="1"/>
      <w:marLeft w:val="0"/>
      <w:marRight w:val="0"/>
      <w:marTop w:val="0"/>
      <w:marBottom w:val="0"/>
      <w:divBdr>
        <w:top w:val="none" w:sz="0" w:space="0" w:color="auto"/>
        <w:left w:val="none" w:sz="0" w:space="0" w:color="auto"/>
        <w:bottom w:val="none" w:sz="0" w:space="0" w:color="auto"/>
        <w:right w:val="none" w:sz="0" w:space="0" w:color="auto"/>
      </w:divBdr>
    </w:div>
    <w:div w:id="804934405">
      <w:bodyDiv w:val="1"/>
      <w:marLeft w:val="0"/>
      <w:marRight w:val="0"/>
      <w:marTop w:val="0"/>
      <w:marBottom w:val="0"/>
      <w:divBdr>
        <w:top w:val="none" w:sz="0" w:space="0" w:color="auto"/>
        <w:left w:val="none" w:sz="0" w:space="0" w:color="auto"/>
        <w:bottom w:val="none" w:sz="0" w:space="0" w:color="auto"/>
        <w:right w:val="none" w:sz="0" w:space="0" w:color="auto"/>
      </w:divBdr>
    </w:div>
    <w:div w:id="857701577">
      <w:bodyDiv w:val="1"/>
      <w:marLeft w:val="0"/>
      <w:marRight w:val="0"/>
      <w:marTop w:val="0"/>
      <w:marBottom w:val="0"/>
      <w:divBdr>
        <w:top w:val="none" w:sz="0" w:space="0" w:color="auto"/>
        <w:left w:val="none" w:sz="0" w:space="0" w:color="auto"/>
        <w:bottom w:val="none" w:sz="0" w:space="0" w:color="auto"/>
        <w:right w:val="none" w:sz="0" w:space="0" w:color="auto"/>
      </w:divBdr>
    </w:div>
    <w:div w:id="885675936">
      <w:bodyDiv w:val="1"/>
      <w:marLeft w:val="0"/>
      <w:marRight w:val="0"/>
      <w:marTop w:val="0"/>
      <w:marBottom w:val="0"/>
      <w:divBdr>
        <w:top w:val="none" w:sz="0" w:space="0" w:color="auto"/>
        <w:left w:val="none" w:sz="0" w:space="0" w:color="auto"/>
        <w:bottom w:val="none" w:sz="0" w:space="0" w:color="auto"/>
        <w:right w:val="none" w:sz="0" w:space="0" w:color="auto"/>
      </w:divBdr>
    </w:div>
    <w:div w:id="923955177">
      <w:bodyDiv w:val="1"/>
      <w:marLeft w:val="0"/>
      <w:marRight w:val="0"/>
      <w:marTop w:val="0"/>
      <w:marBottom w:val="0"/>
      <w:divBdr>
        <w:top w:val="none" w:sz="0" w:space="0" w:color="auto"/>
        <w:left w:val="none" w:sz="0" w:space="0" w:color="auto"/>
        <w:bottom w:val="none" w:sz="0" w:space="0" w:color="auto"/>
        <w:right w:val="none" w:sz="0" w:space="0" w:color="auto"/>
      </w:divBdr>
    </w:div>
    <w:div w:id="925455639">
      <w:bodyDiv w:val="1"/>
      <w:marLeft w:val="0"/>
      <w:marRight w:val="0"/>
      <w:marTop w:val="0"/>
      <w:marBottom w:val="0"/>
      <w:divBdr>
        <w:top w:val="none" w:sz="0" w:space="0" w:color="auto"/>
        <w:left w:val="none" w:sz="0" w:space="0" w:color="auto"/>
        <w:bottom w:val="none" w:sz="0" w:space="0" w:color="auto"/>
        <w:right w:val="none" w:sz="0" w:space="0" w:color="auto"/>
      </w:divBdr>
    </w:div>
    <w:div w:id="969020763">
      <w:bodyDiv w:val="1"/>
      <w:marLeft w:val="0"/>
      <w:marRight w:val="0"/>
      <w:marTop w:val="0"/>
      <w:marBottom w:val="0"/>
      <w:divBdr>
        <w:top w:val="none" w:sz="0" w:space="0" w:color="auto"/>
        <w:left w:val="none" w:sz="0" w:space="0" w:color="auto"/>
        <w:bottom w:val="none" w:sz="0" w:space="0" w:color="auto"/>
        <w:right w:val="none" w:sz="0" w:space="0" w:color="auto"/>
      </w:divBdr>
    </w:div>
    <w:div w:id="993949057">
      <w:bodyDiv w:val="1"/>
      <w:marLeft w:val="0"/>
      <w:marRight w:val="0"/>
      <w:marTop w:val="0"/>
      <w:marBottom w:val="0"/>
      <w:divBdr>
        <w:top w:val="none" w:sz="0" w:space="0" w:color="auto"/>
        <w:left w:val="none" w:sz="0" w:space="0" w:color="auto"/>
        <w:bottom w:val="none" w:sz="0" w:space="0" w:color="auto"/>
        <w:right w:val="none" w:sz="0" w:space="0" w:color="auto"/>
      </w:divBdr>
    </w:div>
    <w:div w:id="1092049128">
      <w:bodyDiv w:val="1"/>
      <w:marLeft w:val="0"/>
      <w:marRight w:val="0"/>
      <w:marTop w:val="0"/>
      <w:marBottom w:val="0"/>
      <w:divBdr>
        <w:top w:val="none" w:sz="0" w:space="0" w:color="auto"/>
        <w:left w:val="none" w:sz="0" w:space="0" w:color="auto"/>
        <w:bottom w:val="none" w:sz="0" w:space="0" w:color="auto"/>
        <w:right w:val="none" w:sz="0" w:space="0" w:color="auto"/>
      </w:divBdr>
    </w:div>
    <w:div w:id="1110859549">
      <w:bodyDiv w:val="1"/>
      <w:marLeft w:val="0"/>
      <w:marRight w:val="0"/>
      <w:marTop w:val="0"/>
      <w:marBottom w:val="0"/>
      <w:divBdr>
        <w:top w:val="none" w:sz="0" w:space="0" w:color="auto"/>
        <w:left w:val="none" w:sz="0" w:space="0" w:color="auto"/>
        <w:bottom w:val="none" w:sz="0" w:space="0" w:color="auto"/>
        <w:right w:val="none" w:sz="0" w:space="0" w:color="auto"/>
      </w:divBdr>
    </w:div>
    <w:div w:id="1251887260">
      <w:bodyDiv w:val="1"/>
      <w:marLeft w:val="0"/>
      <w:marRight w:val="0"/>
      <w:marTop w:val="0"/>
      <w:marBottom w:val="0"/>
      <w:divBdr>
        <w:top w:val="none" w:sz="0" w:space="0" w:color="auto"/>
        <w:left w:val="none" w:sz="0" w:space="0" w:color="auto"/>
        <w:bottom w:val="none" w:sz="0" w:space="0" w:color="auto"/>
        <w:right w:val="none" w:sz="0" w:space="0" w:color="auto"/>
      </w:divBdr>
    </w:div>
    <w:div w:id="1286351385">
      <w:bodyDiv w:val="1"/>
      <w:marLeft w:val="0"/>
      <w:marRight w:val="0"/>
      <w:marTop w:val="0"/>
      <w:marBottom w:val="0"/>
      <w:divBdr>
        <w:top w:val="none" w:sz="0" w:space="0" w:color="auto"/>
        <w:left w:val="none" w:sz="0" w:space="0" w:color="auto"/>
        <w:bottom w:val="none" w:sz="0" w:space="0" w:color="auto"/>
        <w:right w:val="none" w:sz="0" w:space="0" w:color="auto"/>
      </w:divBdr>
    </w:div>
    <w:div w:id="1291398532">
      <w:bodyDiv w:val="1"/>
      <w:marLeft w:val="0"/>
      <w:marRight w:val="0"/>
      <w:marTop w:val="0"/>
      <w:marBottom w:val="0"/>
      <w:divBdr>
        <w:top w:val="none" w:sz="0" w:space="0" w:color="auto"/>
        <w:left w:val="none" w:sz="0" w:space="0" w:color="auto"/>
        <w:bottom w:val="none" w:sz="0" w:space="0" w:color="auto"/>
        <w:right w:val="none" w:sz="0" w:space="0" w:color="auto"/>
      </w:divBdr>
    </w:div>
    <w:div w:id="1357384234">
      <w:bodyDiv w:val="1"/>
      <w:marLeft w:val="0"/>
      <w:marRight w:val="0"/>
      <w:marTop w:val="0"/>
      <w:marBottom w:val="0"/>
      <w:divBdr>
        <w:top w:val="none" w:sz="0" w:space="0" w:color="auto"/>
        <w:left w:val="none" w:sz="0" w:space="0" w:color="auto"/>
        <w:bottom w:val="none" w:sz="0" w:space="0" w:color="auto"/>
        <w:right w:val="none" w:sz="0" w:space="0" w:color="auto"/>
      </w:divBdr>
    </w:div>
    <w:div w:id="1370767087">
      <w:bodyDiv w:val="1"/>
      <w:marLeft w:val="0"/>
      <w:marRight w:val="0"/>
      <w:marTop w:val="0"/>
      <w:marBottom w:val="0"/>
      <w:divBdr>
        <w:top w:val="none" w:sz="0" w:space="0" w:color="auto"/>
        <w:left w:val="none" w:sz="0" w:space="0" w:color="auto"/>
        <w:bottom w:val="none" w:sz="0" w:space="0" w:color="auto"/>
        <w:right w:val="none" w:sz="0" w:space="0" w:color="auto"/>
      </w:divBdr>
    </w:div>
    <w:div w:id="1402218002">
      <w:bodyDiv w:val="1"/>
      <w:marLeft w:val="0"/>
      <w:marRight w:val="0"/>
      <w:marTop w:val="0"/>
      <w:marBottom w:val="0"/>
      <w:divBdr>
        <w:top w:val="none" w:sz="0" w:space="0" w:color="auto"/>
        <w:left w:val="none" w:sz="0" w:space="0" w:color="auto"/>
        <w:bottom w:val="none" w:sz="0" w:space="0" w:color="auto"/>
        <w:right w:val="none" w:sz="0" w:space="0" w:color="auto"/>
      </w:divBdr>
    </w:div>
    <w:div w:id="1406495794">
      <w:bodyDiv w:val="1"/>
      <w:marLeft w:val="0"/>
      <w:marRight w:val="0"/>
      <w:marTop w:val="0"/>
      <w:marBottom w:val="0"/>
      <w:divBdr>
        <w:top w:val="none" w:sz="0" w:space="0" w:color="auto"/>
        <w:left w:val="none" w:sz="0" w:space="0" w:color="auto"/>
        <w:bottom w:val="none" w:sz="0" w:space="0" w:color="auto"/>
        <w:right w:val="none" w:sz="0" w:space="0" w:color="auto"/>
      </w:divBdr>
    </w:div>
    <w:div w:id="1457917978">
      <w:bodyDiv w:val="1"/>
      <w:marLeft w:val="0"/>
      <w:marRight w:val="0"/>
      <w:marTop w:val="0"/>
      <w:marBottom w:val="0"/>
      <w:divBdr>
        <w:top w:val="none" w:sz="0" w:space="0" w:color="auto"/>
        <w:left w:val="none" w:sz="0" w:space="0" w:color="auto"/>
        <w:bottom w:val="none" w:sz="0" w:space="0" w:color="auto"/>
        <w:right w:val="none" w:sz="0" w:space="0" w:color="auto"/>
      </w:divBdr>
    </w:div>
    <w:div w:id="1649630141">
      <w:bodyDiv w:val="1"/>
      <w:marLeft w:val="0"/>
      <w:marRight w:val="0"/>
      <w:marTop w:val="0"/>
      <w:marBottom w:val="0"/>
      <w:divBdr>
        <w:top w:val="none" w:sz="0" w:space="0" w:color="auto"/>
        <w:left w:val="none" w:sz="0" w:space="0" w:color="auto"/>
        <w:bottom w:val="none" w:sz="0" w:space="0" w:color="auto"/>
        <w:right w:val="none" w:sz="0" w:space="0" w:color="auto"/>
      </w:divBdr>
    </w:div>
    <w:div w:id="1790471992">
      <w:bodyDiv w:val="1"/>
      <w:marLeft w:val="0"/>
      <w:marRight w:val="0"/>
      <w:marTop w:val="0"/>
      <w:marBottom w:val="0"/>
      <w:divBdr>
        <w:top w:val="none" w:sz="0" w:space="0" w:color="auto"/>
        <w:left w:val="none" w:sz="0" w:space="0" w:color="auto"/>
        <w:bottom w:val="none" w:sz="0" w:space="0" w:color="auto"/>
        <w:right w:val="none" w:sz="0" w:space="0" w:color="auto"/>
      </w:divBdr>
    </w:div>
    <w:div w:id="1844394399">
      <w:bodyDiv w:val="1"/>
      <w:marLeft w:val="0"/>
      <w:marRight w:val="0"/>
      <w:marTop w:val="0"/>
      <w:marBottom w:val="0"/>
      <w:divBdr>
        <w:top w:val="none" w:sz="0" w:space="0" w:color="auto"/>
        <w:left w:val="none" w:sz="0" w:space="0" w:color="auto"/>
        <w:bottom w:val="none" w:sz="0" w:space="0" w:color="auto"/>
        <w:right w:val="none" w:sz="0" w:space="0" w:color="auto"/>
      </w:divBdr>
    </w:div>
    <w:div w:id="1857578143">
      <w:bodyDiv w:val="1"/>
      <w:marLeft w:val="0"/>
      <w:marRight w:val="0"/>
      <w:marTop w:val="0"/>
      <w:marBottom w:val="0"/>
      <w:divBdr>
        <w:top w:val="none" w:sz="0" w:space="0" w:color="auto"/>
        <w:left w:val="none" w:sz="0" w:space="0" w:color="auto"/>
        <w:bottom w:val="none" w:sz="0" w:space="0" w:color="auto"/>
        <w:right w:val="none" w:sz="0" w:space="0" w:color="auto"/>
      </w:divBdr>
    </w:div>
    <w:div w:id="1874876111">
      <w:bodyDiv w:val="1"/>
      <w:marLeft w:val="0"/>
      <w:marRight w:val="0"/>
      <w:marTop w:val="0"/>
      <w:marBottom w:val="0"/>
      <w:divBdr>
        <w:top w:val="none" w:sz="0" w:space="0" w:color="auto"/>
        <w:left w:val="none" w:sz="0" w:space="0" w:color="auto"/>
        <w:bottom w:val="none" w:sz="0" w:space="0" w:color="auto"/>
        <w:right w:val="none" w:sz="0" w:space="0" w:color="auto"/>
      </w:divBdr>
    </w:div>
    <w:div w:id="1970162565">
      <w:bodyDiv w:val="1"/>
      <w:marLeft w:val="0"/>
      <w:marRight w:val="0"/>
      <w:marTop w:val="0"/>
      <w:marBottom w:val="0"/>
      <w:divBdr>
        <w:top w:val="none" w:sz="0" w:space="0" w:color="auto"/>
        <w:left w:val="none" w:sz="0" w:space="0" w:color="auto"/>
        <w:bottom w:val="none" w:sz="0" w:space="0" w:color="auto"/>
        <w:right w:val="none" w:sz="0" w:space="0" w:color="auto"/>
      </w:divBdr>
    </w:div>
    <w:div w:id="2005551754">
      <w:bodyDiv w:val="1"/>
      <w:marLeft w:val="0"/>
      <w:marRight w:val="0"/>
      <w:marTop w:val="0"/>
      <w:marBottom w:val="0"/>
      <w:divBdr>
        <w:top w:val="none" w:sz="0" w:space="0" w:color="auto"/>
        <w:left w:val="none" w:sz="0" w:space="0" w:color="auto"/>
        <w:bottom w:val="none" w:sz="0" w:space="0" w:color="auto"/>
        <w:right w:val="none" w:sz="0" w:space="0" w:color="auto"/>
      </w:divBdr>
    </w:div>
    <w:div w:id="2046366934">
      <w:bodyDiv w:val="1"/>
      <w:marLeft w:val="0"/>
      <w:marRight w:val="0"/>
      <w:marTop w:val="0"/>
      <w:marBottom w:val="0"/>
      <w:divBdr>
        <w:top w:val="none" w:sz="0" w:space="0" w:color="auto"/>
        <w:left w:val="none" w:sz="0" w:space="0" w:color="auto"/>
        <w:bottom w:val="none" w:sz="0" w:space="0" w:color="auto"/>
        <w:right w:val="none" w:sz="0" w:space="0" w:color="auto"/>
      </w:divBdr>
    </w:div>
    <w:div w:id="2048136829">
      <w:bodyDiv w:val="1"/>
      <w:marLeft w:val="0"/>
      <w:marRight w:val="0"/>
      <w:marTop w:val="0"/>
      <w:marBottom w:val="0"/>
      <w:divBdr>
        <w:top w:val="none" w:sz="0" w:space="0" w:color="auto"/>
        <w:left w:val="none" w:sz="0" w:space="0" w:color="auto"/>
        <w:bottom w:val="none" w:sz="0" w:space="0" w:color="auto"/>
        <w:right w:val="none" w:sz="0" w:space="0" w:color="auto"/>
      </w:divBdr>
    </w:div>
    <w:div w:id="2053918155">
      <w:bodyDiv w:val="1"/>
      <w:marLeft w:val="0"/>
      <w:marRight w:val="0"/>
      <w:marTop w:val="0"/>
      <w:marBottom w:val="0"/>
      <w:divBdr>
        <w:top w:val="none" w:sz="0" w:space="0" w:color="auto"/>
        <w:left w:val="none" w:sz="0" w:space="0" w:color="auto"/>
        <w:bottom w:val="none" w:sz="0" w:space="0" w:color="auto"/>
        <w:right w:val="none" w:sz="0" w:space="0" w:color="auto"/>
      </w:divBdr>
    </w:div>
    <w:div w:id="2060324235">
      <w:bodyDiv w:val="1"/>
      <w:marLeft w:val="0"/>
      <w:marRight w:val="0"/>
      <w:marTop w:val="0"/>
      <w:marBottom w:val="0"/>
      <w:divBdr>
        <w:top w:val="none" w:sz="0" w:space="0" w:color="auto"/>
        <w:left w:val="none" w:sz="0" w:space="0" w:color="auto"/>
        <w:bottom w:val="none" w:sz="0" w:space="0" w:color="auto"/>
        <w:right w:val="none" w:sz="0" w:space="0" w:color="auto"/>
      </w:divBdr>
    </w:div>
    <w:div w:id="2124881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hyperlink" Target="https://stockanalysis.com/stocks/cost/financials/ratios/" TargetMode="External"/><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506</TotalTime>
  <Pages>18</Pages>
  <Words>6334</Words>
  <Characters>36110</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MBA- Masters of Business Administration</vt:lpstr>
    </vt:vector>
  </TitlesOfParts>
  <Company/>
  <LinksUpToDate>false</LinksUpToDate>
  <CharactersWithSpaces>42360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MBA- Masters of Business Administration</dc:title>
  <dc:subject/>
  <cp:keywords/>
  <dc:description/>
  <cp:lastModifiedBy>Mitang Malani</cp:lastModifiedBy>
  <cp:revision>138</cp:revision>
  <dcterms:created xsi:type="dcterms:W3CDTF">2024-04-06T12:24:00Z</dcterms:created>
  <dcterms:modified xsi:type="dcterms:W3CDTF">2024-04-24T00:45:00Z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d5a456bcbe04c79fc99f489ced70854cabfc8afc15a69b2780bb641bbae76dce</vt:lpwstr>
  </property>
</Properties>
</file>