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A4C237" w14:textId="77777777" w:rsidR="00DA553D" w:rsidRDefault="00DA553D">
      <w:pPr>
        <w:rPr>
          <w:b/>
          <w:bCs/>
          <w:u w:val="single"/>
          <w:lang w:val="en-US"/>
        </w:rPr>
      </w:pPr>
    </w:p>
    <w:p w14:paraId="32ADF110" w14:textId="2B48BECF" w:rsidR="00DA553D" w:rsidRPr="00DA553D" w:rsidRDefault="00DA553D" w:rsidP="00DA553D">
      <w:pPr>
        <w:rPr>
          <w:b/>
          <w:bCs/>
          <w:lang w:val="en-US"/>
        </w:rPr>
      </w:pPr>
      <w:r w:rsidRPr="00DA553D">
        <w:rPr>
          <w:b/>
          <w:bCs/>
          <w:lang w:val="en-US"/>
        </w:rPr>
        <w:t xml:space="preserve">Title: </w:t>
      </w:r>
      <w:r w:rsidRPr="00DA553D">
        <w:rPr>
          <w:b/>
          <w:bCs/>
        </w:rPr>
        <w:t>Children, Young People and Families</w:t>
      </w:r>
    </w:p>
    <w:p w14:paraId="5605C2D6" w14:textId="77777777" w:rsidR="00DA553D" w:rsidRPr="00DA553D" w:rsidRDefault="00DA553D" w:rsidP="00DA553D">
      <w:pPr>
        <w:rPr>
          <w:b/>
          <w:bCs/>
        </w:rPr>
      </w:pPr>
      <w:r w:rsidRPr="00DA553D">
        <w:rPr>
          <w:b/>
          <w:bCs/>
        </w:rPr>
        <w:t xml:space="preserve">Student Name: </w:t>
      </w:r>
      <w:proofErr w:type="spellStart"/>
      <w:r w:rsidRPr="00DA553D">
        <w:rPr>
          <w:b/>
          <w:bCs/>
        </w:rPr>
        <w:t>Rakhmay</w:t>
      </w:r>
      <w:proofErr w:type="spellEnd"/>
      <w:r w:rsidRPr="00DA553D">
        <w:rPr>
          <w:b/>
          <w:bCs/>
        </w:rPr>
        <w:t xml:space="preserve"> Ulhaq </w:t>
      </w:r>
    </w:p>
    <w:p w14:paraId="36106548" w14:textId="77777777" w:rsidR="00DA553D" w:rsidRPr="00DA553D" w:rsidRDefault="00DA553D" w:rsidP="00DA553D">
      <w:pPr>
        <w:rPr>
          <w:b/>
          <w:bCs/>
        </w:rPr>
      </w:pPr>
      <w:r w:rsidRPr="00DA553D">
        <w:rPr>
          <w:b/>
          <w:bCs/>
        </w:rPr>
        <w:t>Student ID: 1918756</w:t>
      </w:r>
    </w:p>
    <w:p w14:paraId="2E0A5752" w14:textId="160EF8D4" w:rsidR="00DA553D" w:rsidRPr="00DA553D" w:rsidRDefault="00DA553D" w:rsidP="00DA553D">
      <w:pPr>
        <w:rPr>
          <w:b/>
          <w:bCs/>
        </w:rPr>
      </w:pPr>
      <w:r w:rsidRPr="00DA553D">
        <w:rPr>
          <w:b/>
          <w:bCs/>
        </w:rPr>
        <w:t>Module code: BMHP5004_BIRM</w:t>
      </w:r>
    </w:p>
    <w:p w14:paraId="5DC4A84C" w14:textId="77777777" w:rsidR="00DA553D" w:rsidRPr="00DA553D" w:rsidRDefault="00DA553D" w:rsidP="00DA553D">
      <w:pPr>
        <w:rPr>
          <w:b/>
          <w:bCs/>
          <w:lang w:val="en-US"/>
        </w:rPr>
      </w:pPr>
      <w:r w:rsidRPr="00DA553D">
        <w:rPr>
          <w:b/>
          <w:bCs/>
        </w:rPr>
        <w:t xml:space="preserve">Lecturer’s name:  Rachael France </w:t>
      </w:r>
    </w:p>
    <w:p w14:paraId="35720987" w14:textId="77777777" w:rsidR="00DA553D" w:rsidRDefault="00DA553D">
      <w:pPr>
        <w:rPr>
          <w:b/>
          <w:bCs/>
          <w:u w:val="single"/>
          <w:lang w:val="en-US"/>
        </w:rPr>
      </w:pPr>
    </w:p>
    <w:p w14:paraId="3D4AA56C" w14:textId="77777777" w:rsidR="00DA553D" w:rsidRDefault="00DA553D">
      <w:pPr>
        <w:rPr>
          <w:b/>
          <w:bCs/>
          <w:u w:val="single"/>
          <w:lang w:val="en-US"/>
        </w:rPr>
      </w:pPr>
    </w:p>
    <w:p w14:paraId="17A6DBE0" w14:textId="77777777" w:rsidR="00DA553D" w:rsidRDefault="00DA553D">
      <w:pPr>
        <w:rPr>
          <w:b/>
          <w:bCs/>
          <w:u w:val="single"/>
          <w:lang w:val="en-US"/>
        </w:rPr>
      </w:pPr>
    </w:p>
    <w:p w14:paraId="7FAE24E6" w14:textId="77777777" w:rsidR="00DA553D" w:rsidRDefault="00DA553D">
      <w:pPr>
        <w:rPr>
          <w:b/>
          <w:bCs/>
          <w:u w:val="single"/>
          <w:lang w:val="en-US"/>
        </w:rPr>
      </w:pPr>
    </w:p>
    <w:p w14:paraId="3285ED0E" w14:textId="77777777" w:rsidR="00DA553D" w:rsidRDefault="00DA553D">
      <w:pPr>
        <w:rPr>
          <w:b/>
          <w:bCs/>
          <w:u w:val="single"/>
          <w:lang w:val="en-US"/>
        </w:rPr>
      </w:pPr>
    </w:p>
    <w:p w14:paraId="01D620E0" w14:textId="77777777" w:rsidR="00DA553D" w:rsidRDefault="00DA553D">
      <w:pPr>
        <w:rPr>
          <w:b/>
          <w:bCs/>
          <w:u w:val="single"/>
          <w:lang w:val="en-US"/>
        </w:rPr>
      </w:pPr>
    </w:p>
    <w:p w14:paraId="3DA2CA17" w14:textId="77777777" w:rsidR="00DA553D" w:rsidRDefault="00DA553D">
      <w:pPr>
        <w:rPr>
          <w:b/>
          <w:bCs/>
          <w:u w:val="single"/>
          <w:lang w:val="en-US"/>
        </w:rPr>
      </w:pPr>
    </w:p>
    <w:p w14:paraId="228E649E" w14:textId="77777777" w:rsidR="00DA553D" w:rsidRDefault="00DA553D">
      <w:pPr>
        <w:rPr>
          <w:b/>
          <w:bCs/>
          <w:u w:val="single"/>
          <w:lang w:val="en-US"/>
        </w:rPr>
      </w:pPr>
    </w:p>
    <w:p w14:paraId="3E762252" w14:textId="77777777" w:rsidR="00DA553D" w:rsidRDefault="00DA553D">
      <w:pPr>
        <w:rPr>
          <w:b/>
          <w:bCs/>
          <w:u w:val="single"/>
          <w:lang w:val="en-US"/>
        </w:rPr>
      </w:pPr>
    </w:p>
    <w:p w14:paraId="4B56BD8F" w14:textId="77777777" w:rsidR="00DA553D" w:rsidRDefault="00DA553D">
      <w:pPr>
        <w:rPr>
          <w:b/>
          <w:bCs/>
          <w:u w:val="single"/>
          <w:lang w:val="en-US"/>
        </w:rPr>
      </w:pPr>
    </w:p>
    <w:p w14:paraId="440821CF" w14:textId="77777777" w:rsidR="00DA553D" w:rsidRDefault="00DA553D">
      <w:pPr>
        <w:rPr>
          <w:b/>
          <w:bCs/>
          <w:u w:val="single"/>
          <w:lang w:val="en-US"/>
        </w:rPr>
      </w:pPr>
    </w:p>
    <w:p w14:paraId="0721F9F2" w14:textId="77777777" w:rsidR="00DA553D" w:rsidRDefault="00DA553D">
      <w:pPr>
        <w:rPr>
          <w:b/>
          <w:bCs/>
          <w:u w:val="single"/>
          <w:lang w:val="en-US"/>
        </w:rPr>
      </w:pPr>
    </w:p>
    <w:p w14:paraId="37307D11" w14:textId="77777777" w:rsidR="00DA553D" w:rsidRDefault="00DA553D">
      <w:pPr>
        <w:rPr>
          <w:b/>
          <w:bCs/>
          <w:u w:val="single"/>
          <w:lang w:val="en-US"/>
        </w:rPr>
      </w:pPr>
    </w:p>
    <w:p w14:paraId="1E8ECDD5" w14:textId="77777777" w:rsidR="00DA553D" w:rsidRDefault="00DA553D">
      <w:pPr>
        <w:rPr>
          <w:b/>
          <w:bCs/>
          <w:u w:val="single"/>
          <w:lang w:val="en-US"/>
        </w:rPr>
      </w:pPr>
    </w:p>
    <w:p w14:paraId="7AE9E039" w14:textId="77777777" w:rsidR="00DA553D" w:rsidRDefault="00DA553D">
      <w:pPr>
        <w:rPr>
          <w:b/>
          <w:bCs/>
          <w:u w:val="single"/>
          <w:lang w:val="en-US"/>
        </w:rPr>
      </w:pPr>
    </w:p>
    <w:p w14:paraId="70E179FE" w14:textId="77777777" w:rsidR="00DA553D" w:rsidRDefault="00DA553D">
      <w:pPr>
        <w:rPr>
          <w:b/>
          <w:bCs/>
          <w:u w:val="single"/>
          <w:lang w:val="en-US"/>
        </w:rPr>
      </w:pPr>
    </w:p>
    <w:p w14:paraId="6CA5CAE1" w14:textId="77777777" w:rsidR="00DA553D" w:rsidRDefault="00DA553D">
      <w:pPr>
        <w:rPr>
          <w:b/>
          <w:bCs/>
          <w:u w:val="single"/>
          <w:lang w:val="en-US"/>
        </w:rPr>
      </w:pPr>
    </w:p>
    <w:p w14:paraId="524DFEFE" w14:textId="77777777" w:rsidR="00DA553D" w:rsidRDefault="00DA553D">
      <w:pPr>
        <w:rPr>
          <w:b/>
          <w:bCs/>
          <w:u w:val="single"/>
          <w:lang w:val="en-US"/>
        </w:rPr>
      </w:pPr>
    </w:p>
    <w:p w14:paraId="42592B56" w14:textId="77777777" w:rsidR="00DA553D" w:rsidRDefault="00DA553D">
      <w:pPr>
        <w:rPr>
          <w:b/>
          <w:bCs/>
          <w:u w:val="single"/>
          <w:lang w:val="en-US"/>
        </w:rPr>
      </w:pPr>
    </w:p>
    <w:p w14:paraId="451FDB7C" w14:textId="77777777" w:rsidR="00DA553D" w:rsidRDefault="00DA553D">
      <w:pPr>
        <w:rPr>
          <w:b/>
          <w:bCs/>
          <w:u w:val="single"/>
          <w:lang w:val="en-US"/>
        </w:rPr>
      </w:pPr>
    </w:p>
    <w:p w14:paraId="5012B9F7" w14:textId="77777777" w:rsidR="00DA553D" w:rsidRDefault="00DA553D">
      <w:pPr>
        <w:rPr>
          <w:b/>
          <w:bCs/>
          <w:u w:val="single"/>
          <w:lang w:val="en-US"/>
        </w:rPr>
      </w:pPr>
    </w:p>
    <w:p w14:paraId="1995D0E3" w14:textId="77777777" w:rsidR="00DA553D" w:rsidRDefault="00DA553D">
      <w:pPr>
        <w:rPr>
          <w:b/>
          <w:bCs/>
          <w:u w:val="single"/>
          <w:lang w:val="en-US"/>
        </w:rPr>
      </w:pPr>
    </w:p>
    <w:p w14:paraId="4FD38890" w14:textId="77777777" w:rsidR="00DA553D" w:rsidRDefault="00DA553D">
      <w:pPr>
        <w:rPr>
          <w:b/>
          <w:bCs/>
          <w:u w:val="single"/>
          <w:lang w:val="en-US"/>
        </w:rPr>
      </w:pPr>
    </w:p>
    <w:p w14:paraId="61E5392B" w14:textId="77777777" w:rsidR="00DA553D" w:rsidRDefault="00DA553D">
      <w:pPr>
        <w:rPr>
          <w:b/>
          <w:bCs/>
          <w:u w:val="single"/>
          <w:lang w:val="en-US"/>
        </w:rPr>
      </w:pPr>
    </w:p>
    <w:p w14:paraId="6F84F2A7" w14:textId="77777777" w:rsidR="00DA553D" w:rsidRDefault="00DA553D">
      <w:pPr>
        <w:rPr>
          <w:b/>
          <w:bCs/>
          <w:u w:val="single"/>
          <w:lang w:val="en-US"/>
        </w:rPr>
      </w:pPr>
    </w:p>
    <w:p w14:paraId="5F591F11" w14:textId="77777777" w:rsidR="00DA553D" w:rsidRDefault="00DA553D">
      <w:pPr>
        <w:rPr>
          <w:b/>
          <w:bCs/>
          <w:u w:val="single"/>
          <w:lang w:val="en-US"/>
        </w:rPr>
      </w:pPr>
    </w:p>
    <w:p w14:paraId="0582CF27" w14:textId="77777777" w:rsidR="00DA553D" w:rsidRDefault="00DA553D">
      <w:pPr>
        <w:rPr>
          <w:b/>
          <w:bCs/>
          <w:u w:val="single"/>
          <w:lang w:val="en-US"/>
        </w:rPr>
      </w:pPr>
    </w:p>
    <w:p w14:paraId="06BB6C42" w14:textId="77777777" w:rsidR="00DA553D" w:rsidRDefault="00DA553D">
      <w:pPr>
        <w:rPr>
          <w:b/>
          <w:bCs/>
          <w:u w:val="single"/>
          <w:lang w:val="en-US"/>
        </w:rPr>
      </w:pPr>
    </w:p>
    <w:p w14:paraId="094D530E" w14:textId="77777777" w:rsidR="00DA553D" w:rsidRDefault="00DA553D">
      <w:pPr>
        <w:rPr>
          <w:b/>
          <w:bCs/>
          <w:u w:val="single"/>
          <w:lang w:val="en-US"/>
        </w:rPr>
      </w:pPr>
    </w:p>
    <w:p w14:paraId="75E6C907" w14:textId="77777777" w:rsidR="00DA553D" w:rsidRDefault="00DA553D">
      <w:pPr>
        <w:rPr>
          <w:b/>
          <w:bCs/>
          <w:u w:val="single"/>
          <w:lang w:val="en-US"/>
        </w:rPr>
      </w:pPr>
    </w:p>
    <w:p w14:paraId="13FD6896" w14:textId="76780864" w:rsidR="00024843" w:rsidRPr="0023016F" w:rsidRDefault="00666616">
      <w:pPr>
        <w:rPr>
          <w:b/>
          <w:bCs/>
          <w:u w:val="single"/>
          <w:lang w:val="en-US"/>
        </w:rPr>
      </w:pPr>
      <w:r w:rsidRPr="0023016F">
        <w:rPr>
          <w:b/>
          <w:bCs/>
          <w:u w:val="single"/>
          <w:lang w:val="en-US"/>
        </w:rPr>
        <w:t>Case study: Supporting Paper</w:t>
      </w:r>
    </w:p>
    <w:p w14:paraId="7984DE91" w14:textId="6AF9F9F2" w:rsidR="00666616" w:rsidRDefault="00666616">
      <w:pPr>
        <w:rPr>
          <w:lang w:val="en-US"/>
        </w:rPr>
      </w:pPr>
      <w:r>
        <w:rPr>
          <w:lang w:val="en-US"/>
        </w:rPr>
        <w:t xml:space="preserve">Family B were refereed by the youth offending team as one of the young adolescent boys had behavioral problems. Alongside this, there was additional challenges, such as rent arrears, parenting difficulties and excessive house moves in a short amount of time. Social services were involved due to the adolescent boy being a non-resident with his mom, but in addition to that there was younger children involved within the family, which included 2 teenage daughters and a primary school son and daughter. Risk factors were involved as these are young children below the age of 16 and thus are seen as vulnerable. The mother has parenting difficulties and there has been offending behavior within the family, therefore it is important for health and social services to get involved and protect the wellbeing of the children as they are mostly of a young age, which makes them more susceptible to risks. Another risk is the poor decisions of the mother which she made for her family, although she cares about her children, unfortunately the family have been transferring from different houses which is likely to have a negative impact on the mental, emotional and physical wellbeing of the children. The house moves are likely to affect their school and education and </w:t>
      </w:r>
      <w:r w:rsidR="005B3ACD">
        <w:rPr>
          <w:lang w:val="en-US"/>
        </w:rPr>
        <w:t xml:space="preserve">it will be more difficult to make friends as their livelihood keeps continuously is destructed. Another risk factor is the older son who was taken in local authority care, subsequently this places the other four children at a risk as the mother has parenting difficulties. Another risk factor is the mother’s partner who is not employed, thus there is no financial support from the partner, whilst the mother is unable to afford tenancy payments, we begin to question if the children’s basic needs, such as, food, clothing and essentials are being met. Hence, inter agency intervention was necessary from social care services for the protection of the children. </w:t>
      </w:r>
    </w:p>
    <w:p w14:paraId="12F6BA05" w14:textId="010F4516" w:rsidR="005B3ACD" w:rsidRDefault="005B3ACD">
      <w:pPr>
        <w:rPr>
          <w:lang w:val="en-US"/>
        </w:rPr>
      </w:pPr>
      <w:r>
        <w:rPr>
          <w:lang w:val="en-US"/>
        </w:rPr>
        <w:t xml:space="preserve">The initial referral was only including the mother and her non resident son. Then, the above factors were considered. A range of different agencies became involved </w:t>
      </w:r>
      <w:r w:rsidR="00EF02D4">
        <w:rPr>
          <w:lang w:val="en-US"/>
        </w:rPr>
        <w:t>to solve some of the initial problems, which related to living in temporary accommodation and supporting the older and younger children. The inter-agency collaboration was the most important to protect the vulnerable children, especially in a family with many different problems (</w:t>
      </w:r>
      <w:r w:rsidR="00EF02D4" w:rsidRPr="00EF02D4">
        <w:rPr>
          <w:lang w:val="en-US"/>
        </w:rPr>
        <w:t>Coates, 2017</w:t>
      </w:r>
      <w:r w:rsidR="00EF02D4">
        <w:rPr>
          <w:lang w:val="en-US"/>
        </w:rPr>
        <w:t xml:space="preserve">). Hence, many agencies were involved, yet collaboration of these agencies is unknown and their effectiveness within the family. </w:t>
      </w:r>
    </w:p>
    <w:p w14:paraId="76D21F3E" w14:textId="543FE586" w:rsidR="00A862F9" w:rsidRDefault="00EF02D4" w:rsidP="00A862F9">
      <w:pPr>
        <w:spacing w:before="240"/>
        <w:rPr>
          <w:lang w:val="en-US"/>
        </w:rPr>
      </w:pPr>
      <w:r>
        <w:rPr>
          <w:lang w:val="en-US"/>
        </w:rPr>
        <w:t xml:space="preserve">Action plan were put in place for the family to ensure they were rehoused and the agency also supported with helping the child to retain a place at the school from an impeding exclusion. One of the agencies worked with the children specifically with activities and also the older children attended sessions with them. The agencies did have some positive impact as the family was rehoused and one of the children was retained at school. Despite this, there is lack of information on the emotional wellbeing of the children. Nonetheless, many agencies were working with the family </w:t>
      </w:r>
      <w:r w:rsidR="00A862F9">
        <w:rPr>
          <w:lang w:val="en-US"/>
        </w:rPr>
        <w:t>and T</w:t>
      </w:r>
      <w:r w:rsidR="00A862F9" w:rsidRPr="00A862F9">
        <w:rPr>
          <w:lang w:val="en-US"/>
        </w:rPr>
        <w:t>he Green Paper Every Child Matters and the Children's National Service Framework Standard for Hospital Services</w:t>
      </w:r>
      <w:r w:rsidR="00A862F9">
        <w:rPr>
          <w:lang w:val="en-US"/>
        </w:rPr>
        <w:t xml:space="preserve"> highlight the significance of agencies collaborating and working together in order to protect the needs of the children, the care should be specifically for the needs of the child first, then the family (</w:t>
      </w:r>
      <w:proofErr w:type="spellStart"/>
      <w:r w:rsidR="00A862F9" w:rsidRPr="00A862F9">
        <w:rPr>
          <w:lang w:val="en-US"/>
        </w:rPr>
        <w:t>Sloper</w:t>
      </w:r>
      <w:proofErr w:type="spellEnd"/>
      <w:r w:rsidR="00A862F9" w:rsidRPr="00A862F9">
        <w:rPr>
          <w:lang w:val="en-US"/>
        </w:rPr>
        <w:t>, 2004</w:t>
      </w:r>
      <w:r w:rsidR="00A862F9">
        <w:rPr>
          <w:lang w:val="en-US"/>
        </w:rPr>
        <w:t xml:space="preserve">). The agencies worked alongside the children and the older </w:t>
      </w:r>
      <w:r w:rsidR="00A862F9">
        <w:rPr>
          <w:lang w:val="en-US"/>
        </w:rPr>
        <w:lastRenderedPageBreak/>
        <w:t>children attended some sessions, so building these relationships with the children is key to connect young people and help them make health and wellbeing decisions and provide individualized support. There is also a ‘</w:t>
      </w:r>
      <w:r w:rsidR="00A862F9" w:rsidRPr="00A862F9">
        <w:rPr>
          <w:lang w:val="en-US"/>
        </w:rPr>
        <w:t>need for multi-level approaches to drive the move from ad hoc provision of youth-friendly health care services to adolescent-responsive health care systems</w:t>
      </w:r>
      <w:r w:rsidR="00A862F9">
        <w:rPr>
          <w:lang w:val="en-US"/>
        </w:rPr>
        <w:t>’ (</w:t>
      </w:r>
      <w:proofErr w:type="spellStart"/>
      <w:r w:rsidR="00A862F9" w:rsidRPr="00A862F9">
        <w:rPr>
          <w:lang w:val="en-US"/>
        </w:rPr>
        <w:t>Dovey</w:t>
      </w:r>
      <w:proofErr w:type="spellEnd"/>
      <w:r w:rsidR="00A862F9" w:rsidRPr="00A862F9">
        <w:rPr>
          <w:lang w:val="en-US"/>
        </w:rPr>
        <w:t xml:space="preserve">-Pearce, </w:t>
      </w:r>
      <w:proofErr w:type="spellStart"/>
      <w:r w:rsidR="00A862F9" w:rsidRPr="00A862F9">
        <w:rPr>
          <w:lang w:val="en-US"/>
        </w:rPr>
        <w:t>Rapley</w:t>
      </w:r>
      <w:proofErr w:type="spellEnd"/>
      <w:r w:rsidR="00A862F9" w:rsidRPr="00A862F9">
        <w:rPr>
          <w:lang w:val="en-US"/>
        </w:rPr>
        <w:t>, McDonagh, 2020</w:t>
      </w:r>
      <w:r w:rsidR="00A862F9">
        <w:rPr>
          <w:lang w:val="en-US"/>
        </w:rPr>
        <w:t xml:space="preserve">). In my opinion, more intervention was necessary for the children, although the agency obtained housing for the children, again the emotional wellbeing of the children is unknown. We can suggest, the agencies needed to be more proactive in meeting and </w:t>
      </w:r>
      <w:r w:rsidR="00401520">
        <w:rPr>
          <w:lang w:val="en-US"/>
        </w:rPr>
        <w:t>addressing</w:t>
      </w:r>
      <w:r w:rsidR="00A862F9">
        <w:rPr>
          <w:lang w:val="en-US"/>
        </w:rPr>
        <w:t xml:space="preserve"> the emotional needs of the children</w:t>
      </w:r>
      <w:r w:rsidR="00401520">
        <w:rPr>
          <w:lang w:val="en-US"/>
        </w:rPr>
        <w:t xml:space="preserve">. </w:t>
      </w:r>
    </w:p>
    <w:p w14:paraId="32552E81" w14:textId="63E47E05" w:rsidR="00401520" w:rsidRDefault="00401520" w:rsidP="00A862F9">
      <w:pPr>
        <w:spacing w:before="240"/>
        <w:rPr>
          <w:lang w:val="en-US"/>
        </w:rPr>
      </w:pPr>
      <w:r>
        <w:rPr>
          <w:lang w:val="en-US"/>
        </w:rPr>
        <w:t>There were many agencies involved within this family, however the level of collaboration is unknown. Yet, it is stated that collaboration has developed amongst different agencies nevertheless there is still a need for professionals to find better ways of working together. Even when these agencies work together, the voices and views of children are rarely heard or recognized when compared to the professionals (Bolin, 2016). Having too many agencies involved within the family may have a negative effect, as the children’s voices may not be heard due to the overpowering effect of the different agencies involved.</w:t>
      </w:r>
    </w:p>
    <w:p w14:paraId="4FC35FCE" w14:textId="6AE1F976" w:rsidR="00401520" w:rsidRDefault="00401520" w:rsidP="0023016F">
      <w:pPr>
        <w:rPr>
          <w:lang w:val="en-US"/>
        </w:rPr>
      </w:pPr>
      <w:r>
        <w:rPr>
          <w:lang w:val="en-US"/>
        </w:rPr>
        <w:t xml:space="preserve">It is important to note </w:t>
      </w:r>
      <w:r w:rsidR="0023016F">
        <w:rPr>
          <w:lang w:val="en-US"/>
        </w:rPr>
        <w:t>collaboration</w:t>
      </w:r>
      <w:r>
        <w:rPr>
          <w:lang w:val="en-US"/>
        </w:rPr>
        <w:t xml:space="preserve"> is still important </w:t>
      </w:r>
      <w:r w:rsidR="0023016F">
        <w:rPr>
          <w:lang w:val="en-US"/>
        </w:rPr>
        <w:t>if the needs of vulnerable children and their families are to be met effectively. Collaboration has shifted from a collaboration at the frontline to collaboration at a higher management and strategic level. Strategic collaboration includes, coordination, coalition and integration (</w:t>
      </w:r>
      <w:r w:rsidR="0023016F" w:rsidRPr="0023016F">
        <w:rPr>
          <w:lang w:val="en-US"/>
        </w:rPr>
        <w:t>Horwath, Morrison, 2011</w:t>
      </w:r>
      <w:r w:rsidR="0023016F">
        <w:rPr>
          <w:lang w:val="en-US"/>
        </w:rPr>
        <w:t xml:space="preserve">). This collaboration needs to be as one team to ensure the needs of the children are met first. There is a general consensus that inter-agency work creates more efficient and user-friendly services and better outcomes. However, again it is difficult to measure this, due to other factors. Again, within the case study it is unknown if there was collaboration and if it was effective in meeting the needs of the children. </w:t>
      </w:r>
    </w:p>
    <w:p w14:paraId="3F20DC2D" w14:textId="3A9B7C18" w:rsidR="00401520" w:rsidRDefault="00401520" w:rsidP="00A862F9">
      <w:pPr>
        <w:spacing w:before="240"/>
        <w:rPr>
          <w:lang w:val="en-US"/>
        </w:rPr>
      </w:pPr>
      <w:r>
        <w:rPr>
          <w:lang w:val="en-US"/>
        </w:rPr>
        <w:t>There may have been some positive outcomes in regards to the parenting sessions, as the mother attended a few and research has suggested that when training and educating parents it has consistent positive outcomes (</w:t>
      </w:r>
      <w:r w:rsidRPr="00401520">
        <w:rPr>
          <w:lang w:val="en-US"/>
        </w:rPr>
        <w:t>Wolfe, Randi, Hirsch, et al, 2003). </w:t>
      </w:r>
      <w:r>
        <w:rPr>
          <w:lang w:val="en-US"/>
        </w:rPr>
        <w:t xml:space="preserve">However, this outcome is unknown as the mother was reluctant to attend some sessions. Ongoing support would need to be provided or conditions should have been placed upon the mother to attend the parenting sessions. Ongoing observance is necessary within the family. </w:t>
      </w:r>
      <w:r w:rsidR="0023016F">
        <w:rPr>
          <w:lang w:val="en-US"/>
        </w:rPr>
        <w:t>Another positive is engagement with the school from the agency ‘</w:t>
      </w:r>
      <w:r w:rsidR="0023016F" w:rsidRPr="0023016F">
        <w:rPr>
          <w:lang w:val="en-US"/>
        </w:rPr>
        <w:t xml:space="preserve">England the ideas of ‘at risk’ and resilience have led to policies for preventing the social exclusion of children and young people by offering protective factors such as consistent after school care or mentoring in </w:t>
      </w:r>
      <w:r w:rsidR="0023016F" w:rsidRPr="0023016F">
        <w:rPr>
          <w:lang w:val="en-US"/>
        </w:rPr>
        <w:t>personalized</w:t>
      </w:r>
      <w:r w:rsidR="0023016F" w:rsidRPr="0023016F">
        <w:rPr>
          <w:lang w:val="en-US"/>
        </w:rPr>
        <w:t xml:space="preserve"> </w:t>
      </w:r>
      <w:r w:rsidR="0023016F" w:rsidRPr="0023016F">
        <w:rPr>
          <w:lang w:val="en-US"/>
        </w:rPr>
        <w:t>programs</w:t>
      </w:r>
      <w:r w:rsidR="0023016F" w:rsidRPr="0023016F">
        <w:rPr>
          <w:lang w:val="en-US"/>
        </w:rPr>
        <w:t xml:space="preserve"> of support to enable the individual performance of social inclusion</w:t>
      </w:r>
      <w:r w:rsidR="0023016F">
        <w:rPr>
          <w:lang w:val="en-US"/>
        </w:rPr>
        <w:t>’ (</w:t>
      </w:r>
      <w:r w:rsidR="0023016F" w:rsidRPr="0023016F">
        <w:rPr>
          <w:lang w:val="en-US"/>
        </w:rPr>
        <w:t xml:space="preserve">Edwards, Lunt, </w:t>
      </w:r>
      <w:proofErr w:type="spellStart"/>
      <w:r w:rsidR="0023016F" w:rsidRPr="0023016F">
        <w:rPr>
          <w:lang w:val="en-US"/>
        </w:rPr>
        <w:t>Stamou</w:t>
      </w:r>
      <w:proofErr w:type="spellEnd"/>
      <w:r w:rsidR="0023016F" w:rsidRPr="0023016F">
        <w:rPr>
          <w:lang w:val="en-US"/>
        </w:rPr>
        <w:t>, 2010</w:t>
      </w:r>
      <w:r w:rsidR="0023016F">
        <w:rPr>
          <w:lang w:val="en-US"/>
        </w:rPr>
        <w:t xml:space="preserve">). </w:t>
      </w:r>
    </w:p>
    <w:p w14:paraId="79F479D6" w14:textId="4290E916" w:rsidR="00DA553D" w:rsidRDefault="00DA553D" w:rsidP="00A862F9">
      <w:pPr>
        <w:spacing w:before="240"/>
        <w:rPr>
          <w:lang w:val="en-US"/>
        </w:rPr>
      </w:pPr>
      <w:r>
        <w:rPr>
          <w:lang w:val="en-US"/>
        </w:rPr>
        <w:t xml:space="preserve">Ongoing support is needed to support this family and some conditions should be placed on the mother to attend the parenting sessions. There should be a greater emphasis on the children and their emotional wellbeing. </w:t>
      </w:r>
    </w:p>
    <w:p w14:paraId="4C4ACB0E" w14:textId="10AF0EBF" w:rsidR="00DA553D" w:rsidRDefault="00DA553D" w:rsidP="00A862F9">
      <w:pPr>
        <w:spacing w:before="240"/>
        <w:rPr>
          <w:b/>
          <w:bCs/>
          <w:u w:val="single"/>
          <w:lang w:val="en-US"/>
        </w:rPr>
      </w:pPr>
      <w:r w:rsidRPr="00DA553D">
        <w:rPr>
          <w:b/>
          <w:bCs/>
          <w:u w:val="single"/>
          <w:lang w:val="en-US"/>
        </w:rPr>
        <w:t xml:space="preserve">References </w:t>
      </w:r>
    </w:p>
    <w:p w14:paraId="0EE04458" w14:textId="079602D7" w:rsidR="00DA553D" w:rsidRDefault="00DA553D" w:rsidP="00A862F9">
      <w:pPr>
        <w:spacing w:before="240"/>
        <w:rPr>
          <w:lang w:val="en-US"/>
        </w:rPr>
      </w:pPr>
      <w:r w:rsidRPr="00DA553D">
        <w:rPr>
          <w:lang w:val="en-US"/>
        </w:rPr>
        <w:t>Bolin, Anette, 2016. Children's agency in interprofessional collaborative meetings in child welfare work. Child &amp; family social work, 21(4), pp.502–511.</w:t>
      </w:r>
    </w:p>
    <w:p w14:paraId="324A2F77" w14:textId="73C95C21" w:rsidR="00DA553D" w:rsidRDefault="00DA553D" w:rsidP="00A862F9">
      <w:pPr>
        <w:spacing w:before="240"/>
        <w:rPr>
          <w:lang w:val="en-US"/>
        </w:rPr>
      </w:pPr>
      <w:r w:rsidRPr="00DA553D">
        <w:rPr>
          <w:lang w:val="en-US"/>
        </w:rPr>
        <w:t xml:space="preserve">Coates, D. (2017) ‘Working with families with parental mental health and/or drug and alcohol issues where there are child protection concerns: inter-agency collaboration’, Child &amp; Family Social Work, 22, pp. 1–10. </w:t>
      </w:r>
      <w:proofErr w:type="spellStart"/>
      <w:r w:rsidRPr="00DA553D">
        <w:rPr>
          <w:lang w:val="en-US"/>
        </w:rPr>
        <w:t>doi</w:t>
      </w:r>
      <w:proofErr w:type="spellEnd"/>
      <w:r w:rsidRPr="00DA553D">
        <w:rPr>
          <w:lang w:val="en-US"/>
        </w:rPr>
        <w:t>: 10.1111/cfs.12238.</w:t>
      </w:r>
    </w:p>
    <w:p w14:paraId="0B1866B8" w14:textId="6C1406BF" w:rsidR="00DA553D" w:rsidRDefault="00DA553D" w:rsidP="00A862F9">
      <w:pPr>
        <w:spacing w:before="240"/>
        <w:rPr>
          <w:lang w:val="en-US"/>
        </w:rPr>
      </w:pPr>
      <w:proofErr w:type="spellStart"/>
      <w:r w:rsidRPr="00DA553D">
        <w:rPr>
          <w:lang w:val="en-US"/>
        </w:rPr>
        <w:lastRenderedPageBreak/>
        <w:t>Dovey</w:t>
      </w:r>
      <w:proofErr w:type="spellEnd"/>
      <w:r w:rsidRPr="00DA553D">
        <w:rPr>
          <w:lang w:val="en-US"/>
        </w:rPr>
        <w:t xml:space="preserve">-Pearce, Gail, </w:t>
      </w:r>
      <w:proofErr w:type="spellStart"/>
      <w:r w:rsidRPr="00DA553D">
        <w:rPr>
          <w:lang w:val="en-US"/>
        </w:rPr>
        <w:t>Rapley</w:t>
      </w:r>
      <w:proofErr w:type="spellEnd"/>
      <w:r w:rsidRPr="00DA553D">
        <w:rPr>
          <w:lang w:val="en-US"/>
        </w:rPr>
        <w:t>, Tim &amp; McDonagh, Janet E, 2020. Delivering developmentally appropriate health care: Roles for psychologists as members of the multi-disciplinary health care team. Clinical child psychology and psychiatry, 25(3), pp.579–593.</w:t>
      </w:r>
    </w:p>
    <w:p w14:paraId="5753C0DA" w14:textId="6F148BC1" w:rsidR="00DA553D" w:rsidRDefault="00DA553D" w:rsidP="00A862F9">
      <w:pPr>
        <w:spacing w:before="240"/>
        <w:rPr>
          <w:lang w:val="en-US"/>
        </w:rPr>
      </w:pPr>
      <w:r w:rsidRPr="00DA553D">
        <w:rPr>
          <w:lang w:val="en-US"/>
        </w:rPr>
        <w:t xml:space="preserve">Edwards, Anne, Lunt, Ingrid &amp; </w:t>
      </w:r>
      <w:proofErr w:type="spellStart"/>
      <w:r w:rsidRPr="00DA553D">
        <w:rPr>
          <w:lang w:val="en-US"/>
        </w:rPr>
        <w:t>Stamou</w:t>
      </w:r>
      <w:proofErr w:type="spellEnd"/>
      <w:r w:rsidRPr="00DA553D">
        <w:rPr>
          <w:lang w:val="en-US"/>
        </w:rPr>
        <w:t xml:space="preserve">, Eleni, 2010. Inter-professional work and expertise: </w:t>
      </w:r>
      <w:proofErr w:type="gramStart"/>
      <w:r w:rsidRPr="00DA553D">
        <w:rPr>
          <w:lang w:val="en-US"/>
        </w:rPr>
        <w:t>New</w:t>
      </w:r>
      <w:proofErr w:type="gramEnd"/>
      <w:r w:rsidRPr="00DA553D">
        <w:rPr>
          <w:lang w:val="en-US"/>
        </w:rPr>
        <w:t xml:space="preserve"> roles at the boundaries of schools. British educational research journal, 36(1), pp.27–45.</w:t>
      </w:r>
    </w:p>
    <w:p w14:paraId="72E2DEFC" w14:textId="30FED6D9" w:rsidR="00DA553D" w:rsidRDefault="00DA553D" w:rsidP="00A862F9">
      <w:pPr>
        <w:spacing w:before="240"/>
        <w:rPr>
          <w:lang w:val="en-US"/>
        </w:rPr>
      </w:pPr>
      <w:r w:rsidRPr="00DA553D">
        <w:rPr>
          <w:lang w:val="en-US"/>
        </w:rPr>
        <w:t>Horwath, Jan &amp; Morrison, Tony, 2011. Effective inter-agency collaboration to safeguard children: Rising to the challenge through collective development. Children and youth services review, 33(2), pp.368–375.</w:t>
      </w:r>
    </w:p>
    <w:p w14:paraId="3B852211" w14:textId="1B45D0F3" w:rsidR="00DA553D" w:rsidRDefault="00DA553D" w:rsidP="00A862F9">
      <w:pPr>
        <w:spacing w:before="240"/>
        <w:rPr>
          <w:lang w:val="en-US"/>
        </w:rPr>
      </w:pPr>
      <w:r w:rsidRPr="00DA553D">
        <w:rPr>
          <w:lang w:val="en-US"/>
        </w:rPr>
        <w:t>McKeown, Kieran, 2012. Inter-agency cooperation between services for children and families in Ireland: does it improve outcomes? Journal of children's services, 7(3), pp.191–200.</w:t>
      </w:r>
    </w:p>
    <w:p w14:paraId="26D56412" w14:textId="4B19A7E1" w:rsidR="00DA553D" w:rsidRDefault="00DA553D" w:rsidP="00A862F9">
      <w:pPr>
        <w:spacing w:before="240"/>
        <w:rPr>
          <w:lang w:val="en-US"/>
        </w:rPr>
      </w:pPr>
      <w:proofErr w:type="spellStart"/>
      <w:r w:rsidRPr="00DA553D">
        <w:rPr>
          <w:lang w:val="en-US"/>
        </w:rPr>
        <w:t>Sloper</w:t>
      </w:r>
      <w:proofErr w:type="spellEnd"/>
      <w:r w:rsidRPr="00DA553D">
        <w:rPr>
          <w:lang w:val="en-US"/>
        </w:rPr>
        <w:t xml:space="preserve">, P. (2004) ‘Facilitators and barriers for </w:t>
      </w:r>
      <w:proofErr w:type="spellStart"/>
      <w:r w:rsidRPr="00DA553D">
        <w:rPr>
          <w:lang w:val="en-US"/>
        </w:rPr>
        <w:t>co-ordinated</w:t>
      </w:r>
      <w:proofErr w:type="spellEnd"/>
      <w:r w:rsidRPr="00DA553D">
        <w:rPr>
          <w:lang w:val="en-US"/>
        </w:rPr>
        <w:t xml:space="preserve"> multi-agency services’, Child: Care, Health &amp; Development, 30(6), pp. 571–580. </w:t>
      </w:r>
      <w:proofErr w:type="spellStart"/>
      <w:r w:rsidRPr="00DA553D">
        <w:rPr>
          <w:lang w:val="en-US"/>
        </w:rPr>
        <w:t>doi</w:t>
      </w:r>
      <w:proofErr w:type="spellEnd"/>
      <w:r w:rsidRPr="00DA553D">
        <w:rPr>
          <w:lang w:val="en-US"/>
        </w:rPr>
        <w:t>: 10.1111/j.1365-2214.2004.</w:t>
      </w:r>
      <w:proofErr w:type="gramStart"/>
      <w:r w:rsidRPr="00DA553D">
        <w:rPr>
          <w:lang w:val="en-US"/>
        </w:rPr>
        <w:t>00468.x.</w:t>
      </w:r>
      <w:proofErr w:type="gramEnd"/>
    </w:p>
    <w:p w14:paraId="4E19B3F5" w14:textId="4FFFD74B" w:rsidR="00DA553D" w:rsidRPr="00DA553D" w:rsidRDefault="00DA553D" w:rsidP="00A862F9">
      <w:pPr>
        <w:spacing w:before="240"/>
        <w:rPr>
          <w:lang w:val="en-US"/>
        </w:rPr>
      </w:pPr>
      <w:r w:rsidRPr="00DA553D">
        <w:rPr>
          <w:lang w:val="en-US"/>
        </w:rPr>
        <w:t>Wolfe, Randi B &amp; Hirsch, Barton J, 2003. Outcomes of Parent Education Programs Based on Reevaluation Counseling. Journal of child and family studies, 12(1), pp.61–76.</w:t>
      </w:r>
      <w:r w:rsidRPr="00DA553D">
        <w:rPr>
          <w:lang w:val="en-US"/>
        </w:rPr>
        <w:br/>
        <w:t>www.oecd.org. (n.d.). Children - OECD. [online] Available at: https://www.oecd.org/social/family/child-well-being/ (Accessed 14 Jul. 2021).</w:t>
      </w:r>
    </w:p>
    <w:sectPr w:rsidR="00DA553D" w:rsidRPr="00DA55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616"/>
    <w:rsid w:val="00024843"/>
    <w:rsid w:val="0023016F"/>
    <w:rsid w:val="00401520"/>
    <w:rsid w:val="005B3ACD"/>
    <w:rsid w:val="00666616"/>
    <w:rsid w:val="00A862F9"/>
    <w:rsid w:val="00DA553D"/>
    <w:rsid w:val="00EF02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78276"/>
  <w15:chartTrackingRefBased/>
  <w15:docId w15:val="{EED45EAD-A5F2-48B0-A57A-4E845282A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4</Pages>
  <Words>1292</Words>
  <Characters>7371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rakhmat ulhaq</dc:creator>
  <cp:keywords/>
  <dc:description/>
  <cp:lastModifiedBy>rakhmat ulhaq</cp:lastModifiedBy>
  <cp:revision>1</cp:revision>
  <dcterms:created xsi:type="dcterms:W3CDTF">2021-07-30T12:04:00Z</dcterms:created>
  <dcterms:modified xsi:type="dcterms:W3CDTF">2021-07-30T13:11:00Z</dcterms:modified>
</cp:coreProperties>
</file>