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body>
    <w:p>
      <w:pPr>
        <w:tabs>
          <w:tab w:pos="6504" w:val="right" w:leader="none"/>
        </w:tabs>
        <w:spacing w:line="140" w:lineRule="exact" w:before="0"/>
        <w:ind w:left="180" w:right="0" w:firstLine="0"/>
        <w:jc w:val="left"/>
        <w:rPr>
          <w:sz w:val="110"/>
        </w:rPr>
      </w:pPr>
      <w:r>
        <w:rPr>
          <w:rFonts w:ascii="Arial Narrow Bold"/>
          <w:b/>
          <w:color w:val="5E792D"/>
          <w:sz w:val="36"/>
        </w:rPr>
        <w:t>Performance</w:t>
      </w:r>
      <w:r>
        <w:rPr>
          <w:color w:val="9EAF81"/>
          <w:position w:val="1"/>
          <w:sz w:val="110"/>
        </w:rPr>
        <w:tab/>
        <w:t>3</w:t>
      </w:r>
    </w:p>
    <w:p>
      <w:pPr>
        <w:spacing w:after="0" w:line="140" w:lineRule="exact"/>
        <w:jc w:val="left"/>
        <w:rPr>
          <w:sz w:val="110"/>
        </w:rPr>
        <w:sectPr>
          <w:type w:val="continuous"/>
          <w:pgSz w:w="10040" w:h="13950"/>
          <w:pgMar w:top="960" w:bottom="0" w:left="1400" w:right="1140"/>
        </w:sectPr>
      </w:pPr>
    </w:p>
    <w:p>
      <w:pPr>
        <w:spacing w:line="371" w:lineRule="exact" w:before="0"/>
        <w:ind w:left="180" w:right="0" w:firstLine="0"/>
        <w:jc w:val="left"/>
        <w:rPr>
          <w:rFonts w:ascii="Arial Narrow Bold"/>
          <w:b/>
          <w:sz w:val="36"/>
        </w:rPr>
      </w:pPr>
      <w:r>
        <w:rPr/>
        <w:pict>
          <v:line style="position:absolute;mso-position-horizontal-relative:page;mso-position-vertical-relative:paragraph;z-index:1048" from="323.39801pt,1.67779pt" to="323.39801pt,42.04077pt" stroked="true" strokeweight="1pt" strokecolor="#5e792d">
            <w10:wrap type="none"/>
          </v:line>
        </w:pict>
      </w:r>
      <w:r>
        <w:rPr>
          <w:rFonts w:ascii="Arial Narrow Bold"/>
          <w:b/>
          <w:color w:val="5E792D"/>
          <w:sz w:val="36"/>
        </w:rPr>
        <w:t>High Commitment HRM and</w:t>
      </w:r>
    </w:p>
    <w:p>
      <w:pPr>
        <w:pStyle w:val="BodyText"/>
        <w:spacing w:line="221" w:lineRule="exact"/>
        <w:ind w:left="180"/>
      </w:pPr>
      <w:r>
        <w:rPr/>
        <w:br w:type="column"/>
      </w:r>
      <w:r>
        <w:rPr>
          <w:color w:val="5E792D"/>
        </w:rPr>
        <w:t>CHAPTER</w:t>
      </w:r>
    </w:p>
    <w:p>
      <w:pPr>
        <w:spacing w:after="0" w:line="221" w:lineRule="exact"/>
        <w:sectPr>
          <w:type w:val="continuous"/>
          <w:pgSz w:w="10040" w:h="13950"/>
          <w:pgMar w:top="960" w:bottom="0" w:left="1400" w:right="1140"/>
          <w:cols w:num="2" w:equalWidth="0">
            <w:col w:w="4108" w:space="931"/>
            <w:col w:w="2461"/>
          </w:cols>
        </w:sectPr>
      </w:pPr>
    </w:p>
    <w:p>
      <w:pPr>
        <w:pStyle w:val="BodyText"/>
        <w:rPr>
          <w:sz w:val="24"/>
        </w:rPr>
      </w:pPr>
    </w:p>
    <w:p>
      <w:pPr>
        <w:pStyle w:val="BodyText"/>
        <w:rPr>
          <w:sz w:val="24"/>
        </w:rPr>
      </w:pPr>
    </w:p>
    <w:p>
      <w:pPr>
        <w:pStyle w:val="BodyText"/>
        <w:rPr>
          <w:sz w:val="24"/>
        </w:rPr>
      </w:pPr>
    </w:p>
    <w:p>
      <w:pPr>
        <w:pStyle w:val="BodyText"/>
        <w:rPr>
          <w:sz w:val="24"/>
        </w:rPr>
      </w:pPr>
    </w:p>
    <w:p>
      <w:pPr>
        <w:pStyle w:val="BodyText"/>
        <w:spacing w:before="9"/>
        <w:rPr>
          <w:sz w:val="18"/>
        </w:rPr>
      </w:pPr>
    </w:p>
    <w:p>
      <w:pPr>
        <w:pStyle w:val="Heading1"/>
        <w:spacing w:before="0"/>
      </w:pPr>
      <w:r>
        <w:rPr>
          <w:color w:val="5E792D"/>
        </w:rPr>
        <w:t>INTRODUCTION </w:t>
      </w:r>
    </w:p>
    <w:p>
      <w:pPr>
        <w:pStyle w:val="BodyText"/>
        <w:spacing w:before="76"/>
        <w:ind w:left="180" w:right="451"/>
        <w:jc w:val="both"/>
      </w:pPr>
      <w:r>
        <w:rPr/>
        <w:t>There have been a signiﬁcant number of studies over the last decade investigating the links between HRM and organisational performance. These have focused on the extent to which – if at all – high commitment or best practice HRM may lead to improvements in worker or organisational performance. This was stimulated initially by the work of a number of US academics but it has been developed more recently by people in Britain as well. Basically, the idea is that a particular bundle of HR practices has the potential to contribute improved employee attitudes and behaviours, lower levels of absenteeism and labour turnover, and higher levels of productivity, quality and customer service. This, it is argued, has the ultimate effect of generating higher levels of proﬁtability. Since the HR practices that supposedly contribute</w:t>
      </w:r>
      <w:r>
        <w:rPr>
          <w:spacing w:val="-9"/>
        </w:rPr>
        <w:t> </w:t>
      </w:r>
      <w:r>
        <w:rPr/>
        <w:t>to</w:t>
      </w:r>
      <w:r>
        <w:rPr>
          <w:spacing w:val="-9"/>
        </w:rPr>
        <w:t> </w:t>
      </w:r>
      <w:r>
        <w:rPr/>
        <w:t>an</w:t>
      </w:r>
      <w:r>
        <w:rPr>
          <w:spacing w:val="-9"/>
        </w:rPr>
        <w:t> </w:t>
      </w:r>
      <w:r>
        <w:rPr/>
        <w:t>improved</w:t>
      </w:r>
      <w:r>
        <w:rPr>
          <w:spacing w:val="-9"/>
        </w:rPr>
        <w:t> </w:t>
      </w:r>
      <w:r>
        <w:rPr/>
        <w:t>bottom</w:t>
      </w:r>
      <w:r>
        <w:rPr>
          <w:spacing w:val="-9"/>
        </w:rPr>
        <w:t> </w:t>
      </w:r>
      <w:r>
        <w:rPr/>
        <w:t>line</w:t>
      </w:r>
      <w:r>
        <w:rPr>
          <w:spacing w:val="-9"/>
        </w:rPr>
        <w:t> </w:t>
      </w:r>
      <w:r>
        <w:rPr/>
        <w:t>performance</w:t>
      </w:r>
      <w:r>
        <w:rPr>
          <w:spacing w:val="-9"/>
        </w:rPr>
        <w:t> </w:t>
      </w:r>
      <w:r>
        <w:rPr/>
        <w:t>are</w:t>
      </w:r>
      <w:r>
        <w:rPr>
          <w:spacing w:val="-9"/>
        </w:rPr>
        <w:t> </w:t>
      </w:r>
      <w:r>
        <w:rPr/>
        <w:t>generally</w:t>
      </w:r>
      <w:r>
        <w:rPr>
          <w:spacing w:val="-9"/>
        </w:rPr>
        <w:t> </w:t>
      </w:r>
      <w:r>
        <w:rPr/>
        <w:t>perceived</w:t>
      </w:r>
      <w:r>
        <w:rPr>
          <w:spacing w:val="-9"/>
        </w:rPr>
        <w:t> </w:t>
      </w:r>
      <w:r>
        <w:rPr/>
        <w:t>as</w:t>
      </w:r>
      <w:r>
        <w:rPr>
          <w:spacing w:val="-9"/>
        </w:rPr>
        <w:t> </w:t>
      </w:r>
      <w:r>
        <w:rPr/>
        <w:t>‘good’</w:t>
      </w:r>
      <w:r>
        <w:rPr>
          <w:spacing w:val="-15"/>
        </w:rPr>
        <w:t> </w:t>
      </w:r>
      <w:r>
        <w:rPr/>
        <w:t>for</w:t>
      </w:r>
      <w:r>
        <w:rPr>
          <w:spacing w:val="-9"/>
        </w:rPr>
        <w:t> </w:t>
      </w:r>
      <w:r>
        <w:rPr/>
        <w:t>workers</w:t>
      </w:r>
    </w:p>
    <w:p>
      <w:pPr>
        <w:pStyle w:val="ListParagraph"/>
        <w:numPr>
          <w:ilvl w:val="0"/>
          <w:numId w:val="1"/>
        </w:numPr>
        <w:tabs>
          <w:tab w:pos="334" w:val="left" w:leader="none"/>
        </w:tabs>
        <w:spacing w:line="240" w:lineRule="auto" w:before="0" w:after="0"/>
        <w:ind w:left="180" w:right="452" w:firstLine="0"/>
        <w:jc w:val="both"/>
        <w:rPr>
          <w:sz w:val="20"/>
        </w:rPr>
      </w:pPr>
      <w:r>
        <w:rPr>
          <w:sz w:val="20"/>
        </w:rPr>
        <w:t>for example, employment security, training and development, information and consultation, and</w:t>
      </w:r>
      <w:r>
        <w:rPr>
          <w:spacing w:val="-10"/>
          <w:sz w:val="20"/>
        </w:rPr>
        <w:t> </w:t>
      </w:r>
      <w:r>
        <w:rPr>
          <w:sz w:val="20"/>
        </w:rPr>
        <w:t>higher</w:t>
      </w:r>
      <w:r>
        <w:rPr>
          <w:spacing w:val="-10"/>
          <w:sz w:val="20"/>
        </w:rPr>
        <w:t> </w:t>
      </w:r>
      <w:r>
        <w:rPr>
          <w:sz w:val="20"/>
        </w:rPr>
        <w:t>levels</w:t>
      </w:r>
      <w:r>
        <w:rPr>
          <w:spacing w:val="-10"/>
          <w:sz w:val="20"/>
        </w:rPr>
        <w:t> </w:t>
      </w:r>
      <w:r>
        <w:rPr>
          <w:sz w:val="20"/>
        </w:rPr>
        <w:t>of</w:t>
      </w:r>
      <w:r>
        <w:rPr>
          <w:spacing w:val="-10"/>
          <w:sz w:val="20"/>
        </w:rPr>
        <w:t> </w:t>
      </w:r>
      <w:r>
        <w:rPr>
          <w:sz w:val="20"/>
        </w:rPr>
        <w:t>pay</w:t>
      </w:r>
      <w:r>
        <w:rPr>
          <w:spacing w:val="-10"/>
          <w:sz w:val="20"/>
        </w:rPr>
        <w:t> </w:t>
      </w:r>
      <w:r>
        <w:rPr>
          <w:sz w:val="20"/>
        </w:rPr>
        <w:t>–</w:t>
      </w:r>
      <w:r>
        <w:rPr>
          <w:spacing w:val="-10"/>
          <w:sz w:val="20"/>
        </w:rPr>
        <w:t> </w:t>
      </w:r>
      <w:r>
        <w:rPr>
          <w:sz w:val="20"/>
        </w:rPr>
        <w:t>this</w:t>
      </w:r>
      <w:r>
        <w:rPr>
          <w:spacing w:val="-10"/>
          <w:sz w:val="20"/>
        </w:rPr>
        <w:t> </w:t>
      </w:r>
      <w:r>
        <w:rPr>
          <w:sz w:val="20"/>
        </w:rPr>
        <w:t>looks</w:t>
      </w:r>
      <w:r>
        <w:rPr>
          <w:spacing w:val="-10"/>
          <w:sz w:val="20"/>
        </w:rPr>
        <w:t> </w:t>
      </w:r>
      <w:r>
        <w:rPr>
          <w:sz w:val="20"/>
        </w:rPr>
        <w:t>like</w:t>
      </w:r>
      <w:r>
        <w:rPr>
          <w:spacing w:val="-10"/>
          <w:sz w:val="20"/>
        </w:rPr>
        <w:t> </w:t>
      </w:r>
      <w:r>
        <w:rPr>
          <w:sz w:val="20"/>
        </w:rPr>
        <w:t>an</w:t>
      </w:r>
      <w:r>
        <w:rPr>
          <w:spacing w:val="-10"/>
          <w:sz w:val="20"/>
        </w:rPr>
        <w:t> </w:t>
      </w:r>
      <w:r>
        <w:rPr>
          <w:sz w:val="20"/>
        </w:rPr>
        <w:t>attractive</w:t>
      </w:r>
      <w:r>
        <w:rPr>
          <w:spacing w:val="-10"/>
          <w:sz w:val="20"/>
        </w:rPr>
        <w:t> </w:t>
      </w:r>
      <w:r>
        <w:rPr>
          <w:sz w:val="20"/>
        </w:rPr>
        <w:t>scenario</w:t>
      </w:r>
      <w:r>
        <w:rPr>
          <w:spacing w:val="-10"/>
          <w:sz w:val="20"/>
        </w:rPr>
        <w:t> </w:t>
      </w:r>
      <w:r>
        <w:rPr>
          <w:sz w:val="20"/>
        </w:rPr>
        <w:t>for</w:t>
      </w:r>
      <w:r>
        <w:rPr>
          <w:spacing w:val="-10"/>
          <w:sz w:val="20"/>
        </w:rPr>
        <w:t> </w:t>
      </w:r>
      <w:r>
        <w:rPr>
          <w:sz w:val="20"/>
        </w:rPr>
        <w:t>employers</w:t>
      </w:r>
      <w:r>
        <w:rPr>
          <w:spacing w:val="-10"/>
          <w:sz w:val="20"/>
        </w:rPr>
        <w:t> </w:t>
      </w:r>
      <w:r>
        <w:rPr>
          <w:sz w:val="20"/>
        </w:rPr>
        <w:t>and</w:t>
      </w:r>
      <w:r>
        <w:rPr>
          <w:spacing w:val="-10"/>
          <w:sz w:val="20"/>
        </w:rPr>
        <w:t> </w:t>
      </w:r>
      <w:r>
        <w:rPr>
          <w:sz w:val="20"/>
        </w:rPr>
        <w:t>workers</w:t>
      </w:r>
      <w:r>
        <w:rPr>
          <w:spacing w:val="-10"/>
          <w:sz w:val="20"/>
        </w:rPr>
        <w:t> </w:t>
      </w:r>
      <w:r>
        <w:rPr>
          <w:sz w:val="20"/>
        </w:rPr>
        <w:t>alike.</w:t>
      </w:r>
    </w:p>
    <w:p>
      <w:pPr>
        <w:pStyle w:val="BodyText"/>
        <w:spacing w:before="12"/>
        <w:rPr>
          <w:sz w:val="19"/>
        </w:rPr>
      </w:pPr>
    </w:p>
    <w:p>
      <w:pPr>
        <w:pStyle w:val="BodyText"/>
        <w:ind w:left="180" w:right="452"/>
        <w:jc w:val="both"/>
      </w:pPr>
      <w:r>
        <w:rPr/>
        <w:pict>
          <v:shapetype id="_x0000_t202" o:spt="202" coordsize="21600,21600" path="m,l,21600r21600,l21600,xe">
            <v:stroke joinstyle="miter"/>
            <v:path gradientshapeok="t" o:connecttype="rect"/>
          </v:shapetype>
          <v:shape style="position:absolute;margin-left:79.004013pt;margin-top:124.935707pt;width:343pt;height:102.4pt;mso-position-horizontal-relative:page;mso-position-vertical-relative:paragraph;z-index:0;mso-wrap-distance-left:0;mso-wrap-distance-right:0" type="#_x0000_t202" filled="true" fillcolor="#eff2ea" stroked="false">
            <v:textbox inset="0,0,0,0">
              <w:txbxContent>
                <w:p>
                  <w:pPr>
                    <w:pStyle w:val="BodyText"/>
                    <w:spacing w:before="107"/>
                    <w:ind w:left="159" w:right="31"/>
                  </w:pPr>
                  <w:r>
                    <w:rPr/>
                    <w:t>By the end of this chapter, readers should be able to:</w:t>
                  </w:r>
                </w:p>
                <w:p>
                  <w:pPr>
                    <w:pStyle w:val="Heading2"/>
                    <w:numPr>
                      <w:ilvl w:val="0"/>
                      <w:numId w:val="2"/>
                    </w:numPr>
                    <w:tabs>
                      <w:tab w:pos="444" w:val="left" w:leader="none"/>
                    </w:tabs>
                    <w:spacing w:line="240" w:lineRule="auto" w:before="113" w:after="0"/>
                    <w:ind w:left="443" w:right="158" w:hanging="283"/>
                    <w:jc w:val="left"/>
                  </w:pPr>
                  <w:r>
                    <w:rPr/>
                    <w:t>contribute to the implementation of appropriate HR policies that maximise the contribution of people to organisational</w:t>
                  </w:r>
                  <w:r>
                    <w:rPr>
                      <w:spacing w:val="19"/>
                    </w:rPr>
                    <w:t> </w:t>
                  </w:r>
                  <w:r>
                    <w:rPr/>
                    <w:t>objectives</w:t>
                  </w:r>
                </w:p>
                <w:p>
                  <w:pPr>
                    <w:pStyle w:val="ListParagraph"/>
                    <w:numPr>
                      <w:ilvl w:val="0"/>
                      <w:numId w:val="2"/>
                    </w:numPr>
                    <w:tabs>
                      <w:tab w:pos="444" w:val="left" w:leader="none"/>
                    </w:tabs>
                    <w:spacing w:line="240" w:lineRule="auto" w:before="113" w:after="0"/>
                    <w:ind w:left="443" w:right="158" w:hanging="283"/>
                    <w:jc w:val="left"/>
                    <w:rPr>
                      <w:rFonts w:ascii="Arial Narrow Bold" w:hAnsi="Arial Narrow Bold"/>
                      <w:b/>
                      <w:sz w:val="20"/>
                    </w:rPr>
                  </w:pPr>
                  <w:r>
                    <w:rPr>
                      <w:rFonts w:ascii="Arial Narrow Bold" w:hAnsi="Arial Narrow Bold"/>
                      <w:b/>
                      <w:sz w:val="20"/>
                    </w:rPr>
                    <w:t>convince other managers of the business beneﬁts to be gained from adopting ‘best practice’</w:t>
                  </w:r>
                  <w:r>
                    <w:rPr>
                      <w:rFonts w:ascii="Arial Narrow Bold" w:hAnsi="Arial Narrow Bold"/>
                      <w:b/>
                      <w:spacing w:val="-1"/>
                      <w:sz w:val="20"/>
                    </w:rPr>
                    <w:t> </w:t>
                  </w:r>
                  <w:r>
                    <w:rPr>
                      <w:rFonts w:ascii="Arial Narrow Bold" w:hAnsi="Arial Narrow Bold"/>
                      <w:b/>
                      <w:sz w:val="20"/>
                    </w:rPr>
                    <w:t>HRM</w:t>
                  </w:r>
                </w:p>
                <w:p>
                  <w:pPr>
                    <w:pStyle w:val="ListParagraph"/>
                    <w:numPr>
                      <w:ilvl w:val="0"/>
                      <w:numId w:val="2"/>
                    </w:numPr>
                    <w:tabs>
                      <w:tab w:pos="444" w:val="left" w:leader="none"/>
                    </w:tabs>
                    <w:spacing w:line="240" w:lineRule="auto" w:before="113" w:after="0"/>
                    <w:ind w:left="443" w:right="0" w:hanging="283"/>
                    <w:jc w:val="left"/>
                    <w:rPr>
                      <w:rFonts w:ascii="Arial Narrow Bold" w:hAnsi="Arial Narrow Bold"/>
                      <w:b/>
                      <w:sz w:val="20"/>
                    </w:rPr>
                  </w:pPr>
                  <w:r>
                    <w:rPr>
                      <w:rFonts w:ascii="Arial Narrow Bold" w:hAnsi="Arial Narrow Bold"/>
                      <w:b/>
                      <w:sz w:val="20"/>
                    </w:rPr>
                    <w:t>benchmark their own organisation’s HR practices against those of</w:t>
                  </w:r>
                  <w:r>
                    <w:rPr>
                      <w:rFonts w:ascii="Arial Narrow Bold" w:hAnsi="Arial Narrow Bold"/>
                      <w:b/>
                      <w:spacing w:val="29"/>
                      <w:sz w:val="20"/>
                    </w:rPr>
                    <w:t> </w:t>
                  </w:r>
                  <w:r>
                    <w:rPr>
                      <w:rFonts w:ascii="Arial Narrow Bold" w:hAnsi="Arial Narrow Bold"/>
                      <w:b/>
                      <w:sz w:val="20"/>
                    </w:rPr>
                    <w:t>competitors.</w:t>
                  </w:r>
                </w:p>
              </w:txbxContent>
            </v:textbox>
            <v:fill type="solid"/>
            <w10:wrap type="topAndBottom"/>
          </v:shape>
        </w:pict>
      </w:r>
      <w:r>
        <w:rPr/>
        <w:t>However, not all the studies report such glowing and positive links between best practice </w:t>
      </w:r>
      <w:r>
        <w:rPr>
          <w:spacing w:val="45"/>
        </w:rPr>
        <w:t> </w:t>
      </w:r>
      <w:r>
        <w:rPr/>
        <w:t>HRM and performance, and there are some doubts about the precise sorts of HR practices that comprise the high commitment bundle, about their supposed synergy with one another, about their attractiveness to workers and employers, and about their universal applicability. Even if an association is found between high commitment HRM and performance, questions remain about directions of causality and about the processes that underpin and drive these linkages; recent research sponsored by the CIPD, undertaken by John Purcell and his colleagues, provides further analysis of the make-up of this so-called ‘black box’. This chapter reviews these debates and presents evidence about the value of best practice HRM  to workers and organisations. We use ‘best practice’/‘high commitment’ HRM</w:t>
      </w:r>
      <w:r>
        <w:rPr>
          <w:spacing w:val="23"/>
        </w:rPr>
        <w:t> </w:t>
      </w:r>
      <w:r>
        <w:rPr/>
        <w:t>interchangeably.</w:t>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5"/>
        <w:rPr>
          <w:sz w:val="29"/>
        </w:rPr>
      </w:pPr>
    </w:p>
    <w:p>
      <w:pPr>
        <w:pStyle w:val="Heading2"/>
        <w:spacing w:before="91"/>
        <w:ind w:left="0" w:right="106"/>
        <w:jc w:val="right"/>
      </w:pPr>
      <w:r>
        <w:rPr/>
        <w:pict>
          <v:group style="position:absolute;margin-left:78.978996pt;margin-top:-106.39711pt;width:343.05pt;height:144.2pt;mso-position-horizontal-relative:page;mso-position-vertical-relative:paragraph;z-index:1120" coordorigin="1580,-2128" coordsize="6861,2884">
            <v:rect style="position:absolute;left:1580;top:-2128;width:6860;height:2175" filled="true" fillcolor="#eff2ea" stroked="false">
              <v:fill type="solid"/>
            </v:rect>
            <v:rect style="position:absolute;left:1582;top:47;width:6856;height:706" filled="false" stroked="true" strokeweight=".216pt" strokecolor="#000000"/>
            <v:shape style="position:absolute;left:1580;top:47;width:6860;height:707" type="#_x0000_t202" filled="false" stroked="false">
              <v:textbox inset="0,0,0,0">
                <w:txbxContent>
                  <w:p>
                    <w:pPr>
                      <w:spacing w:before="35"/>
                      <w:ind w:left="63" w:right="31" w:firstLine="0"/>
                      <w:jc w:val="left"/>
                      <w:rPr>
                        <w:rFonts w:ascii="Arial Narrow Bold" w:hAnsi="Arial Narrow Bold"/>
                        <w:b/>
                        <w:sz w:val="10"/>
                      </w:rPr>
                    </w:pPr>
                    <w:r>
                      <w:rPr>
                        <w:sz w:val="10"/>
                      </w:rPr>
                      <w:t>A free sample chapter from </w:t>
                    </w:r>
                    <w:r>
                      <w:rPr>
                        <w:rFonts w:ascii="Arial Narrow Italic" w:hAnsi="Arial Narrow Italic"/>
                        <w:i/>
                        <w:sz w:val="10"/>
                      </w:rPr>
                      <w:t>Human Resource Management at Work </w:t>
                    </w:r>
                    <w:r>
                      <w:rPr>
                        <w:sz w:val="10"/>
                      </w:rPr>
                      <w:t>by </w:t>
                    </w:r>
                    <w:r>
                      <w:rPr>
                        <w:rFonts w:ascii="Arial Narrow Bold" w:hAnsi="Arial Narrow Bold"/>
                        <w:b/>
                        <w:sz w:val="10"/>
                      </w:rPr>
                      <w:t>Mick Marchington and Adrian Wilkinson</w:t>
                    </w:r>
                    <w:r>
                      <w:rPr>
                        <w:sz w:val="10"/>
                      </w:rPr>
                      <w:t>. Published by the CIPD. Copyright © </w:t>
                    </w:r>
                    <w:r>
                      <w:rPr>
                        <w:rFonts w:ascii="Arial Narrow Bold" w:hAnsi="Arial Narrow Bold"/>
                        <w:b/>
                        <w:sz w:val="10"/>
                      </w:rPr>
                      <w:t>CIPD  2005</w:t>
                    </w:r>
                  </w:p>
                  <w:p>
                    <w:pPr>
                      <w:spacing w:before="60"/>
                      <w:ind w:left="63" w:right="31" w:firstLine="0"/>
                      <w:jc w:val="left"/>
                      <w:rPr>
                        <w:sz w:val="10"/>
                      </w:rPr>
                    </w:pPr>
                    <w:r>
                      <w:rPr>
                        <w:sz w:val="10"/>
                      </w:rPr>
                      <w:t>All rights reserved; no part of this excerpt may be reproduced, stored in a retrieval system, or transmitted in any form or by any means, electronic, mechanical, photocopying, recording, or otherwise without the prior written permission of the Publishers or a licence permitting restricted copying in the United Kingdom issued by the Copyright Licensing Agency.</w:t>
                    </w:r>
                  </w:p>
                  <w:p>
                    <w:pPr>
                      <w:spacing w:before="60"/>
                      <w:ind w:left="63" w:right="31" w:firstLine="0"/>
                      <w:jc w:val="left"/>
                      <w:rPr>
                        <w:sz w:val="10"/>
                      </w:rPr>
                    </w:pPr>
                    <w:r>
                      <w:rPr>
                        <w:sz w:val="10"/>
                      </w:rPr>
                      <w:t>If you would like to purchase this book please visit </w:t>
                    </w:r>
                    <w:hyperlink r:id="rId5">
                      <w:r>
                        <w:rPr>
                          <w:sz w:val="10"/>
                        </w:rPr>
                        <w:t>www.cipd.co.uk/bookstore.</w:t>
                      </w:r>
                    </w:hyperlink>
                  </w:p>
                </w:txbxContent>
              </v:textbox>
              <w10:wrap type="none"/>
            </v:shape>
            <v:shape style="position:absolute;left:1580;top:-2128;width:6861;height:2884" type="#_x0000_t202" filled="false" stroked="false">
              <v:textbox inset="0,0,0,0">
                <w:txbxContent>
                  <w:p>
                    <w:pPr>
                      <w:spacing w:before="107"/>
                      <w:ind w:left="160" w:right="0" w:firstLine="0"/>
                      <w:jc w:val="left"/>
                      <w:rPr>
                        <w:sz w:val="20"/>
                      </w:rPr>
                    </w:pPr>
                    <w:r>
                      <w:rPr>
                        <w:sz w:val="20"/>
                      </w:rPr>
                      <w:t>In addition, readers should understand and be able to explain:</w:t>
                    </w:r>
                  </w:p>
                  <w:p>
                    <w:pPr>
                      <w:numPr>
                        <w:ilvl w:val="0"/>
                        <w:numId w:val="3"/>
                      </w:numPr>
                      <w:tabs>
                        <w:tab w:pos="444" w:val="left" w:leader="none"/>
                      </w:tabs>
                      <w:spacing w:before="113"/>
                      <w:ind w:left="443" w:right="158" w:hanging="283"/>
                      <w:jc w:val="left"/>
                      <w:rPr>
                        <w:rFonts w:ascii="Arial Narrow Bold" w:hAnsi="Arial Narrow Bold"/>
                        <w:b/>
                        <w:sz w:val="20"/>
                      </w:rPr>
                    </w:pPr>
                    <w:r>
                      <w:rPr>
                        <w:rFonts w:ascii="Arial Narrow Bold" w:hAnsi="Arial Narrow Bold"/>
                        <w:b/>
                        <w:sz w:val="20"/>
                      </w:rPr>
                      <w:t>the meaning of ‘best practice’/high commitment HRM, and the ways in which bundles of HR practice may be combined</w:t>
                    </w:r>
                    <w:r>
                      <w:rPr>
                        <w:rFonts w:ascii="Arial Narrow Bold" w:hAnsi="Arial Narrow Bold"/>
                        <w:b/>
                        <w:spacing w:val="27"/>
                        <w:sz w:val="20"/>
                      </w:rPr>
                      <w:t> </w:t>
                    </w:r>
                    <w:r>
                      <w:rPr>
                        <w:rFonts w:ascii="Arial Narrow Bold" w:hAnsi="Arial Narrow Bold"/>
                        <w:b/>
                        <w:sz w:val="20"/>
                      </w:rPr>
                      <w:t>together</w:t>
                    </w:r>
                  </w:p>
                  <w:p>
                    <w:pPr>
                      <w:numPr>
                        <w:ilvl w:val="0"/>
                        <w:numId w:val="3"/>
                      </w:numPr>
                      <w:tabs>
                        <w:tab w:pos="444" w:val="left" w:leader="none"/>
                      </w:tabs>
                      <w:spacing w:before="113"/>
                      <w:ind w:left="443" w:right="158" w:hanging="283"/>
                      <w:jc w:val="left"/>
                      <w:rPr>
                        <w:rFonts w:ascii="Arial Narrow Bold"/>
                        <w:b/>
                        <w:sz w:val="20"/>
                      </w:rPr>
                    </w:pPr>
                    <w:r>
                      <w:rPr>
                        <w:rFonts w:ascii="Arial Narrow Bold"/>
                        <w:b/>
                        <w:sz w:val="20"/>
                      </w:rPr>
                      <w:t>the contribution of HR policies and practices to improvements  in</w:t>
                    </w:r>
                    <w:r>
                      <w:rPr>
                        <w:rFonts w:ascii="Arial Narrow Bold"/>
                        <w:b/>
                        <w:spacing w:val="45"/>
                        <w:sz w:val="20"/>
                      </w:rPr>
                      <w:t> </w:t>
                    </w:r>
                    <w:r>
                      <w:rPr>
                        <w:rFonts w:ascii="Arial Narrow Bold"/>
                        <w:b/>
                        <w:sz w:val="20"/>
                      </w:rPr>
                      <w:t>organisational</w:t>
                    </w:r>
                    <w:r>
                      <w:rPr>
                        <w:rFonts w:ascii="Arial Narrow Bold"/>
                        <w:b/>
                        <w:spacing w:val="4"/>
                        <w:sz w:val="20"/>
                      </w:rPr>
                      <w:t> </w:t>
                    </w:r>
                    <w:r>
                      <w:rPr>
                        <w:rFonts w:ascii="Arial Narrow Bold"/>
                        <w:b/>
                        <w:sz w:val="20"/>
                      </w:rPr>
                      <w:t>performance</w:t>
                    </w:r>
                  </w:p>
                  <w:p>
                    <w:pPr>
                      <w:numPr>
                        <w:ilvl w:val="0"/>
                        <w:numId w:val="3"/>
                      </w:numPr>
                      <w:tabs>
                        <w:tab w:pos="444" w:val="left" w:leader="none"/>
                      </w:tabs>
                      <w:spacing w:before="113"/>
                      <w:ind w:left="443" w:right="158" w:hanging="283"/>
                      <w:jc w:val="left"/>
                      <w:rPr>
                        <w:rFonts w:ascii="Arial Narrow Bold" w:hAnsi="Arial Narrow Bold"/>
                        <w:b/>
                        <w:sz w:val="20"/>
                      </w:rPr>
                    </w:pPr>
                    <w:r>
                      <w:rPr>
                        <w:rFonts w:ascii="Arial Narrow Bold" w:hAnsi="Arial Narrow Bold"/>
                        <w:b/>
                        <w:sz w:val="20"/>
                      </w:rPr>
                      <w:t>the theoretical, methodological and empirical concerns about claims that ‘best practice’ HRM can be applied universally in all</w:t>
                    </w:r>
                    <w:r>
                      <w:rPr>
                        <w:rFonts w:ascii="Arial Narrow Bold" w:hAnsi="Arial Narrow Bold"/>
                        <w:b/>
                        <w:spacing w:val="22"/>
                        <w:sz w:val="20"/>
                      </w:rPr>
                      <w:t> </w:t>
                    </w:r>
                    <w:r>
                      <w:rPr>
                        <w:rFonts w:ascii="Arial Narrow Bold" w:hAnsi="Arial Narrow Bold"/>
                        <w:b/>
                        <w:sz w:val="20"/>
                      </w:rPr>
                      <w:t>organisations.</w:t>
                    </w:r>
                  </w:p>
                </w:txbxContent>
              </v:textbox>
              <w10:wrap type="none"/>
            </v:shape>
            <w10:wrap type="none"/>
          </v:group>
        </w:pict>
      </w:r>
      <w:r>
        <w:rPr>
          <w:color w:val="5E792D"/>
        </w:rPr>
        <w:t>71</w:t>
      </w:r>
    </w:p>
    <w:p>
      <w:pPr>
        <w:spacing w:after="0"/>
        <w:jc w:val="right"/>
        <w:sectPr>
          <w:type w:val="continuous"/>
          <w:pgSz w:w="10040" w:h="13950"/>
          <w:pgMar w:top="960" w:bottom="0" w:left="1400" w:right="1140"/>
        </w:sectPr>
      </w:pPr>
    </w:p>
    <w:p>
      <w:pPr>
        <w:pStyle w:val="BodyText"/>
        <w:rPr>
          <w:rFonts w:ascii="Arial Narrow Bold"/>
          <w:b/>
        </w:rPr>
      </w:pPr>
    </w:p>
    <w:p>
      <w:pPr>
        <w:spacing w:before="182"/>
        <w:ind w:left="460" w:right="0" w:firstLine="0"/>
        <w:jc w:val="both"/>
        <w:rPr>
          <w:rFonts w:ascii="Arial Narrow Bold"/>
          <w:b/>
          <w:sz w:val="24"/>
        </w:rPr>
      </w:pPr>
      <w:r>
        <w:rPr>
          <w:rFonts w:ascii="Arial Narrow Bold"/>
          <w:b/>
          <w:color w:val="5E792D"/>
          <w:sz w:val="24"/>
        </w:rPr>
        <w:t>DEFINING AND  MEASURING HIGH  COMMITMENT HRM </w:t>
      </w:r>
    </w:p>
    <w:p>
      <w:pPr>
        <w:pStyle w:val="BodyText"/>
        <w:spacing w:before="76"/>
        <w:ind w:left="460" w:right="192"/>
        <w:jc w:val="both"/>
      </w:pPr>
      <w:r>
        <w:rPr/>
        <w:t>In recent years, there has been much interest in the notion of ‘best practice’ human resource management (HRM). Sometimes this is referred to as ‘high performance work systems’ (Berg 1999; Appelbaum </w:t>
      </w:r>
      <w:r>
        <w:rPr>
          <w:rFonts w:ascii="Arial Narrow Italic" w:hAnsi="Arial Narrow Italic"/>
          <w:i/>
        </w:rPr>
        <w:t>et al </w:t>
      </w:r>
      <w:r>
        <w:rPr/>
        <w:t>2000), ‘high commitment’ HRM (Walton 1985; Guest 2001a, 2001b) or ‘high involvement’ HRM (Wood 1999a). Whatever the terminology, the idea is that a particular set (or number) of HR practices has the potential to bring about improved organisational performance for all organisations. Since the 1990s, a number of US publications have  explored the links between HRM and performance (eg Arthur 1994; Pfeffer 1994; Huselid 1995;  MacDufﬁe  1995;  Delaney  and  Huselid  1996;  Delery  and  Doty  1996;  Huselid  </w:t>
      </w:r>
      <w:r>
        <w:rPr>
          <w:spacing w:val="11"/>
        </w:rPr>
        <w:t> </w:t>
      </w:r>
      <w:r>
        <w:rPr/>
        <w:t>and</w:t>
      </w:r>
    </w:p>
    <w:p>
      <w:pPr>
        <w:pStyle w:val="BodyText"/>
        <w:ind w:left="460" w:right="192"/>
        <w:jc w:val="both"/>
      </w:pPr>
      <w:r>
        <w:rPr/>
        <w:t>Becker 1996; </w:t>
      </w:r>
      <w:r>
        <w:rPr>
          <w:spacing w:val="-3"/>
        </w:rPr>
        <w:t>Youndt </w:t>
      </w:r>
      <w:r>
        <w:rPr>
          <w:rFonts w:ascii="Arial Narrow Italic"/>
          <w:i/>
        </w:rPr>
        <w:t>et al </w:t>
      </w:r>
      <w:r>
        <w:rPr/>
        <w:t>1996; Ichniowski </w:t>
      </w:r>
      <w:r>
        <w:rPr>
          <w:rFonts w:ascii="Arial Narrow Italic"/>
          <w:i/>
        </w:rPr>
        <w:t>et al </w:t>
      </w:r>
      <w:r>
        <w:rPr/>
        <w:t>1997; Pfeffer 1998; Appelbaum </w:t>
      </w:r>
      <w:r>
        <w:rPr>
          <w:rFonts w:ascii="Arial Narrow Italic"/>
          <w:i/>
        </w:rPr>
        <w:t>et al </w:t>
      </w:r>
      <w:r>
        <w:rPr/>
        <w:t>2000; Cappelli and Neumark 2001; Batt </w:t>
      </w:r>
      <w:r>
        <w:rPr>
          <w:rFonts w:ascii="Arial Narrow Italic"/>
          <w:i/>
        </w:rPr>
        <w:t>et al </w:t>
      </w:r>
      <w:r>
        <w:rPr/>
        <w:t>2002; Bartell 2004). This has been supplemented by   an increasing number of studies in Britain (eg Wood 1995; Wood and Albanese 1995; Patterson </w:t>
      </w:r>
      <w:r>
        <w:rPr>
          <w:rFonts w:ascii="Arial Narrow Italic"/>
          <w:i/>
        </w:rPr>
        <w:t>et al </w:t>
      </w:r>
      <w:r>
        <w:rPr/>
        <w:t>1997; Guest and Conway 1998; Wood and de Menezes 1998; Wood 1999b; Guest </w:t>
      </w:r>
      <w:r>
        <w:rPr>
          <w:rFonts w:ascii="Arial Narrow Italic"/>
          <w:i/>
        </w:rPr>
        <w:t>et al </w:t>
      </w:r>
      <w:r>
        <w:rPr/>
        <w:t>2000a, 2000b, 2003; Purcell </w:t>
      </w:r>
      <w:r>
        <w:rPr>
          <w:rFonts w:ascii="Arial Narrow Italic"/>
          <w:i/>
        </w:rPr>
        <w:t>et al </w:t>
      </w:r>
      <w:r>
        <w:rPr/>
        <w:t>2003), several of which have been published by the</w:t>
      </w:r>
      <w:r>
        <w:rPr>
          <w:spacing w:val="4"/>
        </w:rPr>
        <w:t> </w:t>
      </w:r>
      <w:r>
        <w:rPr/>
        <w:t>CIPD.</w:t>
      </w:r>
    </w:p>
    <w:p>
      <w:pPr>
        <w:pStyle w:val="BodyText"/>
        <w:spacing w:before="12"/>
        <w:rPr>
          <w:sz w:val="19"/>
        </w:rPr>
      </w:pPr>
    </w:p>
    <w:p>
      <w:pPr>
        <w:pStyle w:val="BodyText"/>
        <w:ind w:left="460" w:right="192"/>
        <w:jc w:val="both"/>
      </w:pPr>
      <w:r>
        <w:rPr/>
        <w:t>Despite this substantial and growing output, it is still difﬁcult to draw generalised conclusions from these studies for a number of reasons. Some of the principal differences between the studies are:</w:t>
      </w:r>
    </w:p>
    <w:p>
      <w:pPr>
        <w:pStyle w:val="BodyText"/>
        <w:spacing w:before="12"/>
        <w:rPr>
          <w:sz w:val="19"/>
        </w:rPr>
      </w:pPr>
    </w:p>
    <w:p>
      <w:pPr>
        <w:pStyle w:val="ListParagraph"/>
        <w:numPr>
          <w:ilvl w:val="1"/>
          <w:numId w:val="1"/>
        </w:numPr>
        <w:tabs>
          <w:tab w:pos="1034" w:val="left" w:leader="none"/>
        </w:tabs>
        <w:spacing w:line="240" w:lineRule="auto" w:before="0" w:after="0"/>
        <w:ind w:left="1033" w:right="0" w:hanging="281"/>
        <w:jc w:val="left"/>
        <w:rPr>
          <w:sz w:val="20"/>
        </w:rPr>
      </w:pPr>
      <w:r>
        <w:rPr>
          <w:sz w:val="20"/>
        </w:rPr>
        <w:t>the nature and type of HR practices</w:t>
      </w:r>
      <w:r>
        <w:rPr>
          <w:spacing w:val="27"/>
          <w:sz w:val="20"/>
        </w:rPr>
        <w:t> </w:t>
      </w:r>
      <w:r>
        <w:rPr>
          <w:sz w:val="20"/>
        </w:rPr>
        <w:t>examined</w:t>
      </w:r>
    </w:p>
    <w:p>
      <w:pPr>
        <w:pStyle w:val="ListParagraph"/>
        <w:numPr>
          <w:ilvl w:val="1"/>
          <w:numId w:val="1"/>
        </w:numPr>
        <w:tabs>
          <w:tab w:pos="1034" w:val="left" w:leader="none"/>
        </w:tabs>
        <w:spacing w:line="240" w:lineRule="auto" w:before="56" w:after="0"/>
        <w:ind w:left="1033" w:right="0" w:hanging="281"/>
        <w:jc w:val="left"/>
        <w:rPr>
          <w:sz w:val="20"/>
        </w:rPr>
      </w:pPr>
      <w:r>
        <w:rPr>
          <w:sz w:val="20"/>
        </w:rPr>
        <w:t>the proxies developed for each of these</w:t>
      </w:r>
      <w:r>
        <w:rPr>
          <w:spacing w:val="27"/>
          <w:sz w:val="20"/>
        </w:rPr>
        <w:t> </w:t>
      </w:r>
      <w:r>
        <w:rPr>
          <w:sz w:val="20"/>
        </w:rPr>
        <w:t>practices</w:t>
      </w:r>
    </w:p>
    <w:p>
      <w:pPr>
        <w:pStyle w:val="ListParagraph"/>
        <w:numPr>
          <w:ilvl w:val="1"/>
          <w:numId w:val="1"/>
        </w:numPr>
        <w:tabs>
          <w:tab w:pos="1034" w:val="left" w:leader="none"/>
        </w:tabs>
        <w:spacing w:line="240" w:lineRule="auto" w:before="56" w:after="0"/>
        <w:ind w:left="1033" w:right="0" w:hanging="281"/>
        <w:jc w:val="left"/>
        <w:rPr>
          <w:sz w:val="20"/>
        </w:rPr>
      </w:pPr>
      <w:r>
        <w:rPr>
          <w:sz w:val="20"/>
        </w:rPr>
        <w:t>the measures of performance</w:t>
      </w:r>
      <w:r>
        <w:rPr>
          <w:spacing w:val="15"/>
          <w:sz w:val="20"/>
        </w:rPr>
        <w:t> </w:t>
      </w:r>
      <w:r>
        <w:rPr>
          <w:sz w:val="20"/>
        </w:rPr>
        <w:t>used</w:t>
      </w:r>
    </w:p>
    <w:p>
      <w:pPr>
        <w:pStyle w:val="ListParagraph"/>
        <w:numPr>
          <w:ilvl w:val="1"/>
          <w:numId w:val="1"/>
        </w:numPr>
        <w:tabs>
          <w:tab w:pos="1034" w:val="left" w:leader="none"/>
        </w:tabs>
        <w:spacing w:line="240" w:lineRule="auto" w:before="56" w:after="0"/>
        <w:ind w:left="1033" w:right="0" w:hanging="281"/>
        <w:jc w:val="left"/>
        <w:rPr>
          <w:sz w:val="20"/>
        </w:rPr>
      </w:pPr>
      <w:r>
        <w:rPr>
          <w:sz w:val="20"/>
        </w:rPr>
        <w:t>the sectors in which the studies have taken</w:t>
      </w:r>
      <w:r>
        <w:rPr>
          <w:spacing w:val="31"/>
          <w:sz w:val="20"/>
        </w:rPr>
        <w:t> </w:t>
      </w:r>
      <w:r>
        <w:rPr>
          <w:sz w:val="20"/>
        </w:rPr>
        <w:t>place</w:t>
      </w:r>
    </w:p>
    <w:p>
      <w:pPr>
        <w:pStyle w:val="ListParagraph"/>
        <w:numPr>
          <w:ilvl w:val="1"/>
          <w:numId w:val="1"/>
        </w:numPr>
        <w:tabs>
          <w:tab w:pos="1034" w:val="left" w:leader="none"/>
        </w:tabs>
        <w:spacing w:line="240" w:lineRule="auto" w:before="56" w:after="0"/>
        <w:ind w:left="1033" w:right="0" w:hanging="281"/>
        <w:jc w:val="left"/>
        <w:rPr>
          <w:sz w:val="20"/>
        </w:rPr>
      </w:pPr>
      <w:r>
        <w:rPr>
          <w:sz w:val="20"/>
        </w:rPr>
        <w:t>the methods of data</w:t>
      </w:r>
      <w:r>
        <w:rPr>
          <w:spacing w:val="15"/>
          <w:sz w:val="20"/>
        </w:rPr>
        <w:t> </w:t>
      </w:r>
      <w:r>
        <w:rPr>
          <w:sz w:val="20"/>
        </w:rPr>
        <w:t>collection</w:t>
      </w:r>
    </w:p>
    <w:p>
      <w:pPr>
        <w:pStyle w:val="ListParagraph"/>
        <w:numPr>
          <w:ilvl w:val="1"/>
          <w:numId w:val="1"/>
        </w:numPr>
        <w:tabs>
          <w:tab w:pos="1034" w:val="left" w:leader="none"/>
        </w:tabs>
        <w:spacing w:line="240" w:lineRule="auto" w:before="56" w:after="0"/>
        <w:ind w:left="1033" w:right="0" w:hanging="281"/>
        <w:jc w:val="left"/>
        <w:rPr>
          <w:sz w:val="20"/>
        </w:rPr>
      </w:pPr>
      <w:r>
        <w:rPr>
          <w:sz w:val="20"/>
        </w:rPr>
        <w:t>the respondents from whom information has been</w:t>
      </w:r>
      <w:r>
        <w:rPr>
          <w:spacing w:val="27"/>
          <w:sz w:val="20"/>
        </w:rPr>
        <w:t> </w:t>
      </w:r>
      <w:r>
        <w:rPr>
          <w:sz w:val="20"/>
        </w:rPr>
        <w:t>sought.</w:t>
      </w:r>
    </w:p>
    <w:p>
      <w:pPr>
        <w:pStyle w:val="BodyText"/>
        <w:spacing w:before="12"/>
        <w:rPr>
          <w:sz w:val="19"/>
        </w:rPr>
      </w:pPr>
    </w:p>
    <w:p>
      <w:pPr>
        <w:pStyle w:val="BodyText"/>
        <w:ind w:left="460" w:right="192"/>
        <w:jc w:val="both"/>
      </w:pPr>
      <w:r>
        <w:rPr/>
        <w:t>Guest (1997, p263) argued some time ago that there is ‘little additive value in these and  </w:t>
      </w:r>
      <w:r>
        <w:rPr>
          <w:spacing w:val="45"/>
        </w:rPr>
        <w:t> </w:t>
      </w:r>
      <w:r>
        <w:rPr/>
        <w:t>whilst statistically sophisticated, they lack theoretical rigour’. Despite a plea for more theoretical models to underpin empirical research, this has not prevented even more of these sorts of studies taking place, and there remains concern about the strength of the conclusions that can be drawn from them. There are also more serious and deep-seated disagreements about the extent to which high commitment HRM is something all employers might wish or be able to implement, and to what extent the precise mix of practices varies between countries and types of employer, as well as whether or not it is equally attractive to workers. These issues are taken up later in the</w:t>
      </w:r>
      <w:r>
        <w:rPr>
          <w:spacing w:val="18"/>
        </w:rPr>
        <w:t> </w:t>
      </w:r>
      <w:r>
        <w:rPr/>
        <w:t>chapter.</w:t>
      </w:r>
    </w:p>
    <w:p>
      <w:pPr>
        <w:pStyle w:val="BodyText"/>
        <w:spacing w:before="12"/>
        <w:rPr>
          <w:sz w:val="19"/>
        </w:rPr>
      </w:pPr>
    </w:p>
    <w:p>
      <w:pPr>
        <w:pStyle w:val="BodyText"/>
        <w:ind w:left="460" w:right="192"/>
        <w:jc w:val="both"/>
      </w:pPr>
      <w:r>
        <w:rPr/>
        <w:t>Rather than review all of the studies mentioned above – which would be lengthy  and  repetitive – we have decided instead to focus on the list of high commitment HR practices outlined by Pfeffer (1998), and adapt these for a UK/European context. For example, our analysis makes use of a wider deﬁnition of employee involvement and information sharing </w:t>
      </w:r>
      <w:r>
        <w:rPr>
          <w:spacing w:val="45"/>
        </w:rPr>
        <w:t> </w:t>
      </w:r>
      <w:r>
        <w:rPr/>
        <w:t>that incorporates the notion of employee voice (Marchington and Grugulis 2000; Dundon </w:t>
      </w:r>
      <w:r>
        <w:rPr>
          <w:rFonts w:ascii="Arial Narrow Italic" w:hAnsi="Arial Narrow Italic"/>
          <w:i/>
        </w:rPr>
        <w:t>et al </w:t>
      </w:r>
      <w:r>
        <w:rPr/>
        <w:t>2004). Box 9 outlines this list of HR</w:t>
      </w:r>
      <w:r>
        <w:rPr>
          <w:spacing w:val="31"/>
        </w:rPr>
        <w:t> </w:t>
      </w:r>
      <w:r>
        <w:rPr/>
        <w:t>practices.</w:t>
      </w:r>
    </w:p>
    <w:p>
      <w:pPr>
        <w:spacing w:after="0"/>
        <w:jc w:val="both"/>
        <w:sectPr>
          <w:headerReference w:type="even" r:id="rId6"/>
          <w:headerReference w:type="default" r:id="rId7"/>
          <w:footerReference w:type="even" r:id="rId8"/>
          <w:footerReference w:type="default" r:id="rId9"/>
          <w:pgSz w:w="10040" w:h="13950"/>
          <w:pgMar w:header="455" w:footer="531" w:top="640" w:bottom="720" w:left="1120" w:right="1400"/>
          <w:pgNumType w:start="72"/>
        </w:sectPr>
      </w:pPr>
    </w:p>
    <w:p>
      <w:pPr>
        <w:pStyle w:val="BodyText"/>
      </w:pPr>
    </w:p>
    <w:p>
      <w:pPr>
        <w:pStyle w:val="BodyText"/>
        <w:spacing w:before="4" w:after="1"/>
      </w:pPr>
    </w:p>
    <w:p>
      <w:pPr>
        <w:pStyle w:val="BodyText"/>
        <w:ind w:left="180"/>
      </w:pPr>
      <w:r>
        <w:rPr/>
        <w:pict>
          <v:shape style="width:343pt;height:144.6pt;mso-position-horizontal-relative:char;mso-position-vertical-relative:line" type="#_x0000_t202" filled="true" fillcolor="#eff2ea" stroked="false">
            <w10:anchorlock/>
            <v:textbox inset="0,0,0,0">
              <w:txbxContent>
                <w:p>
                  <w:pPr>
                    <w:tabs>
                      <w:tab w:pos="1127" w:val="left" w:leader="none"/>
                    </w:tabs>
                    <w:spacing w:line="240" w:lineRule="exact" w:before="140"/>
                    <w:ind w:left="1127" w:right="934" w:hanging="968"/>
                    <w:jc w:val="left"/>
                    <w:rPr>
                      <w:rFonts w:ascii="Arial Narrow Bold" w:hAnsi="Arial Narrow Bold"/>
                      <w:b/>
                      <w:sz w:val="24"/>
                    </w:rPr>
                  </w:pPr>
                  <w:r>
                    <w:rPr>
                      <w:rFonts w:ascii="Arial Narrow Bold" w:hAnsi="Arial Narrow Bold"/>
                      <w:b/>
                      <w:color w:val="5E792D"/>
                      <w:spacing w:val="14"/>
                      <w:sz w:val="24"/>
                    </w:rPr>
                    <w:t>BOX</w:t>
                  </w:r>
                  <w:r>
                    <w:rPr>
                      <w:rFonts w:ascii="Arial Narrow Bold" w:hAnsi="Arial Narrow Bold"/>
                      <w:b/>
                      <w:color w:val="5E792D"/>
                      <w:spacing w:val="47"/>
                      <w:sz w:val="24"/>
                    </w:rPr>
                    <w:t> </w:t>
                  </w:r>
                  <w:r>
                    <w:rPr>
                      <w:rFonts w:ascii="Arial Narrow Bold" w:hAnsi="Arial Narrow Bold"/>
                      <w:b/>
                      <w:color w:val="5E792D"/>
                      <w:sz w:val="24"/>
                    </w:rPr>
                    <w:t>9</w:t>
                    <w:tab/>
                  </w:r>
                  <w:r>
                    <w:rPr>
                      <w:rFonts w:ascii="Arial Narrow Bold" w:hAnsi="Arial Narrow Bold"/>
                      <w:b/>
                      <w:color w:val="5E792D"/>
                      <w:spacing w:val="18"/>
                      <w:sz w:val="24"/>
                    </w:rPr>
                    <w:t>COMPONENTS  </w:t>
                  </w:r>
                  <w:r>
                    <w:rPr>
                      <w:rFonts w:ascii="Arial Narrow Bold" w:hAnsi="Arial Narrow Bold"/>
                      <w:b/>
                      <w:color w:val="5E792D"/>
                      <w:spacing w:val="10"/>
                      <w:sz w:val="24"/>
                    </w:rPr>
                    <w:t>OF</w:t>
                  </w:r>
                  <w:r>
                    <w:rPr>
                      <w:rFonts w:ascii="Arial Narrow Bold" w:hAnsi="Arial Narrow Bold"/>
                      <w:b/>
                      <w:color w:val="5E792D"/>
                      <w:spacing w:val="19"/>
                      <w:sz w:val="24"/>
                    </w:rPr>
                    <w:t> </w:t>
                  </w:r>
                  <w:r>
                    <w:rPr>
                      <w:rFonts w:ascii="Arial Narrow Bold" w:hAnsi="Arial Narrow Bold"/>
                      <w:b/>
                      <w:color w:val="5E792D"/>
                      <w:spacing w:val="16"/>
                      <w:sz w:val="24"/>
                    </w:rPr>
                    <w:t>‘BEST</w:t>
                  </w:r>
                  <w:r>
                    <w:rPr>
                      <w:rFonts w:ascii="Arial Narrow Bold" w:hAnsi="Arial Narrow Bold"/>
                      <w:b/>
                      <w:color w:val="5E792D"/>
                      <w:spacing w:val="54"/>
                      <w:sz w:val="24"/>
                    </w:rPr>
                    <w:t> </w:t>
                  </w:r>
                  <w:r>
                    <w:rPr>
                      <w:rFonts w:ascii="Arial Narrow Bold" w:hAnsi="Arial Narrow Bold"/>
                      <w:b/>
                      <w:color w:val="5E792D"/>
                      <w:spacing w:val="19"/>
                      <w:sz w:val="24"/>
                    </w:rPr>
                    <w:t>PRACTICE’/HIGH</w:t>
                  </w:r>
                  <w:r>
                    <w:rPr>
                      <w:rFonts w:ascii="Arial Narrow Bold" w:hAnsi="Arial Narrow Bold"/>
                      <w:b/>
                      <w:color w:val="5E792D"/>
                      <w:spacing w:val="-33"/>
                      <w:sz w:val="24"/>
                    </w:rPr>
                    <w:t> </w:t>
                  </w:r>
                  <w:r>
                    <w:rPr>
                      <w:rFonts w:ascii="Arial Narrow Bold" w:hAnsi="Arial Narrow Bold"/>
                      <w:b/>
                      <w:color w:val="5E792D"/>
                      <w:spacing w:val="18"/>
                      <w:sz w:val="24"/>
                    </w:rPr>
                    <w:t>COMMITMENT</w:t>
                  </w:r>
                  <w:r>
                    <w:rPr>
                      <w:rFonts w:ascii="Arial Narrow Bold" w:hAnsi="Arial Narrow Bold"/>
                      <w:b/>
                      <w:color w:val="5E792D"/>
                      <w:spacing w:val="56"/>
                      <w:sz w:val="24"/>
                    </w:rPr>
                    <w:t> </w:t>
                  </w:r>
                  <w:r>
                    <w:rPr>
                      <w:rFonts w:ascii="Arial Narrow Bold" w:hAnsi="Arial Narrow Bold"/>
                      <w:b/>
                      <w:color w:val="5E792D"/>
                      <w:spacing w:val="14"/>
                      <w:sz w:val="24"/>
                    </w:rPr>
                    <w:t>HRM</w:t>
                  </w:r>
                  <w:r>
                    <w:rPr>
                      <w:rFonts w:ascii="Arial Narrow Bold" w:hAnsi="Arial Narrow Bold"/>
                      <w:b/>
                      <w:color w:val="5E792D"/>
                      <w:spacing w:val="-33"/>
                      <w:sz w:val="24"/>
                    </w:rPr>
                    <w:t> </w:t>
                  </w:r>
                </w:p>
                <w:p>
                  <w:pPr>
                    <w:pStyle w:val="ListParagraph"/>
                    <w:numPr>
                      <w:ilvl w:val="0"/>
                      <w:numId w:val="4"/>
                    </w:numPr>
                    <w:tabs>
                      <w:tab w:pos="734" w:val="left" w:leader="none"/>
                    </w:tabs>
                    <w:spacing w:line="240" w:lineRule="auto" w:before="138" w:after="0"/>
                    <w:ind w:left="733" w:right="0" w:hanging="282"/>
                    <w:jc w:val="left"/>
                    <w:rPr>
                      <w:sz w:val="20"/>
                    </w:rPr>
                  </w:pPr>
                  <w:r>
                    <w:rPr>
                      <w:sz w:val="20"/>
                    </w:rPr>
                    <w:t>Employment security and internal labour</w:t>
                  </w:r>
                  <w:r>
                    <w:rPr>
                      <w:spacing w:val="19"/>
                      <w:sz w:val="20"/>
                    </w:rPr>
                    <w:t> </w:t>
                  </w:r>
                  <w:r>
                    <w:rPr>
                      <w:sz w:val="20"/>
                    </w:rPr>
                    <w:t>markets</w:t>
                  </w:r>
                </w:p>
                <w:p>
                  <w:pPr>
                    <w:pStyle w:val="ListParagraph"/>
                    <w:numPr>
                      <w:ilvl w:val="0"/>
                      <w:numId w:val="4"/>
                    </w:numPr>
                    <w:tabs>
                      <w:tab w:pos="734" w:val="left" w:leader="none"/>
                    </w:tabs>
                    <w:spacing w:line="240" w:lineRule="auto" w:before="56" w:after="0"/>
                    <w:ind w:left="733" w:right="0" w:hanging="282"/>
                    <w:jc w:val="left"/>
                    <w:rPr>
                      <w:sz w:val="20"/>
                    </w:rPr>
                  </w:pPr>
                  <w:r>
                    <w:rPr>
                      <w:sz w:val="20"/>
                    </w:rPr>
                    <w:t>Selective hiring and sophisticated</w:t>
                  </w:r>
                  <w:r>
                    <w:rPr>
                      <w:spacing w:val="15"/>
                      <w:sz w:val="20"/>
                    </w:rPr>
                    <w:t> </w:t>
                  </w:r>
                  <w:r>
                    <w:rPr>
                      <w:sz w:val="20"/>
                    </w:rPr>
                    <w:t>selection</w:t>
                  </w:r>
                </w:p>
                <w:p>
                  <w:pPr>
                    <w:pStyle w:val="ListParagraph"/>
                    <w:numPr>
                      <w:ilvl w:val="0"/>
                      <w:numId w:val="4"/>
                    </w:numPr>
                    <w:tabs>
                      <w:tab w:pos="734" w:val="left" w:leader="none"/>
                    </w:tabs>
                    <w:spacing w:line="240" w:lineRule="auto" w:before="56" w:after="0"/>
                    <w:ind w:left="733" w:right="0" w:hanging="282"/>
                    <w:jc w:val="left"/>
                    <w:rPr>
                      <w:sz w:val="20"/>
                    </w:rPr>
                  </w:pPr>
                  <w:r>
                    <w:rPr>
                      <w:sz w:val="20"/>
                    </w:rPr>
                    <w:t>Extensive training, learning and</w:t>
                  </w:r>
                  <w:r>
                    <w:rPr>
                      <w:spacing w:val="15"/>
                      <w:sz w:val="20"/>
                    </w:rPr>
                    <w:t> </w:t>
                  </w:r>
                  <w:r>
                    <w:rPr>
                      <w:sz w:val="20"/>
                    </w:rPr>
                    <w:t>development</w:t>
                  </w:r>
                </w:p>
                <w:p>
                  <w:pPr>
                    <w:pStyle w:val="ListParagraph"/>
                    <w:numPr>
                      <w:ilvl w:val="0"/>
                      <w:numId w:val="4"/>
                    </w:numPr>
                    <w:tabs>
                      <w:tab w:pos="734" w:val="left" w:leader="none"/>
                    </w:tabs>
                    <w:spacing w:line="240" w:lineRule="auto" w:before="56" w:after="0"/>
                    <w:ind w:left="733" w:right="0" w:hanging="282"/>
                    <w:jc w:val="left"/>
                    <w:rPr>
                      <w:sz w:val="20"/>
                    </w:rPr>
                  </w:pPr>
                  <w:r>
                    <w:rPr>
                      <w:sz w:val="20"/>
                    </w:rPr>
                    <w:t>Employee involvement, information sharing and worker</w:t>
                  </w:r>
                  <w:r>
                    <w:rPr>
                      <w:spacing w:val="23"/>
                      <w:sz w:val="20"/>
                    </w:rPr>
                    <w:t> </w:t>
                  </w:r>
                  <w:r>
                    <w:rPr>
                      <w:sz w:val="20"/>
                    </w:rPr>
                    <w:t>voice</w:t>
                  </w:r>
                </w:p>
                <w:p>
                  <w:pPr>
                    <w:pStyle w:val="ListParagraph"/>
                    <w:numPr>
                      <w:ilvl w:val="0"/>
                      <w:numId w:val="4"/>
                    </w:numPr>
                    <w:tabs>
                      <w:tab w:pos="734" w:val="left" w:leader="none"/>
                    </w:tabs>
                    <w:spacing w:line="240" w:lineRule="auto" w:before="56" w:after="0"/>
                    <w:ind w:left="733" w:right="0" w:hanging="282"/>
                    <w:jc w:val="left"/>
                    <w:rPr>
                      <w:sz w:val="20"/>
                    </w:rPr>
                  </w:pPr>
                  <w:r>
                    <w:rPr>
                      <w:sz w:val="20"/>
                    </w:rPr>
                    <w:t>Self-managed</w:t>
                  </w:r>
                  <w:r>
                    <w:rPr>
                      <w:spacing w:val="4"/>
                      <w:sz w:val="20"/>
                    </w:rPr>
                    <w:t> </w:t>
                  </w:r>
                  <w:r>
                    <w:rPr>
                      <w:sz w:val="20"/>
                    </w:rPr>
                    <w:t>teams/teamworking</w:t>
                  </w:r>
                </w:p>
                <w:p>
                  <w:pPr>
                    <w:pStyle w:val="ListParagraph"/>
                    <w:numPr>
                      <w:ilvl w:val="0"/>
                      <w:numId w:val="4"/>
                    </w:numPr>
                    <w:tabs>
                      <w:tab w:pos="734" w:val="left" w:leader="none"/>
                    </w:tabs>
                    <w:spacing w:line="240" w:lineRule="auto" w:before="56" w:after="0"/>
                    <w:ind w:left="733" w:right="0" w:hanging="282"/>
                    <w:jc w:val="left"/>
                    <w:rPr>
                      <w:sz w:val="20"/>
                    </w:rPr>
                  </w:pPr>
                  <w:r>
                    <w:rPr>
                      <w:sz w:val="20"/>
                    </w:rPr>
                    <w:t>High compensation contingent on</w:t>
                  </w:r>
                  <w:r>
                    <w:rPr>
                      <w:spacing w:val="15"/>
                      <w:sz w:val="20"/>
                    </w:rPr>
                    <w:t> </w:t>
                  </w:r>
                  <w:r>
                    <w:rPr>
                      <w:sz w:val="20"/>
                    </w:rPr>
                    <w:t>performance</w:t>
                  </w:r>
                </w:p>
                <w:p>
                  <w:pPr>
                    <w:pStyle w:val="ListParagraph"/>
                    <w:numPr>
                      <w:ilvl w:val="0"/>
                      <w:numId w:val="4"/>
                    </w:numPr>
                    <w:tabs>
                      <w:tab w:pos="734" w:val="left" w:leader="none"/>
                    </w:tabs>
                    <w:spacing w:line="240" w:lineRule="auto" w:before="56" w:after="0"/>
                    <w:ind w:left="733" w:right="0" w:hanging="282"/>
                    <w:jc w:val="left"/>
                    <w:rPr>
                      <w:sz w:val="20"/>
                    </w:rPr>
                  </w:pPr>
                  <w:r>
                    <w:rPr>
                      <w:sz w:val="20"/>
                    </w:rPr>
                    <w:t>Reduction of status</w:t>
                  </w:r>
                  <w:r>
                    <w:rPr>
                      <w:spacing w:val="8"/>
                      <w:sz w:val="20"/>
                    </w:rPr>
                    <w:t> </w:t>
                  </w:r>
                  <w:r>
                    <w:rPr>
                      <w:sz w:val="20"/>
                    </w:rPr>
                    <w:t>differentials/harmonisation</w:t>
                  </w:r>
                </w:p>
              </w:txbxContent>
            </v:textbox>
            <v:fill type="solid"/>
          </v:shape>
        </w:pict>
      </w:r>
      <w:r>
        <w:rPr/>
      </w:r>
    </w:p>
    <w:p>
      <w:pPr>
        <w:spacing w:line="244" w:lineRule="auto" w:before="47"/>
        <w:ind w:left="180" w:right="362" w:firstLine="0"/>
        <w:jc w:val="left"/>
        <w:rPr>
          <w:sz w:val="18"/>
        </w:rPr>
      </w:pPr>
      <w:r>
        <w:rPr>
          <w:rFonts w:ascii="Arial Narrow Italic" w:hAnsi="Arial Narrow Italic"/>
          <w:i/>
          <w:sz w:val="18"/>
        </w:rPr>
        <w:t>Source</w:t>
      </w:r>
      <w:r>
        <w:rPr>
          <w:sz w:val="18"/>
        </w:rPr>
        <w:t>: Adapted from Pfeffer J. </w:t>
      </w:r>
      <w:r>
        <w:rPr>
          <w:rFonts w:ascii="Arial Narrow Italic" w:hAnsi="Arial Narrow Italic"/>
          <w:i/>
          <w:sz w:val="18"/>
        </w:rPr>
        <w:t>The Human Equation: Building proﬁts by putting people ﬁrst</w:t>
      </w:r>
      <w:r>
        <w:rPr>
          <w:sz w:val="18"/>
        </w:rPr>
        <w:t>. Boston, Harvard Business School Press. 1998</w:t>
      </w:r>
    </w:p>
    <w:p>
      <w:pPr>
        <w:pStyle w:val="BodyText"/>
        <w:spacing w:before="11"/>
        <w:rPr>
          <w:sz w:val="24"/>
        </w:rPr>
      </w:pPr>
    </w:p>
    <w:p>
      <w:pPr>
        <w:pStyle w:val="Heading1"/>
        <w:spacing w:before="0"/>
      </w:pPr>
      <w:r>
        <w:rPr>
          <w:color w:val="5E792D"/>
        </w:rPr>
        <w:t>Employment security and internal labour markets</w:t>
      </w:r>
    </w:p>
    <w:p>
      <w:pPr>
        <w:pStyle w:val="BodyText"/>
        <w:spacing w:before="48"/>
        <w:ind w:left="180" w:right="452"/>
        <w:jc w:val="both"/>
      </w:pPr>
      <w:r>
        <w:rPr/>
        <w:t>Pfeffer (1998) regards employment security as fundamentally underpinning the other six HR practices, principally because it is regarded as unrealistic to ask employees to offer their</w:t>
      </w:r>
      <w:r>
        <w:rPr>
          <w:spacing w:val="45"/>
        </w:rPr>
        <w:t> </w:t>
      </w:r>
      <w:r>
        <w:rPr/>
        <w:t>ideas, hard work and commitment without some expectation of employment security and concern for their future careers. The contribution a positive psychological contract makes to open and trusting employment relationships (Holman </w:t>
      </w:r>
      <w:r>
        <w:rPr>
          <w:rFonts w:ascii="Arial Narrow Italic"/>
          <w:i/>
        </w:rPr>
        <w:t>et al </w:t>
      </w:r>
      <w:r>
        <w:rPr/>
        <w:t>2003), and the notion of mutuality that is seen as a key component in partnership agreements both relate to this. For example, whilst the partnership agreement at Borg Warner does not contain an explicit statement about employment security, both managers and shop stewards from the company recognise that </w:t>
      </w:r>
      <w:r>
        <w:rPr>
          <w:spacing w:val="45"/>
        </w:rPr>
        <w:t> </w:t>
      </w:r>
      <w:r>
        <w:rPr/>
        <w:t>the plant could not have stayed open without employee support (Suff and Williams 2003, </w:t>
      </w:r>
      <w:r>
        <w:rPr>
          <w:spacing w:val="45"/>
        </w:rPr>
        <w:t> </w:t>
      </w:r>
      <w:r>
        <w:rPr/>
        <w:t>p39).</w:t>
      </w:r>
    </w:p>
    <w:p>
      <w:pPr>
        <w:pStyle w:val="BodyText"/>
        <w:spacing w:before="12"/>
        <w:rPr>
          <w:sz w:val="19"/>
        </w:rPr>
      </w:pPr>
    </w:p>
    <w:p>
      <w:pPr>
        <w:pStyle w:val="BodyText"/>
        <w:ind w:left="180" w:right="452"/>
        <w:jc w:val="both"/>
      </w:pPr>
      <w:r>
        <w:rPr/>
        <w:t>There are obviously limits to how much employment security can be guaranteed. It does not mean that employees are necessarily able to stay in the same job for life, nor does it prevent the dismissal of staff who fail to perform to the required level. Similarly, a major collapse in  </w:t>
      </w:r>
      <w:r>
        <w:rPr>
          <w:spacing w:val="45"/>
        </w:rPr>
        <w:t> </w:t>
      </w:r>
      <w:r>
        <w:rPr/>
        <w:t>the product market that necessitates reductions in the labour force should not be seen as undermining this principle. The most signiﬁcant point about including employment security as one of the high commitment HR practices is that it asserts that job reductions will be avoided wherever possible, and that employees should expect to maintain their employment with the organisation – if appropriate through internal transfers. Employment security can  be</w:t>
      </w:r>
      <w:r>
        <w:rPr>
          <w:spacing w:val="45"/>
        </w:rPr>
        <w:t> </w:t>
      </w:r>
      <w:r>
        <w:rPr/>
        <w:t>enhanced by well-devised and forward-looking systems of human resource planning (see Chapter 6) and an understanding of how organisations may be structured to achieve ﬂexibility (Chapter 2). It is perhaps best summed up by the view that workers should be treated not as   a variable cost but as a critical asset in the long-term viability and success of  the</w:t>
      </w:r>
      <w:r>
        <w:rPr>
          <w:spacing w:val="45"/>
        </w:rPr>
        <w:t> </w:t>
      </w:r>
      <w:r>
        <w:rPr/>
        <w:t>organisation. Indeed, there is also a business case for employment security. As Pfeffer (1998, p66) notes, laying people off too readily ‘constitutes a cost for ﬁrms that have done a good </w:t>
      </w:r>
      <w:r>
        <w:rPr>
          <w:spacing w:val="45"/>
        </w:rPr>
        <w:t> </w:t>
      </w:r>
      <w:r>
        <w:rPr/>
        <w:t>job selecting, training and developing their workforce . . . layoffs put important strategic assets on the street for the competition to</w:t>
      </w:r>
      <w:r>
        <w:rPr>
          <w:spacing w:val="27"/>
        </w:rPr>
        <w:t> </w:t>
      </w:r>
      <w:r>
        <w:rPr/>
        <w:t>employ’.</w:t>
      </w:r>
    </w:p>
    <w:p>
      <w:pPr>
        <w:pStyle w:val="BodyText"/>
        <w:spacing w:before="12"/>
        <w:rPr>
          <w:sz w:val="19"/>
        </w:rPr>
      </w:pPr>
    </w:p>
    <w:p>
      <w:pPr>
        <w:pStyle w:val="BodyText"/>
        <w:ind w:left="180" w:right="452"/>
        <w:jc w:val="both"/>
      </w:pPr>
      <w:r>
        <w:rPr/>
        <w:t>The deﬁnition and measurement of employment security has varied considerably, to a large extent depending on whether information is sought about policy or practice. For example, Wood and Albanese (1995) include three measures in reaching their assessment of employment security: a policy of no compulsory redundancy; the  use  of  temporaries</w:t>
      </w:r>
      <w:r>
        <w:rPr>
          <w:spacing w:val="45"/>
        </w:rPr>
        <w:t> </w:t>
      </w:r>
      <w:r>
        <w:rPr/>
        <w:t>primarily</w:t>
      </w:r>
      <w:r>
        <w:rPr>
          <w:spacing w:val="25"/>
        </w:rPr>
        <w:t> </w:t>
      </w:r>
      <w:r>
        <w:rPr/>
        <w:t>to</w:t>
      </w:r>
      <w:r>
        <w:rPr>
          <w:spacing w:val="25"/>
        </w:rPr>
        <w:t> </w:t>
      </w:r>
      <w:r>
        <w:rPr/>
        <w:t>protect</w:t>
      </w:r>
      <w:r>
        <w:rPr>
          <w:spacing w:val="25"/>
        </w:rPr>
        <w:t> </w:t>
      </w:r>
      <w:r>
        <w:rPr/>
        <w:t>the</w:t>
      </w:r>
      <w:r>
        <w:rPr>
          <w:spacing w:val="25"/>
        </w:rPr>
        <w:t> </w:t>
      </w:r>
      <w:r>
        <w:rPr/>
        <w:t>core</w:t>
      </w:r>
      <w:r>
        <w:rPr>
          <w:spacing w:val="25"/>
        </w:rPr>
        <w:t> </w:t>
      </w:r>
      <w:r>
        <w:rPr/>
        <w:t>workforce;</w:t>
      </w:r>
      <w:r>
        <w:rPr>
          <w:spacing w:val="25"/>
        </w:rPr>
        <w:t> </w:t>
      </w:r>
      <w:r>
        <w:rPr/>
        <w:t>and</w:t>
      </w:r>
      <w:r>
        <w:rPr>
          <w:spacing w:val="25"/>
        </w:rPr>
        <w:t> </w:t>
      </w:r>
      <w:r>
        <w:rPr/>
        <w:t>an</w:t>
      </w:r>
      <w:r>
        <w:rPr>
          <w:spacing w:val="25"/>
        </w:rPr>
        <w:t> </w:t>
      </w:r>
      <w:r>
        <w:rPr/>
        <w:t>expectation</w:t>
      </w:r>
      <w:r>
        <w:rPr>
          <w:spacing w:val="25"/>
        </w:rPr>
        <w:t> </w:t>
      </w:r>
      <w:r>
        <w:rPr/>
        <w:t>on</w:t>
      </w:r>
      <w:r>
        <w:rPr>
          <w:spacing w:val="25"/>
        </w:rPr>
        <w:t> </w:t>
      </w:r>
      <w:r>
        <w:rPr/>
        <w:t>the</w:t>
      </w:r>
      <w:r>
        <w:rPr>
          <w:spacing w:val="25"/>
        </w:rPr>
        <w:t> </w:t>
      </w:r>
      <w:r>
        <w:rPr/>
        <w:t>part</w:t>
      </w:r>
      <w:r>
        <w:rPr>
          <w:spacing w:val="25"/>
        </w:rPr>
        <w:t> </w:t>
      </w:r>
      <w:r>
        <w:rPr/>
        <w:t>of</w:t>
      </w:r>
      <w:r>
        <w:rPr>
          <w:spacing w:val="25"/>
        </w:rPr>
        <w:t> </w:t>
      </w:r>
      <w:r>
        <w:rPr/>
        <w:t>senior</w:t>
      </w:r>
      <w:r>
        <w:rPr>
          <w:spacing w:val="25"/>
        </w:rPr>
        <w:t> </w:t>
      </w:r>
      <w:r>
        <w:rPr/>
        <w:t>managers</w:t>
      </w:r>
    </w:p>
    <w:p>
      <w:pPr>
        <w:spacing w:after="0"/>
        <w:jc w:val="both"/>
        <w:sectPr>
          <w:pgSz w:w="10040" w:h="13950"/>
          <w:pgMar w:header="455" w:footer="527" w:top="640" w:bottom="720" w:left="1400" w:right="1140"/>
        </w:sectPr>
      </w:pPr>
    </w:p>
    <w:p>
      <w:pPr>
        <w:pStyle w:val="BodyText"/>
      </w:pPr>
    </w:p>
    <w:p>
      <w:pPr>
        <w:pStyle w:val="BodyText"/>
        <w:rPr>
          <w:sz w:val="16"/>
        </w:rPr>
      </w:pPr>
    </w:p>
    <w:p>
      <w:pPr>
        <w:pStyle w:val="BodyText"/>
        <w:spacing w:before="1"/>
        <w:ind w:left="460" w:right="192"/>
        <w:jc w:val="both"/>
      </w:pPr>
      <w:r>
        <w:rPr/>
        <w:t>that new employees will stay with the ﬁrm until retirement.  Delaney  and  Huselid  (1996) asked managerial respondents about ‘ﬁlling vacancies from within and creating opportunities for internal promotion’ as a proxy for employment security. Guest </w:t>
      </w:r>
      <w:r>
        <w:rPr>
          <w:rFonts w:ascii="Arial Narrow Italic" w:hAnsi="Arial Narrow Italic"/>
          <w:i/>
        </w:rPr>
        <w:t>et al </w:t>
      </w:r>
      <w:r>
        <w:rPr/>
        <w:t>(2000a) use the presence or absence of a ‘job security guarantee for non-managerial employees’, ﬁnding   </w:t>
      </w:r>
      <w:r>
        <w:rPr>
          <w:spacing w:val="45"/>
        </w:rPr>
        <w:t> </w:t>
      </w:r>
      <w:r>
        <w:rPr/>
        <w:t>that this is only reported by a very small number of workplaces – 5 per cent in the private sector, 15 per cent in the public. Guest </w:t>
      </w:r>
      <w:r>
        <w:rPr>
          <w:rFonts w:ascii="Arial Narrow Italic" w:hAnsi="Arial Narrow Italic"/>
          <w:i/>
        </w:rPr>
        <w:t>et al </w:t>
      </w:r>
      <w:r>
        <w:rPr/>
        <w:t>(2003) ask a mix of questions about internal</w:t>
      </w:r>
      <w:r>
        <w:rPr>
          <w:spacing w:val="45"/>
        </w:rPr>
        <w:t> </w:t>
      </w:r>
      <w:r>
        <w:rPr/>
        <w:t>labour markets and organisational commitment to employment security, as well as enquiring about whether or not compulsory or voluntary redundancies have occurred in the last three years. Over half of these organisations acknowledged that compulsory redundancies had taken place during this period. Box 10 provides information on employment security at  different</w:t>
      </w:r>
      <w:r>
        <w:rPr>
          <w:spacing w:val="10"/>
        </w:rPr>
        <w:t> </w:t>
      </w:r>
      <w:r>
        <w:rPr/>
        <w:t>organisations.</w:t>
      </w:r>
    </w:p>
    <w:p>
      <w:pPr>
        <w:pStyle w:val="BodyText"/>
      </w:pPr>
    </w:p>
    <w:p>
      <w:pPr>
        <w:pStyle w:val="BodyText"/>
      </w:pPr>
    </w:p>
    <w:p>
      <w:pPr>
        <w:pStyle w:val="Heading1"/>
        <w:spacing w:before="164"/>
        <w:ind w:left="620"/>
      </w:pPr>
      <w:r>
        <w:rPr/>
        <w:pict>
          <v:rect style="position:absolute;margin-left:79.004013pt;margin-top:3.343244pt;width:342.992pt;height:319.36203pt;mso-position-horizontal-relative:page;mso-position-vertical-relative:paragraph;z-index:-28360" filled="true" fillcolor="#eff2ea" stroked="false">
            <v:fill type="solid"/>
            <w10:wrap type="none"/>
          </v:rect>
        </w:pict>
      </w:r>
      <w:r>
        <w:rPr>
          <w:color w:val="5E792D"/>
        </w:rPr>
        <w:t>BOX  10     EMPLOYMENT SECURITY PROVISIONS </w:t>
      </w:r>
    </w:p>
    <w:p>
      <w:pPr>
        <w:pStyle w:val="BodyText"/>
        <w:spacing w:before="4"/>
        <w:rPr>
          <w:rFonts w:ascii="Arial Narrow Bold"/>
          <w:b/>
          <w:sz w:val="26"/>
        </w:rPr>
      </w:pPr>
    </w:p>
    <w:p>
      <w:pPr>
        <w:pStyle w:val="Heading2"/>
        <w:ind w:left="620"/>
        <w:jc w:val="both"/>
      </w:pPr>
      <w:r>
        <w:rPr>
          <w:color w:val="5E792D"/>
        </w:rPr>
        <w:t>Inland Revenue</w:t>
      </w:r>
    </w:p>
    <w:p>
      <w:pPr>
        <w:spacing w:before="0"/>
        <w:ind w:left="620" w:right="352" w:firstLine="0"/>
        <w:jc w:val="both"/>
        <w:rPr>
          <w:rFonts w:ascii="Arial Narrow Italic" w:hAnsi="Arial Narrow Italic"/>
          <w:i/>
          <w:sz w:val="20"/>
        </w:rPr>
      </w:pPr>
      <w:r>
        <w:rPr>
          <w:rFonts w:ascii="Arial Narrow Italic" w:hAnsi="Arial Narrow Italic"/>
          <w:i/>
          <w:sz w:val="20"/>
        </w:rPr>
        <w:t>‘The Inland Revenue is committed to avoiding compulsory redundancies except as a very last resort, and one which it will do its utmost to avoid.’</w:t>
      </w:r>
    </w:p>
    <w:p>
      <w:pPr>
        <w:pStyle w:val="BodyText"/>
        <w:spacing w:before="12"/>
        <w:rPr>
          <w:rFonts w:ascii="Arial Narrow Italic"/>
          <w:i/>
          <w:sz w:val="19"/>
        </w:rPr>
      </w:pPr>
    </w:p>
    <w:p>
      <w:pPr>
        <w:pStyle w:val="Heading2"/>
        <w:ind w:left="620"/>
        <w:jc w:val="both"/>
      </w:pPr>
      <w:r>
        <w:rPr>
          <w:color w:val="5E792D"/>
        </w:rPr>
        <w:t>The Co-operative Bank</w:t>
      </w:r>
    </w:p>
    <w:p>
      <w:pPr>
        <w:spacing w:before="0"/>
        <w:ind w:left="620" w:right="352" w:firstLine="0"/>
        <w:jc w:val="both"/>
        <w:rPr>
          <w:rFonts w:ascii="Arial Narrow Italic" w:hAnsi="Arial Narrow Italic"/>
          <w:i/>
          <w:sz w:val="20"/>
        </w:rPr>
      </w:pPr>
      <w:r>
        <w:rPr>
          <w:rFonts w:ascii="Arial Narrow Italic" w:hAnsi="Arial Narrow Italic"/>
          <w:i/>
          <w:sz w:val="20"/>
        </w:rPr>
        <w:t>‘to jointly recognise that effective use of the revised organisational change process (agreed with UNIFI) will require continued commitment to maintain an approach which keeps the number of redundancies to a minimum and achieves redundancies on a voluntary basis, as far as</w:t>
      </w:r>
      <w:r>
        <w:rPr>
          <w:rFonts w:ascii="Arial Narrow Italic" w:hAnsi="Arial Narrow Italic"/>
          <w:i/>
          <w:spacing w:val="19"/>
          <w:sz w:val="20"/>
        </w:rPr>
        <w:t> </w:t>
      </w:r>
      <w:r>
        <w:rPr>
          <w:rFonts w:ascii="Arial Narrow Italic" w:hAnsi="Arial Narrow Italic"/>
          <w:i/>
          <w:sz w:val="20"/>
        </w:rPr>
        <w:t>possible.’</w:t>
      </w:r>
    </w:p>
    <w:p>
      <w:pPr>
        <w:pStyle w:val="BodyText"/>
        <w:spacing w:before="12"/>
        <w:rPr>
          <w:rFonts w:ascii="Arial Narrow Italic"/>
          <w:i/>
          <w:sz w:val="19"/>
        </w:rPr>
      </w:pPr>
    </w:p>
    <w:p>
      <w:pPr>
        <w:pStyle w:val="Heading2"/>
        <w:ind w:left="620"/>
        <w:jc w:val="both"/>
      </w:pPr>
      <w:r>
        <w:rPr>
          <w:color w:val="5E792D"/>
        </w:rPr>
        <w:t>Welsh Water</w:t>
      </w:r>
    </w:p>
    <w:p>
      <w:pPr>
        <w:spacing w:before="0"/>
        <w:ind w:left="620" w:right="352" w:firstLine="0"/>
        <w:jc w:val="both"/>
        <w:rPr>
          <w:rFonts w:ascii="Arial Narrow Italic" w:hAnsi="Arial Narrow Italic"/>
          <w:i/>
          <w:sz w:val="20"/>
        </w:rPr>
      </w:pPr>
      <w:r>
        <w:rPr>
          <w:rFonts w:ascii="Arial Narrow Italic" w:hAnsi="Arial Narrow Italic"/>
          <w:i/>
          <w:sz w:val="20"/>
        </w:rPr>
        <w:t>‘Partnership gives employment security – in these days of rapid change it is impossible to give a guarantee of job security – that is, doing the same job at the same location doing the same things. But it does mean that permanent staff who want to continue working for the company can continue to do so providing they understand their obligations – to share responsibility for continual improvements in meeting business objectives and providing </w:t>
      </w:r>
      <w:r>
        <w:rPr>
          <w:rFonts w:ascii="Arial Narrow Italic" w:hAnsi="Arial Narrow Italic"/>
          <w:i/>
          <w:spacing w:val="45"/>
          <w:sz w:val="20"/>
        </w:rPr>
        <w:t> </w:t>
      </w:r>
      <w:r>
        <w:rPr>
          <w:rFonts w:ascii="Arial Narrow Italic" w:hAnsi="Arial Narrow Italic"/>
          <w:i/>
          <w:sz w:val="20"/>
        </w:rPr>
        <w:t>the highest levels of customer</w:t>
      </w:r>
      <w:r>
        <w:rPr>
          <w:rFonts w:ascii="Arial Narrow Italic" w:hAnsi="Arial Narrow Italic"/>
          <w:i/>
          <w:spacing w:val="19"/>
          <w:sz w:val="20"/>
        </w:rPr>
        <w:t> </w:t>
      </w:r>
      <w:r>
        <w:rPr>
          <w:rFonts w:ascii="Arial Narrow Italic" w:hAnsi="Arial Narrow Italic"/>
          <w:i/>
          <w:sz w:val="20"/>
        </w:rPr>
        <w:t>service.’</w:t>
      </w:r>
    </w:p>
    <w:p>
      <w:pPr>
        <w:pStyle w:val="BodyText"/>
        <w:spacing w:before="12"/>
        <w:rPr>
          <w:rFonts w:ascii="Arial Narrow Italic"/>
          <w:i/>
          <w:sz w:val="19"/>
        </w:rPr>
      </w:pPr>
    </w:p>
    <w:p>
      <w:pPr>
        <w:pStyle w:val="Heading2"/>
        <w:ind w:left="620"/>
        <w:jc w:val="both"/>
      </w:pPr>
      <w:r>
        <w:rPr>
          <w:color w:val="5E792D"/>
        </w:rPr>
        <w:t>BMW Hams Hall</w:t>
      </w:r>
    </w:p>
    <w:p>
      <w:pPr>
        <w:spacing w:before="0"/>
        <w:ind w:left="620" w:right="352" w:firstLine="0"/>
        <w:jc w:val="both"/>
        <w:rPr>
          <w:rFonts w:ascii="Arial Narrow Italic" w:hAnsi="Arial Narrow Italic"/>
          <w:i/>
          <w:sz w:val="20"/>
        </w:rPr>
      </w:pPr>
      <w:r>
        <w:rPr>
          <w:rFonts w:ascii="Arial Narrow Italic" w:hAnsi="Arial Narrow Italic"/>
          <w:i/>
          <w:sz w:val="20"/>
        </w:rPr>
        <w:t>‘The company and the trade union ofﬁcers . . . both seek to establish a productive and harmonious relationship between the parties. Job security, prosperity and development depend upon the company continuing to grow and be successful. Both parties recognise the objective is to achieve long-term prosperity.’</w:t>
      </w:r>
    </w:p>
    <w:p>
      <w:pPr>
        <w:pStyle w:val="BodyText"/>
        <w:spacing w:before="11"/>
        <w:rPr>
          <w:rFonts w:ascii="Arial Narrow Italic"/>
          <w:i/>
        </w:rPr>
      </w:pPr>
    </w:p>
    <w:p>
      <w:pPr>
        <w:spacing w:before="0"/>
        <w:ind w:left="460" w:right="0" w:firstLine="0"/>
        <w:jc w:val="both"/>
        <w:rPr>
          <w:sz w:val="18"/>
        </w:rPr>
      </w:pPr>
      <w:r>
        <w:rPr>
          <w:rFonts w:ascii="Arial Narrow Italic"/>
          <w:i/>
          <w:sz w:val="18"/>
        </w:rPr>
        <w:t>Source</w:t>
      </w:r>
      <w:r>
        <w:rPr>
          <w:sz w:val="18"/>
        </w:rPr>
        <w:t>: Adapted from various publications by the Involvement and Participation Association</w:t>
      </w:r>
    </w:p>
    <w:p>
      <w:pPr>
        <w:pStyle w:val="BodyText"/>
        <w:spacing w:before="8"/>
        <w:rPr>
          <w:sz w:val="29"/>
        </w:rPr>
      </w:pPr>
      <w:r>
        <w:rPr/>
        <w:pict>
          <v:group style="position:absolute;margin-left:79.004013pt;margin-top:19.79628pt;width:343pt;height:53.15pt;mso-position-horizontal-relative:page;mso-position-vertical-relative:paragraph;z-index:1192;mso-wrap-distance-left:0;mso-wrap-distance-right:0" coordorigin="1580,396" coordsize="6860,1063">
            <v:rect style="position:absolute;left:1670;top:486;width:6765;height:968" filled="true" fillcolor="#5e792d" stroked="false">
              <v:fill type="solid"/>
            </v:rect>
            <v:rect style="position:absolute;left:1670;top:486;width:6765;height:968" filled="false" stroked="true" strokeweight=".5pt" strokecolor="#5e792d"/>
            <v:shape style="position:absolute;left:1580;top:396;width:6775;height:978" type="#_x0000_t202" filled="true" fillcolor="#eff2ea" stroked="false">
              <v:textbox inset="0,0,0,0">
                <w:txbxContent>
                  <w:p>
                    <w:pPr>
                      <w:spacing w:before="107"/>
                      <w:ind w:left="159" w:right="158" w:firstLine="0"/>
                      <w:jc w:val="both"/>
                      <w:rPr>
                        <w:sz w:val="20"/>
                      </w:rPr>
                    </w:pPr>
                    <w:r>
                      <w:rPr>
                        <w:sz w:val="20"/>
                      </w:rPr>
                      <w:t>After reading Box 10, to what extent do you think that employment security is an important aspect of work and does it give an indication to workers that they are being treated properly by employers?</w:t>
                    </w:r>
                  </w:p>
                </w:txbxContent>
              </v:textbox>
              <v:fill type="solid"/>
              <w10:wrap type="none"/>
            </v:shape>
            <w10:wrap type="topAndBottom"/>
          </v:group>
        </w:pict>
      </w:r>
    </w:p>
    <w:p>
      <w:pPr>
        <w:spacing w:after="0"/>
        <w:rPr>
          <w:sz w:val="29"/>
        </w:rPr>
        <w:sectPr>
          <w:pgSz w:w="10040" w:h="13950"/>
          <w:pgMar w:header="455" w:footer="531" w:top="640" w:bottom="720" w:left="1120" w:right="1400"/>
        </w:sectPr>
      </w:pPr>
    </w:p>
    <w:p>
      <w:pPr>
        <w:pStyle w:val="BodyText"/>
      </w:pPr>
    </w:p>
    <w:p>
      <w:pPr>
        <w:pStyle w:val="BodyText"/>
        <w:rPr>
          <w:sz w:val="16"/>
        </w:rPr>
      </w:pPr>
    </w:p>
    <w:p>
      <w:pPr>
        <w:pStyle w:val="BodyText"/>
        <w:ind w:left="180" w:right="452"/>
        <w:jc w:val="both"/>
      </w:pPr>
      <w:r>
        <w:rPr/>
        <w:t>Pfeffer (1998, p183) reckons that compulsory lay-offs and downsizing undermine employment security, and sees the following as alternatives: (1) proportionately reducing working hours to ‘spread the pain’ of reduced employment costs across the entire workforce; (2) reducing wages to reduce the labour costs; (3) freezing recruitment to prevent overstafﬁng; and (4) putting production workers into sales to build up</w:t>
      </w:r>
      <w:r>
        <w:rPr>
          <w:spacing w:val="31"/>
        </w:rPr>
        <w:t> </w:t>
      </w:r>
      <w:r>
        <w:rPr/>
        <w:t>demand.</w:t>
      </w:r>
    </w:p>
    <w:p>
      <w:pPr>
        <w:pStyle w:val="BodyText"/>
        <w:spacing w:before="12"/>
        <w:rPr>
          <w:sz w:val="19"/>
        </w:rPr>
      </w:pPr>
    </w:p>
    <w:p>
      <w:pPr>
        <w:pStyle w:val="BodyText"/>
        <w:ind w:left="180" w:right="452"/>
        <w:jc w:val="both"/>
      </w:pPr>
      <w:r>
        <w:rPr/>
        <w:t>This is some way short of full-blown employment security, and it is clear that employment security is not expected to reduce corporate proﬁts. The employer’s ﬁnancial ﬂexibility is maintained by increasing employee workloads and by ensuring that salaries are related to organisational performance in the event of a downturn in demand.</w:t>
      </w:r>
    </w:p>
    <w:p>
      <w:pPr>
        <w:pStyle w:val="BodyText"/>
        <w:spacing w:before="8"/>
        <w:rPr>
          <w:sz w:val="16"/>
        </w:rPr>
      </w:pPr>
    </w:p>
    <w:p>
      <w:pPr>
        <w:pStyle w:val="Heading1"/>
      </w:pPr>
      <w:r>
        <w:rPr>
          <w:color w:val="5E792D"/>
        </w:rPr>
        <w:t>Selective hiring and sophisticated selection</w:t>
      </w:r>
    </w:p>
    <w:p>
      <w:pPr>
        <w:pStyle w:val="BodyText"/>
        <w:spacing w:before="48"/>
        <w:ind w:left="180" w:right="451"/>
        <w:jc w:val="both"/>
      </w:pPr>
      <w:r>
        <w:rPr/>
        <w:t>Recruiting and retaining outstanding people and ‘capturing a stock of exceptional human talent’ (Boxall 1996, p66–67) is seen as an effective way to achieve sustained competitive advantage. Even though employers have always wanted to  recruit  the  best  people</w:t>
      </w:r>
      <w:r>
        <w:rPr>
          <w:spacing w:val="45"/>
        </w:rPr>
        <w:t> </w:t>
      </w:r>
      <w:r>
        <w:rPr/>
        <w:t>available, this is nowadays more likely to be systematised through the use of sophisticated selection techniques and taking greater care when hiring. Increasingly,  employers  are  looking for applicants who possess a range of social, interpersonal and teamworking skills    </w:t>
      </w:r>
      <w:r>
        <w:rPr>
          <w:spacing w:val="45"/>
        </w:rPr>
        <w:t> </w:t>
      </w:r>
      <w:r>
        <w:rPr/>
        <w:t>in addition to technical ability. For example, Wood and de Menezes (1998) asked about      </w:t>
      </w:r>
      <w:r>
        <w:rPr>
          <w:spacing w:val="45"/>
        </w:rPr>
        <w:t> </w:t>
      </w:r>
      <w:r>
        <w:rPr/>
        <w:t>the importance of social and teamworking skills as selection criteria, and  Wood  and  Albanese (1995) found that two of the major facets sought by employers were trainability   </w:t>
      </w:r>
      <w:r>
        <w:rPr>
          <w:spacing w:val="45"/>
        </w:rPr>
        <w:t> </w:t>
      </w:r>
      <w:r>
        <w:rPr/>
        <w:t>and commitment. Hoque’s (1999) study of large  hotels  also  identiﬁed  trainability  as  a  major selection criterion. Indeed, in a growing number of situations, it would appear that employers feel that they can provide technical training for people so long as they have the ‘right’ social skills, attitudes and commitment (Sturdy </w:t>
      </w:r>
      <w:r>
        <w:rPr>
          <w:rFonts w:ascii="Arial Narrow Italic" w:hAnsi="Arial Narrow Italic"/>
          <w:i/>
        </w:rPr>
        <w:t>et al </w:t>
      </w:r>
      <w:r>
        <w:rPr/>
        <w:t>2001; Callaghan and Thompson, 2002; Marchington </w:t>
      </w:r>
      <w:r>
        <w:rPr>
          <w:rFonts w:ascii="Arial Narrow Italic" w:hAnsi="Arial Narrow Italic"/>
          <w:i/>
        </w:rPr>
        <w:t>et al </w:t>
      </w:r>
      <w:r>
        <w:rPr>
          <w:rFonts w:ascii="Arial Narrow Italic" w:hAnsi="Arial Narrow Italic"/>
          <w:i/>
          <w:spacing w:val="40"/>
        </w:rPr>
        <w:t> </w:t>
      </w:r>
      <w:r>
        <w:rPr/>
        <w:t>2003b).</w:t>
      </w:r>
    </w:p>
    <w:p>
      <w:pPr>
        <w:pStyle w:val="BodyText"/>
        <w:spacing w:before="12"/>
        <w:rPr>
          <w:sz w:val="19"/>
        </w:rPr>
      </w:pPr>
    </w:p>
    <w:p>
      <w:pPr>
        <w:pStyle w:val="BodyText"/>
        <w:ind w:left="180"/>
        <w:jc w:val="both"/>
      </w:pPr>
      <w:r>
        <w:rPr/>
        <w:t>The proxies used to measure ‘selective hiring’ vary widely. They include the following:</w:t>
      </w:r>
    </w:p>
    <w:p>
      <w:pPr>
        <w:pStyle w:val="BodyText"/>
        <w:spacing w:before="12"/>
        <w:rPr>
          <w:sz w:val="19"/>
        </w:rPr>
      </w:pPr>
    </w:p>
    <w:p>
      <w:pPr>
        <w:pStyle w:val="ListParagraph"/>
        <w:numPr>
          <w:ilvl w:val="0"/>
          <w:numId w:val="5"/>
        </w:numPr>
        <w:tabs>
          <w:tab w:pos="754" w:val="left" w:leader="none"/>
        </w:tabs>
        <w:spacing w:line="240" w:lineRule="auto" w:before="0" w:after="0"/>
        <w:ind w:left="753" w:right="452" w:hanging="281"/>
        <w:jc w:val="both"/>
        <w:rPr>
          <w:sz w:val="20"/>
        </w:rPr>
      </w:pPr>
      <w:r>
        <w:rPr>
          <w:sz w:val="20"/>
        </w:rPr>
        <w:t>the number of applicants per position (Delaney and Huselid 1996) or as many good applicants as the organisation needs (Guest </w:t>
      </w:r>
      <w:r>
        <w:rPr>
          <w:rFonts w:ascii="Arial Narrow Italic"/>
          <w:i/>
          <w:sz w:val="20"/>
        </w:rPr>
        <w:t>et al</w:t>
      </w:r>
      <w:r>
        <w:rPr>
          <w:rFonts w:ascii="Arial Narrow Italic"/>
          <w:i/>
          <w:spacing w:val="31"/>
          <w:sz w:val="20"/>
        </w:rPr>
        <w:t> </w:t>
      </w:r>
      <w:r>
        <w:rPr>
          <w:sz w:val="20"/>
        </w:rPr>
        <w:t>2003)</w:t>
      </w:r>
    </w:p>
    <w:p>
      <w:pPr>
        <w:pStyle w:val="ListParagraph"/>
        <w:numPr>
          <w:ilvl w:val="0"/>
          <w:numId w:val="5"/>
        </w:numPr>
        <w:tabs>
          <w:tab w:pos="754" w:val="left" w:leader="none"/>
        </w:tabs>
        <w:spacing w:line="240" w:lineRule="auto" w:before="56" w:after="0"/>
        <w:ind w:left="753" w:right="0" w:hanging="281"/>
        <w:jc w:val="left"/>
        <w:rPr>
          <w:sz w:val="20"/>
        </w:rPr>
      </w:pPr>
      <w:r>
        <w:rPr>
          <w:sz w:val="20"/>
        </w:rPr>
        <w:t>the</w:t>
      </w:r>
      <w:r>
        <w:rPr>
          <w:spacing w:val="20"/>
          <w:sz w:val="20"/>
        </w:rPr>
        <w:t> </w:t>
      </w:r>
      <w:r>
        <w:rPr>
          <w:sz w:val="20"/>
        </w:rPr>
        <w:t>proportion</w:t>
      </w:r>
      <w:r>
        <w:rPr>
          <w:spacing w:val="20"/>
          <w:sz w:val="20"/>
        </w:rPr>
        <w:t> </w:t>
      </w:r>
      <w:r>
        <w:rPr>
          <w:sz w:val="20"/>
        </w:rPr>
        <w:t>administered</w:t>
      </w:r>
      <w:r>
        <w:rPr>
          <w:spacing w:val="20"/>
          <w:sz w:val="20"/>
        </w:rPr>
        <w:t> </w:t>
      </w:r>
      <w:r>
        <w:rPr>
          <w:sz w:val="20"/>
        </w:rPr>
        <w:t>an</w:t>
      </w:r>
      <w:r>
        <w:rPr>
          <w:spacing w:val="20"/>
          <w:sz w:val="20"/>
        </w:rPr>
        <w:t> </w:t>
      </w:r>
      <w:r>
        <w:rPr>
          <w:sz w:val="20"/>
        </w:rPr>
        <w:t>employment</w:t>
      </w:r>
      <w:r>
        <w:rPr>
          <w:spacing w:val="20"/>
          <w:sz w:val="20"/>
        </w:rPr>
        <w:t> </w:t>
      </w:r>
      <w:r>
        <w:rPr>
          <w:sz w:val="20"/>
        </w:rPr>
        <w:t>test</w:t>
      </w:r>
      <w:r>
        <w:rPr>
          <w:spacing w:val="20"/>
          <w:sz w:val="20"/>
        </w:rPr>
        <w:t> </w:t>
      </w:r>
      <w:r>
        <w:rPr>
          <w:sz w:val="20"/>
        </w:rPr>
        <w:t>prior</w:t>
      </w:r>
      <w:r>
        <w:rPr>
          <w:spacing w:val="20"/>
          <w:sz w:val="20"/>
        </w:rPr>
        <w:t> </w:t>
      </w:r>
      <w:r>
        <w:rPr>
          <w:sz w:val="20"/>
        </w:rPr>
        <w:t>to</w:t>
      </w:r>
      <w:r>
        <w:rPr>
          <w:spacing w:val="20"/>
          <w:sz w:val="20"/>
        </w:rPr>
        <w:t> </w:t>
      </w:r>
      <w:r>
        <w:rPr>
          <w:sz w:val="20"/>
        </w:rPr>
        <w:t>hiring</w:t>
      </w:r>
      <w:r>
        <w:rPr>
          <w:spacing w:val="20"/>
          <w:sz w:val="20"/>
        </w:rPr>
        <w:t> </w:t>
      </w:r>
      <w:r>
        <w:rPr>
          <w:sz w:val="20"/>
        </w:rPr>
        <w:t>(Huselid</w:t>
      </w:r>
      <w:r>
        <w:rPr>
          <w:spacing w:val="20"/>
          <w:sz w:val="20"/>
        </w:rPr>
        <w:t> </w:t>
      </w:r>
      <w:r>
        <w:rPr>
          <w:sz w:val="20"/>
        </w:rPr>
        <w:t>1995;</w:t>
      </w:r>
      <w:r>
        <w:rPr>
          <w:spacing w:val="20"/>
          <w:sz w:val="20"/>
        </w:rPr>
        <w:t> </w:t>
      </w:r>
      <w:r>
        <w:rPr>
          <w:sz w:val="20"/>
        </w:rPr>
        <w:t>Guest</w:t>
      </w:r>
    </w:p>
    <w:p>
      <w:pPr>
        <w:spacing w:before="0"/>
        <w:ind w:left="753" w:right="0" w:firstLine="0"/>
        <w:jc w:val="left"/>
        <w:rPr>
          <w:sz w:val="20"/>
        </w:rPr>
      </w:pPr>
      <w:r>
        <w:rPr>
          <w:rFonts w:ascii="Arial Narrow Italic"/>
          <w:i/>
          <w:sz w:val="20"/>
        </w:rPr>
        <w:t>et al </w:t>
      </w:r>
      <w:r>
        <w:rPr>
          <w:sz w:val="20"/>
        </w:rPr>
        <w:t>2003)</w:t>
      </w:r>
    </w:p>
    <w:p>
      <w:pPr>
        <w:pStyle w:val="ListParagraph"/>
        <w:numPr>
          <w:ilvl w:val="0"/>
          <w:numId w:val="5"/>
        </w:numPr>
        <w:tabs>
          <w:tab w:pos="754" w:val="left" w:leader="none"/>
        </w:tabs>
        <w:spacing w:line="240" w:lineRule="auto" w:before="56" w:after="0"/>
        <w:ind w:left="753" w:right="452" w:hanging="281"/>
        <w:jc w:val="both"/>
        <w:rPr>
          <w:sz w:val="20"/>
        </w:rPr>
      </w:pPr>
      <w:r>
        <w:rPr>
          <w:sz w:val="20"/>
        </w:rPr>
        <w:t>the sophistication of (selection) processes, such as the use of psychometric tests (Patterson </w:t>
      </w:r>
      <w:r>
        <w:rPr>
          <w:rFonts w:ascii="Arial Narrow Italic"/>
          <w:i/>
          <w:sz w:val="20"/>
        </w:rPr>
        <w:t>et al </w:t>
      </w:r>
      <w:r>
        <w:rPr>
          <w:sz w:val="20"/>
        </w:rPr>
        <w:t>1997) and realistic job previews (Hoque 1999; Guest </w:t>
      </w:r>
      <w:r>
        <w:rPr>
          <w:rFonts w:ascii="Arial Narrow Italic"/>
          <w:i/>
          <w:sz w:val="20"/>
        </w:rPr>
        <w:t>et al </w:t>
      </w:r>
      <w:r>
        <w:rPr>
          <w:sz w:val="20"/>
        </w:rPr>
        <w:t>2000b, 2003).</w:t>
      </w:r>
    </w:p>
    <w:p>
      <w:pPr>
        <w:pStyle w:val="BodyText"/>
        <w:spacing w:before="12"/>
        <w:rPr>
          <w:sz w:val="19"/>
        </w:rPr>
      </w:pPr>
    </w:p>
    <w:p>
      <w:pPr>
        <w:pStyle w:val="BodyText"/>
        <w:ind w:left="180" w:right="452"/>
        <w:jc w:val="both"/>
      </w:pPr>
      <w:r>
        <w:rPr/>
        <w:t>These measures capture quite different components of the selection process and on whether the focus is on the overall approach taken by employers or the precise techniques they use. Moreover some of them emphasise inputs rather than outputs in terms of the quality of those eventually recruited. For example, attracting a large number of applicants for a position may indicate poor HR procedures due to failures to deﬁne the job and the ﬁeld adequately prior to advertising. As we see in Chapter 6, it is also possible that selective hiring, especially when it focuses on how well new recruits might ﬁt with the prevailing organisational culture, can lead  to under-represented groups being excluded from employment. Moreover, an excessive ‘cloning’ of employees could be problematic if the organisation is keen to promote initiative</w:t>
      </w:r>
      <w:r>
        <w:rPr>
          <w:spacing w:val="45"/>
        </w:rPr>
        <w:t> </w:t>
      </w:r>
      <w:r>
        <w:rPr/>
        <w:t>and diversity, and counterproductive if business needs and markets change. On the other hand, there may be situations where it is impossible to attract sufﬁcient applicants due to </w:t>
      </w:r>
      <w:r>
        <w:rPr>
          <w:spacing w:val="45"/>
        </w:rPr>
        <w:t> </w:t>
      </w:r>
      <w:r>
        <w:rPr/>
        <w:t>skills shortages – as with some professional jobs in the health and education sectors – </w:t>
      </w:r>
      <w:r>
        <w:rPr>
          <w:spacing w:val="45"/>
        </w:rPr>
        <w:t> </w:t>
      </w:r>
      <w:r>
        <w:rPr/>
        <w:t>where</w:t>
      </w:r>
    </w:p>
    <w:p>
      <w:pPr>
        <w:spacing w:after="0"/>
        <w:jc w:val="both"/>
        <w:sectPr>
          <w:pgSz w:w="10040" w:h="13950"/>
          <w:pgMar w:header="455" w:footer="527" w:top="640" w:bottom="720" w:left="1400" w:right="1140"/>
        </w:sectPr>
      </w:pPr>
    </w:p>
    <w:p>
      <w:pPr>
        <w:pStyle w:val="BodyText"/>
      </w:pPr>
    </w:p>
    <w:p>
      <w:pPr>
        <w:pStyle w:val="BodyText"/>
        <w:rPr>
          <w:sz w:val="16"/>
        </w:rPr>
      </w:pPr>
    </w:p>
    <w:p>
      <w:pPr>
        <w:pStyle w:val="BodyText"/>
        <w:spacing w:before="1"/>
        <w:ind w:left="460" w:right="192"/>
        <w:jc w:val="both"/>
      </w:pPr>
      <w:r>
        <w:rPr/>
        <w:t>the emphasis shifts to generating a pool of potential recruits rather than ﬁnding more sophisticated ways to choose between them.</w:t>
      </w:r>
    </w:p>
    <w:p>
      <w:pPr>
        <w:pStyle w:val="BodyText"/>
        <w:spacing w:before="12"/>
        <w:rPr>
          <w:sz w:val="19"/>
        </w:rPr>
      </w:pPr>
    </w:p>
    <w:p>
      <w:pPr>
        <w:pStyle w:val="BodyText"/>
        <w:ind w:left="460" w:right="192"/>
        <w:jc w:val="both"/>
      </w:pPr>
      <w:r>
        <w:rPr/>
        <w:t>Recruiting high quality, committed staff is seen as central to ‘best practice’ HRM, and the use of psychometric tests, structured interviews and work sampling is likely to increase the validity of selection decisions. Competencies to be sought at the selection stage include trainability, ﬂexibility, commitment, drive and persistence, and initiative. The key point about ‘best  practice’ selection is that it should be integrated and systematic, making use of  the</w:t>
      </w:r>
      <w:r>
        <w:rPr>
          <w:spacing w:val="45"/>
        </w:rPr>
        <w:t> </w:t>
      </w:r>
      <w:r>
        <w:rPr/>
        <w:t>techniques which are appropriate for the position and the organisation, and administered by individuals who have themselves been</w:t>
      </w:r>
      <w:r>
        <w:rPr>
          <w:spacing w:val="19"/>
        </w:rPr>
        <w:t> </w:t>
      </w:r>
      <w:r>
        <w:rPr/>
        <w:t>trained.</w:t>
      </w:r>
    </w:p>
    <w:p>
      <w:pPr>
        <w:pStyle w:val="BodyText"/>
        <w:spacing w:before="8"/>
        <w:rPr>
          <w:sz w:val="16"/>
        </w:rPr>
      </w:pPr>
    </w:p>
    <w:p>
      <w:pPr>
        <w:pStyle w:val="Heading1"/>
        <w:ind w:left="460"/>
      </w:pPr>
      <w:r>
        <w:rPr>
          <w:color w:val="5E792D"/>
        </w:rPr>
        <w:t>Extensive training, learning and development</w:t>
      </w:r>
    </w:p>
    <w:p>
      <w:pPr>
        <w:pStyle w:val="BodyText"/>
        <w:spacing w:before="48"/>
        <w:ind w:left="460" w:right="192"/>
        <w:jc w:val="both"/>
      </w:pPr>
      <w:r>
        <w:rPr/>
        <w:t>Having recruited ‘outstanding human talent’, employers need to ensure that these people remain at the forefront of their ﬁeld, not only in terms of professional expertise and product knowledge but also through working in teams or in interpersonal relations. Boxall (1996, p67) views this as one element in ‘organisational process advantage’, the idea that employers aim to synergise the contribution of talented and exceptional employees. There is little doubt that there has been a growing recognition of the importance of individual and organisational learning as a source of sustained competitive advantage as employers introduce more skills- speciﬁc forms of training and experience continuing skills shortages in some</w:t>
      </w:r>
      <w:r>
        <w:rPr>
          <w:spacing w:val="43"/>
        </w:rPr>
        <w:t> </w:t>
      </w:r>
      <w:r>
        <w:rPr/>
        <w:t>areas.</w:t>
      </w:r>
    </w:p>
    <w:p>
      <w:pPr>
        <w:pStyle w:val="BodyText"/>
        <w:spacing w:before="12"/>
        <w:rPr>
          <w:sz w:val="19"/>
        </w:rPr>
      </w:pPr>
    </w:p>
    <w:p>
      <w:pPr>
        <w:pStyle w:val="BodyText"/>
        <w:ind w:left="460" w:right="192"/>
        <w:jc w:val="both"/>
      </w:pPr>
      <w:r>
        <w:rPr/>
        <w:t>Wright and Gardner (2003, p312) note this is one of the most widely quoted and important elements of high commitment HRM. The use of the word ‘learning’ is crucial as it</w:t>
      </w:r>
      <w:r>
        <w:rPr>
          <w:spacing w:val="45"/>
        </w:rPr>
        <w:t> </w:t>
      </w:r>
      <w:r>
        <w:rPr/>
        <w:t>demonstrates employer willingness to encourage and facilitate employee development rather than just providing speciﬁc training to cover short-term crises. Different types of measure </w:t>
      </w:r>
      <w:r>
        <w:rPr>
          <w:spacing w:val="45"/>
        </w:rPr>
        <w:t> </w:t>
      </w:r>
      <w:r>
        <w:rPr/>
        <w:t>have been used here: fully ﬂedged ‘learning companies’ (Hoque 1999), employee  development and assessment programmes or task-based and interpersonal skills training </w:t>
      </w:r>
      <w:r>
        <w:rPr>
          <w:spacing w:val="45"/>
        </w:rPr>
        <w:t> </w:t>
      </w:r>
      <w:r>
        <w:rPr/>
        <w:t>(see Chapter 9). The time and effort devoted to learning opportunities is also important. A range of proxies have been used here – such as the number of days’ training received by all workers, the proportion of workers who have been trained, the budget set aside for training,    or the establishment of agreed training targets over a two-year period. The WERS survey</w:t>
      </w:r>
      <w:r>
        <w:rPr>
          <w:spacing w:val="45"/>
        </w:rPr>
        <w:t> </w:t>
      </w:r>
      <w:r>
        <w:rPr/>
        <w:t>used a simple absence/presence distinction in relation to induction training and formal job training, ﬁnding that well over half of all workplaces engaged in this. Training was provided at fewer workplaces in the private sector than the public sector. The CIPD survey (Guest </w:t>
      </w:r>
      <w:r>
        <w:rPr>
          <w:rFonts w:ascii="Arial Narrow Italic" w:hAnsi="Arial Narrow Italic"/>
          <w:i/>
        </w:rPr>
        <w:t>et al </w:t>
      </w:r>
      <w:r>
        <w:rPr/>
        <w:t>2000a, p15) reports, quite surprisingly, that almost one-quarter of respondents claimed to </w:t>
      </w:r>
      <w:r>
        <w:rPr>
          <w:spacing w:val="45"/>
        </w:rPr>
        <w:t> </w:t>
      </w:r>
      <w:r>
        <w:rPr/>
        <w:t>offer at least one month’s training per annum to their staff, although 13 per cent admitted that they provided none at all. West </w:t>
      </w:r>
      <w:r>
        <w:rPr>
          <w:rFonts w:ascii="Arial Narrow Italic" w:hAnsi="Arial Narrow Italic"/>
          <w:i/>
        </w:rPr>
        <w:t>et al </w:t>
      </w:r>
      <w:r>
        <w:rPr/>
        <w:t>(2002) used several measures for assessing training in their study of NHS hospitals, each of which related to the amount of money spent, whilst</w:t>
      </w:r>
      <w:r>
        <w:rPr>
          <w:spacing w:val="45"/>
        </w:rPr>
        <w:t> </w:t>
      </w:r>
      <w:r>
        <w:rPr/>
        <w:t>Guest </w:t>
      </w:r>
      <w:r>
        <w:rPr>
          <w:rFonts w:ascii="Arial Narrow Italic" w:hAnsi="Arial Narrow Italic"/>
          <w:i/>
        </w:rPr>
        <w:t>et al </w:t>
      </w:r>
      <w:r>
        <w:rPr/>
        <w:t>(2003) focused instead on the amount of training received by </w:t>
      </w:r>
      <w:r>
        <w:rPr>
          <w:spacing w:val="6"/>
        </w:rPr>
        <w:t> </w:t>
      </w:r>
      <w:r>
        <w:rPr/>
        <w:t>workers.</w:t>
      </w:r>
    </w:p>
    <w:p>
      <w:pPr>
        <w:pStyle w:val="BodyText"/>
        <w:spacing w:before="12"/>
        <w:rPr>
          <w:sz w:val="19"/>
        </w:rPr>
      </w:pPr>
    </w:p>
    <w:p>
      <w:pPr>
        <w:pStyle w:val="BodyText"/>
        <w:ind w:left="460" w:right="192"/>
        <w:jc w:val="both"/>
      </w:pPr>
      <w:r>
        <w:rPr/>
        <w:t>Of course, there are problems in trying to measure and evaluate the concentration of training and learning. While it is clearly important to establish how much time and resources  employers invest in formal training, and whether or not this covers the entire workforce, it is also crucial to identify the type of training which is provided and who has responsibility for managing this. Quite a number of the studies have looked solely at the ﬁnancial or  quantitative aspects – in terms of money or time invested in training – and ignored the quality or relevance of training and learning that is provided. It is now widely acknowledged that most workers are overqualiﬁed for the jobs they do (Grugulis 2003), and as such extra training may add little to organisational performance or worker skills. Even where training opportunities are provided,</w:t>
      </w:r>
      <w:r>
        <w:rPr>
          <w:spacing w:val="23"/>
        </w:rPr>
        <w:t> </w:t>
      </w:r>
      <w:r>
        <w:rPr/>
        <w:t>there</w:t>
      </w:r>
      <w:r>
        <w:rPr>
          <w:spacing w:val="23"/>
        </w:rPr>
        <w:t> </w:t>
      </w:r>
      <w:r>
        <w:rPr/>
        <w:t>is</w:t>
      </w:r>
      <w:r>
        <w:rPr>
          <w:spacing w:val="23"/>
        </w:rPr>
        <w:t> </w:t>
      </w:r>
      <w:r>
        <w:rPr/>
        <w:t>often</w:t>
      </w:r>
      <w:r>
        <w:rPr>
          <w:spacing w:val="23"/>
        </w:rPr>
        <w:t> </w:t>
      </w:r>
      <w:r>
        <w:rPr/>
        <w:t>‘no</w:t>
      </w:r>
      <w:r>
        <w:rPr>
          <w:spacing w:val="23"/>
        </w:rPr>
        <w:t> </w:t>
      </w:r>
      <w:r>
        <w:rPr/>
        <w:t>explicit</w:t>
      </w:r>
      <w:r>
        <w:rPr>
          <w:spacing w:val="23"/>
        </w:rPr>
        <w:t> </w:t>
      </w:r>
      <w:r>
        <w:rPr/>
        <w:t>aim</w:t>
      </w:r>
      <w:r>
        <w:rPr>
          <w:spacing w:val="23"/>
        </w:rPr>
        <w:t> </w:t>
      </w:r>
      <w:r>
        <w:rPr/>
        <w:t>within</w:t>
      </w:r>
      <w:r>
        <w:rPr>
          <w:spacing w:val="23"/>
        </w:rPr>
        <w:t> </w:t>
      </w:r>
      <w:r>
        <w:rPr/>
        <w:t>the</w:t>
      </w:r>
      <w:r>
        <w:rPr>
          <w:spacing w:val="23"/>
        </w:rPr>
        <w:t> </w:t>
      </w:r>
      <w:r>
        <w:rPr/>
        <w:t>training</w:t>
      </w:r>
      <w:r>
        <w:rPr>
          <w:spacing w:val="23"/>
        </w:rPr>
        <w:t> </w:t>
      </w:r>
      <w:r>
        <w:rPr/>
        <w:t>of</w:t>
      </w:r>
      <w:r>
        <w:rPr>
          <w:spacing w:val="23"/>
        </w:rPr>
        <w:t> </w:t>
      </w:r>
      <w:r>
        <w:rPr/>
        <w:t>increasing</w:t>
      </w:r>
      <w:r>
        <w:rPr>
          <w:spacing w:val="23"/>
        </w:rPr>
        <w:t> </w:t>
      </w:r>
      <w:r>
        <w:rPr/>
        <w:t>the</w:t>
      </w:r>
      <w:r>
        <w:rPr>
          <w:spacing w:val="23"/>
        </w:rPr>
        <w:t> </w:t>
      </w:r>
      <w:r>
        <w:rPr/>
        <w:t>individuals’</w:t>
      </w:r>
      <w:r>
        <w:rPr>
          <w:spacing w:val="18"/>
        </w:rPr>
        <w:t> </w:t>
      </w:r>
      <w:r>
        <w:rPr/>
        <w:t>skill</w:t>
      </w:r>
    </w:p>
    <w:p>
      <w:pPr>
        <w:spacing w:after="0"/>
        <w:jc w:val="both"/>
        <w:sectPr>
          <w:pgSz w:w="10040" w:h="13950"/>
          <w:pgMar w:header="455" w:footer="531" w:top="640" w:bottom="720" w:left="1120" w:right="1400"/>
        </w:sectPr>
      </w:pPr>
    </w:p>
    <w:p>
      <w:pPr>
        <w:pStyle w:val="BodyText"/>
      </w:pPr>
    </w:p>
    <w:p>
      <w:pPr>
        <w:pStyle w:val="BodyText"/>
        <w:rPr>
          <w:sz w:val="16"/>
        </w:rPr>
      </w:pPr>
    </w:p>
    <w:p>
      <w:pPr>
        <w:pStyle w:val="BodyText"/>
        <w:ind w:left="180" w:right="452"/>
        <w:jc w:val="both"/>
      </w:pPr>
      <w:r>
        <w:rPr/>
        <w:t>base or broadening their experience’ (Truss </w:t>
      </w:r>
      <w:r>
        <w:rPr>
          <w:rFonts w:ascii="Arial Narrow Italic" w:hAnsi="Arial Narrow Italic"/>
          <w:i/>
        </w:rPr>
        <w:t>et al </w:t>
      </w:r>
      <w:r>
        <w:rPr/>
        <w:t>1997, p61). Similarly, questions need to be asked about whether or not longer term budget safeguards are established so as to protect training provision (Wood and Albanese 1995) or if training is tied in to ‘increased promotability within the organisation’ (Delery and Doty 1996). The quality of training, both in terms of its focus and its delivery, is clearly more important than a simple count of the amount provided. These issues are taken up again in Chapters 8 and 9.</w:t>
      </w:r>
    </w:p>
    <w:p>
      <w:pPr>
        <w:pStyle w:val="BodyText"/>
        <w:spacing w:before="11"/>
        <w:rPr>
          <w:sz w:val="14"/>
        </w:rPr>
      </w:pPr>
      <w:r>
        <w:rPr/>
        <w:pict>
          <v:group style="position:absolute;margin-left:79.004013pt;margin-top:10.926342pt;width:343pt;height:51.15pt;mso-position-horizontal-relative:page;mso-position-vertical-relative:paragraph;z-index:1264;mso-wrap-distance-left:0;mso-wrap-distance-right:0" coordorigin="1580,219" coordsize="6860,1023">
            <v:rect style="position:absolute;left:1670;top:309;width:6765;height:928" filled="true" fillcolor="#5e792d" stroked="false">
              <v:fill type="solid"/>
            </v:rect>
            <v:rect style="position:absolute;left:1670;top:309;width:6765;height:928" filled="false" stroked="true" strokeweight=".5pt" strokecolor="#5e792d"/>
            <v:shape style="position:absolute;left:1580;top:219;width:6775;height:938" type="#_x0000_t202" filled="true" fillcolor="#eff2ea" stroked="false">
              <v:textbox inset="0,0,0,0">
                <w:txbxContent>
                  <w:p>
                    <w:pPr>
                      <w:spacing w:before="107"/>
                      <w:ind w:left="159" w:right="158" w:firstLine="0"/>
                      <w:jc w:val="both"/>
                      <w:rPr>
                        <w:sz w:val="20"/>
                      </w:rPr>
                    </w:pPr>
                    <w:r>
                      <w:rPr>
                        <w:sz w:val="20"/>
                      </w:rPr>
                      <w:t>How much time has been devoted to training in your organisation – or one with which you are familiar – and what sort of training has been available? </w:t>
                    </w:r>
                    <w:r>
                      <w:rPr>
                        <w:spacing w:val="-10"/>
                        <w:sz w:val="20"/>
                      </w:rPr>
                      <w:t>To </w:t>
                    </w:r>
                    <w:r>
                      <w:rPr>
                        <w:sz w:val="20"/>
                      </w:rPr>
                      <w:t>what extent has it</w:t>
                    </w:r>
                    <w:r>
                      <w:rPr>
                        <w:spacing w:val="45"/>
                        <w:sz w:val="20"/>
                      </w:rPr>
                      <w:t> </w:t>
                    </w:r>
                    <w:r>
                      <w:rPr>
                        <w:sz w:val="20"/>
                      </w:rPr>
                      <w:t>been</w:t>
                    </w:r>
                    <w:r>
                      <w:rPr>
                        <w:spacing w:val="4"/>
                        <w:sz w:val="20"/>
                      </w:rPr>
                      <w:t> </w:t>
                    </w:r>
                    <w:r>
                      <w:rPr>
                        <w:sz w:val="20"/>
                      </w:rPr>
                      <w:t>worthwhile?</w:t>
                    </w:r>
                  </w:p>
                </w:txbxContent>
              </v:textbox>
              <v:fill type="solid"/>
              <w10:wrap type="none"/>
            </v:shape>
            <w10:wrap type="topAndBottom"/>
          </v:group>
        </w:pict>
      </w:r>
    </w:p>
    <w:p>
      <w:pPr>
        <w:pStyle w:val="Heading1"/>
        <w:spacing w:before="79"/>
      </w:pPr>
      <w:r>
        <w:rPr>
          <w:color w:val="5E792D"/>
        </w:rPr>
        <w:t>Employee involvement (EI), information sharing and worker voice</w:t>
      </w:r>
    </w:p>
    <w:p>
      <w:pPr>
        <w:pStyle w:val="BodyText"/>
        <w:spacing w:before="11"/>
        <w:rPr>
          <w:rFonts w:ascii="Arial Narrow Bold"/>
          <w:b/>
          <w:sz w:val="23"/>
        </w:rPr>
      </w:pPr>
    </w:p>
    <w:p>
      <w:pPr>
        <w:pStyle w:val="BodyText"/>
        <w:spacing w:before="1"/>
        <w:ind w:left="180" w:right="452"/>
        <w:jc w:val="both"/>
      </w:pPr>
      <w:r>
        <w:rPr/>
        <w:t>There are a number of reasons why EI is an essential component of the high commitment paradigm (Marchington and Wilkinson 2005). First, open communications about ﬁnancial performance, strategy and operational matters not only ensures workers are informed about organisational issues, it also conveys a symbolic and substantive message that they are to be trusted and treated in an open and positive manner. Second, for teamworking to  be  successful workers require information in order to provide a basis from which to offer their suggestions and contribute to improvements in organisational performance. Third,  participation can provide management with some legitimacy for its actions on the grounds  </w:t>
      </w:r>
      <w:r>
        <w:rPr>
          <w:spacing w:val="45"/>
        </w:rPr>
        <w:t> </w:t>
      </w:r>
      <w:r>
        <w:rPr/>
        <w:t>that ideas have been put forward by workers and/or at least considered by them before decisions are ultimately made. As we argue throughout this book, even if management has more power at its disposal than do workers, the employment relationship is not complete and legally deﬁned in detail but open to interpretation and disagreement over how it is enforced  </w:t>
      </w:r>
      <w:r>
        <w:rPr>
          <w:spacing w:val="45"/>
        </w:rPr>
        <w:t> </w:t>
      </w:r>
      <w:r>
        <w:rPr/>
        <w:t>on a daily basis. Of course there are also arguments that workers have a moral right to participation and involvement, but these are considered elsewhere in the book, particularly in Chapters 10 and</w:t>
      </w:r>
      <w:r>
        <w:rPr>
          <w:spacing w:val="11"/>
        </w:rPr>
        <w:t> </w:t>
      </w:r>
      <w:r>
        <w:rPr>
          <w:spacing w:val="-4"/>
        </w:rPr>
        <w:t>11.</w:t>
      </w:r>
    </w:p>
    <w:p>
      <w:pPr>
        <w:pStyle w:val="BodyText"/>
        <w:spacing w:before="12"/>
        <w:rPr>
          <w:sz w:val="19"/>
        </w:rPr>
      </w:pPr>
    </w:p>
    <w:p>
      <w:pPr>
        <w:pStyle w:val="BodyText"/>
        <w:ind w:left="180" w:right="452"/>
        <w:jc w:val="both"/>
      </w:pPr>
      <w:r>
        <w:rPr/>
        <w:t>Information sharing or EI appears in just about every description of, or prescription </w:t>
      </w:r>
      <w:r>
        <w:rPr>
          <w:spacing w:val="-3"/>
        </w:rPr>
        <w:t>for, </w:t>
      </w:r>
      <w:r>
        <w:rPr/>
        <w:t>‘best practice’ or high commitment HRM. EI can include downward communications, upward problem-solving groups and project teams, all of which are designed to increase the involvement of individual employees in their workplace. The precise mix of EI techniques depends upon the circumstances, but the range of measures used and the ‘ﬂexible’ deﬁnition of involvement are potentially confusing. Many of the studies restrict this to downward communications from management to employees which measure the frequency of information disclosure (Patterson </w:t>
      </w:r>
      <w:r>
        <w:rPr>
          <w:rFonts w:ascii="Arial Narrow Italic" w:hAnsi="Arial Narrow Italic"/>
          <w:i/>
        </w:rPr>
        <w:t>et al </w:t>
      </w:r>
      <w:r>
        <w:rPr/>
        <w:t>1997), the regularity of teambrieﬁng or quality circles (Wood and Albanese 1995) or the extent to which workers are informed or consulted about business operations or performance (Guest </w:t>
      </w:r>
      <w:r>
        <w:rPr>
          <w:rFonts w:ascii="Arial Narrow Italic" w:hAnsi="Arial Narrow Italic"/>
          <w:i/>
        </w:rPr>
        <w:t>et al </w:t>
      </w:r>
      <w:r>
        <w:rPr/>
        <w:t>2003). The regularity of attitude surveys also features strongly in many of the studies (eg Huselid 1995; Hoque 1999; Guest </w:t>
      </w:r>
      <w:r>
        <w:rPr>
          <w:rFonts w:ascii="Arial Narrow Italic" w:hAnsi="Arial Narrow Italic"/>
          <w:i/>
        </w:rPr>
        <w:t>et al </w:t>
      </w:r>
      <w:r>
        <w:rPr/>
        <w:t>2000a). Some go further and enquire about the percentage of employees who receive training in group problem-solving (Arthur 1994) or the level at which a range of decisions is made (Delaney </w:t>
      </w:r>
      <w:r>
        <w:rPr>
          <w:spacing w:val="45"/>
        </w:rPr>
        <w:t> </w:t>
      </w:r>
      <w:r>
        <w:rPr/>
        <w:t>and Huselid 1996). The WERS survey analysis only included brieﬁng in its estimates if at </w:t>
      </w:r>
      <w:r>
        <w:rPr>
          <w:spacing w:val="45"/>
        </w:rPr>
        <w:t> </w:t>
      </w:r>
      <w:r>
        <w:rPr/>
        <w:t>least 25 per cent of the time at the meeting was devoted to employee questions and  discussion (Guest </w:t>
      </w:r>
      <w:r>
        <w:rPr>
          <w:rFonts w:ascii="Arial Narrow Italic" w:hAnsi="Arial Narrow Italic"/>
          <w:i/>
        </w:rPr>
        <w:t>et al </w:t>
      </w:r>
      <w:r>
        <w:rPr/>
        <w:t>2000a, p16), something that happens at about half the </w:t>
      </w:r>
      <w:r>
        <w:rPr>
          <w:spacing w:val="6"/>
        </w:rPr>
        <w:t> </w:t>
      </w:r>
      <w:r>
        <w:rPr/>
        <w:t>workplaces.</w:t>
      </w:r>
    </w:p>
    <w:p>
      <w:pPr>
        <w:pStyle w:val="BodyText"/>
        <w:spacing w:before="12"/>
        <w:rPr>
          <w:sz w:val="19"/>
        </w:rPr>
      </w:pPr>
    </w:p>
    <w:p>
      <w:pPr>
        <w:pStyle w:val="BodyText"/>
        <w:ind w:left="180" w:right="452"/>
        <w:jc w:val="both"/>
      </w:pPr>
      <w:r>
        <w:rPr/>
        <w:t>Again, the range of proxies used is so wide that it is difﬁcult to compare results across these studies and arrive at any ﬁrm conclusions about the importance of information sharing and EI to high commitment HRM. The fact that EI is often little more than a cascade of information</w:t>
      </w:r>
    </w:p>
    <w:p>
      <w:pPr>
        <w:spacing w:after="0"/>
        <w:jc w:val="both"/>
        <w:sectPr>
          <w:pgSz w:w="10040" w:h="13950"/>
          <w:pgMar w:header="455" w:footer="527" w:top="640" w:bottom="720" w:left="1400" w:right="1140"/>
        </w:sectPr>
      </w:pPr>
    </w:p>
    <w:p>
      <w:pPr>
        <w:pStyle w:val="BodyText"/>
      </w:pPr>
    </w:p>
    <w:p>
      <w:pPr>
        <w:pStyle w:val="BodyText"/>
        <w:rPr>
          <w:sz w:val="16"/>
        </w:rPr>
      </w:pPr>
    </w:p>
    <w:p>
      <w:pPr>
        <w:pStyle w:val="BodyText"/>
        <w:spacing w:before="1"/>
        <w:ind w:left="460" w:right="192"/>
        <w:jc w:val="both"/>
      </w:pPr>
      <w:r>
        <w:rPr/>
        <w:t>from management means that any meaningful worker contribution is unlikely. Indeed, one of the objectives of schemes such as team brieﬁng is to reinforce the supervisor as an information disseminator who adapts messages to suit speciﬁc operational requirements. This one-way version of information sharing – rather than being seen as educative, empowering and liberating as the terminology might imply – could more easily be interpreted instead as indoctrinating, emasculating and controlling (Marchington and Wilkinson</w:t>
      </w:r>
      <w:r>
        <w:rPr>
          <w:spacing w:val="27"/>
        </w:rPr>
        <w:t> </w:t>
      </w:r>
      <w:r>
        <w:rPr/>
        <w:t>2005).</w:t>
      </w:r>
    </w:p>
    <w:p>
      <w:pPr>
        <w:pStyle w:val="BodyText"/>
        <w:spacing w:before="12"/>
        <w:rPr>
          <w:sz w:val="19"/>
        </w:rPr>
      </w:pPr>
    </w:p>
    <w:p>
      <w:pPr>
        <w:pStyle w:val="BodyText"/>
        <w:ind w:left="460" w:right="192"/>
        <w:jc w:val="both"/>
      </w:pPr>
      <w:r>
        <w:rPr/>
        <w:t>Although only a relatively small number of authors (eg Huselid 1995; Roche 1999; Batt </w:t>
      </w:r>
      <w:r>
        <w:rPr>
          <w:rFonts w:ascii="Arial Narrow Italic" w:hAnsi="Arial Narrow Italic"/>
          <w:i/>
        </w:rPr>
        <w:t>et al </w:t>
      </w:r>
      <w:r>
        <w:rPr/>
        <w:t>2002; Dundon </w:t>
      </w:r>
      <w:r>
        <w:rPr>
          <w:rFonts w:ascii="Arial Narrow Italic" w:hAnsi="Arial Narrow Italic"/>
          <w:i/>
        </w:rPr>
        <w:t>et al </w:t>
      </w:r>
      <w:r>
        <w:rPr/>
        <w:t>2004) speciﬁcally include voice as an aspect of high commitment HRM, it seems essential that workers should have the opportunity to express their grievances openly and independently, in addition to being able to contribute to management decision-making on task-related issues. Employee voice may be achieved through trade union representation and collective bargaining as well as through formally established grievance and disputes procedures, but in addition it could be through speak-up schemes, which offer employees protection if their complaints are taken badly by managers (Marchington </w:t>
      </w:r>
      <w:r>
        <w:rPr>
          <w:rFonts w:ascii="Arial Narrow Italic" w:hAnsi="Arial Narrow Italic"/>
          <w:i/>
        </w:rPr>
        <w:t>et al </w:t>
      </w:r>
      <w:r>
        <w:rPr/>
        <w:t>2001). In their study of telecommunications, Batt </w:t>
      </w:r>
      <w:r>
        <w:rPr>
          <w:rFonts w:ascii="Arial Narrow Italic" w:hAnsi="Arial Narrow Italic"/>
          <w:i/>
        </w:rPr>
        <w:t>et al </w:t>
      </w:r>
      <w:r>
        <w:rPr/>
        <w:t>(2002, p589) regarded direct participation and union representation as ‘complementary vehicles for employee voice at work’.</w:t>
      </w:r>
    </w:p>
    <w:p>
      <w:pPr>
        <w:pStyle w:val="BodyText"/>
        <w:spacing w:before="8"/>
        <w:rPr>
          <w:sz w:val="16"/>
        </w:rPr>
      </w:pPr>
    </w:p>
    <w:p>
      <w:pPr>
        <w:pStyle w:val="Heading1"/>
        <w:ind w:left="460"/>
      </w:pPr>
      <w:r>
        <w:rPr>
          <w:color w:val="5E792D"/>
        </w:rPr>
        <w:t>Self-managed teams/teamworking</w:t>
      </w:r>
    </w:p>
    <w:p>
      <w:pPr>
        <w:pStyle w:val="BodyText"/>
        <w:spacing w:before="48"/>
        <w:ind w:left="460" w:right="192"/>
        <w:jc w:val="both"/>
      </w:pPr>
      <w:r>
        <w:rPr/>
        <w:t>This practice has become more prevalent over the last decade for a variety of reasons, not least as a way of pooling ideas and improving work processes in response to Japanese competition. It has been identiﬁed by many employers as a fundamental component of organisational success (Marchington 1999). It is also one of the key attributes that employers look for in new recruits, something asked for in references, and it even plays a part in courses organised for school students. </w:t>
      </w:r>
      <w:r>
        <w:rPr>
          <w:spacing w:val="-3"/>
        </w:rPr>
        <w:t>Teamwork </w:t>
      </w:r>
      <w:r>
        <w:rPr/>
        <w:t>is typically seen as leading to better  decision- making and the achievement of more creative solutions (Pfeffer 1998, p76). Evidence suggests that employees who work in teams generally report higher levels of satisfaction than their counterparts working under more ‘traditional’ regimes, although they also report working hard as well (Wilkinson </w:t>
      </w:r>
      <w:r>
        <w:rPr>
          <w:rFonts w:ascii="Arial Narrow Italic" w:hAnsi="Arial Narrow Italic"/>
          <w:i/>
        </w:rPr>
        <w:t>et al </w:t>
      </w:r>
      <w:r>
        <w:rPr/>
        <w:t>1997; Edwards and Wright 1998; Geary and Dobbins 2001; Batt and Doellgast</w:t>
      </w:r>
      <w:r>
        <w:rPr>
          <w:spacing w:val="7"/>
        </w:rPr>
        <w:t> </w:t>
      </w:r>
      <w:r>
        <w:rPr/>
        <w:t>2003).</w:t>
      </w:r>
    </w:p>
    <w:p>
      <w:pPr>
        <w:pStyle w:val="BodyText"/>
        <w:spacing w:before="12"/>
        <w:rPr>
          <w:sz w:val="19"/>
        </w:rPr>
      </w:pPr>
    </w:p>
    <w:p>
      <w:pPr>
        <w:pStyle w:val="BodyText"/>
        <w:ind w:left="460" w:right="192"/>
        <w:jc w:val="both"/>
      </w:pPr>
      <w:r>
        <w:rPr/>
        <w:t>The range of measures used by researchers to assess teamworking has been  rather  narrower than those used to assess many of the other ‘best practices’. Generally, it refers to the proportion of workers in teams (MacDufﬁe 1995; West </w:t>
      </w:r>
      <w:r>
        <w:rPr>
          <w:rFonts w:ascii="Arial Narrow Italic" w:hAnsi="Arial Narrow Italic"/>
          <w:i/>
        </w:rPr>
        <w:t>et al </w:t>
      </w:r>
      <w:r>
        <w:rPr/>
        <w:t>2002; Guest </w:t>
      </w:r>
      <w:r>
        <w:rPr>
          <w:rFonts w:ascii="Arial Narrow Italic" w:hAnsi="Arial Narrow Italic"/>
          <w:i/>
        </w:rPr>
        <w:t>et al </w:t>
      </w:r>
      <w:r>
        <w:rPr/>
        <w:t>2003), the use of formal teams (Patterson </w:t>
      </w:r>
      <w:r>
        <w:rPr>
          <w:rFonts w:ascii="Arial Narrow Italic" w:hAnsi="Arial Narrow Italic"/>
          <w:i/>
        </w:rPr>
        <w:t>et al </w:t>
      </w:r>
      <w:r>
        <w:rPr/>
        <w:t>1997; Guest </w:t>
      </w:r>
      <w:r>
        <w:rPr>
          <w:rFonts w:ascii="Arial Narrow Italic" w:hAnsi="Arial Narrow Italic"/>
          <w:i/>
        </w:rPr>
        <w:t>et al </w:t>
      </w:r>
      <w:r>
        <w:rPr/>
        <w:t>2000a) or the deliberate design of jobs to make use of workers’ abilities (Hoque 1999). However, such measures can not tell us whether or not these teams actually are self-managed or act as autonomous groups, and</w:t>
      </w:r>
      <w:r>
        <w:rPr>
          <w:spacing w:val="45"/>
        </w:rPr>
        <w:t> </w:t>
      </w:r>
      <w:r>
        <w:rPr/>
        <w:t>much depends upon decisions concerning, inter alia, the choice of team leader, responsibility for organising work schedules, and control over quality (Frobel and Marchington 2005). A distinction is also made between off-line teams – such as quality circles – and on-line teams where workers are involved in daily decisions about work organisation (Batt 2004). Regarding the latter, WERS showed that whilst 65 per cent of workplaces claim to have teamworking,</w:t>
      </w:r>
      <w:r>
        <w:rPr>
          <w:spacing w:val="45"/>
        </w:rPr>
        <w:t> </w:t>
      </w:r>
      <w:r>
        <w:rPr/>
        <w:t>just 5 per cent of these could actually be categorised as autonomous groups where team members have responsibility for managing their own time and appoint their own leaders  </w:t>
      </w:r>
      <w:r>
        <w:rPr>
          <w:spacing w:val="45"/>
        </w:rPr>
        <w:t> </w:t>
      </w:r>
      <w:r>
        <w:rPr/>
        <w:t>(Cully </w:t>
      </w:r>
      <w:r>
        <w:rPr>
          <w:rFonts w:ascii="Arial Narrow Italic" w:hAnsi="Arial Narrow Italic"/>
          <w:i/>
        </w:rPr>
        <w:t>et al </w:t>
      </w:r>
      <w:r>
        <w:rPr/>
        <w:t>1999,</w:t>
      </w:r>
      <w:r>
        <w:rPr>
          <w:spacing w:val="15"/>
        </w:rPr>
        <w:t> </w:t>
      </w:r>
      <w:r>
        <w:rPr/>
        <w:t>p43).</w:t>
      </w:r>
    </w:p>
    <w:p>
      <w:pPr>
        <w:pStyle w:val="BodyText"/>
        <w:spacing w:before="12"/>
        <w:rPr>
          <w:sz w:val="19"/>
        </w:rPr>
      </w:pPr>
    </w:p>
    <w:p>
      <w:pPr>
        <w:pStyle w:val="BodyText"/>
        <w:ind w:left="460" w:right="192"/>
        <w:jc w:val="both"/>
      </w:pPr>
      <w:r>
        <w:rPr/>
        <w:t>In contrast, there is a less optimistic perspective on self-managed teams, which suggests that they are intrusive and difﬁcult to implement in practice, and that they serve to strengthen – rather than weaken – management control. It may also be impossible to  introduce  any realistic version of teamworking when workers are unable to enlarge their jobs to embrace</w:t>
      </w:r>
    </w:p>
    <w:p>
      <w:pPr>
        <w:spacing w:after="0"/>
        <w:jc w:val="both"/>
        <w:sectPr>
          <w:pgSz w:w="10040" w:h="13950"/>
          <w:pgMar w:header="455" w:footer="531" w:top="640" w:bottom="720" w:left="1120" w:right="1400"/>
        </w:sectPr>
      </w:pPr>
    </w:p>
    <w:p>
      <w:pPr>
        <w:pStyle w:val="BodyText"/>
      </w:pPr>
    </w:p>
    <w:p>
      <w:pPr>
        <w:pStyle w:val="BodyText"/>
        <w:rPr>
          <w:sz w:val="16"/>
        </w:rPr>
      </w:pPr>
    </w:p>
    <w:p>
      <w:pPr>
        <w:pStyle w:val="BodyText"/>
        <w:ind w:left="180" w:right="452"/>
        <w:jc w:val="both"/>
      </w:pPr>
      <w:r>
        <w:rPr/>
        <w:t>higher level skills or where there are legal, technical or safety reasons that prevent workers from making certain types of decision. Moreover, the prospect of teamworking is limited </w:t>
      </w:r>
      <w:r>
        <w:rPr>
          <w:spacing w:val="45"/>
        </w:rPr>
        <w:t> </w:t>
      </w:r>
      <w:r>
        <w:rPr/>
        <w:t>where the rotation of a range of low-level jobs means that one boring job is merely swapped  for another boring job on a regular basis. In situations such as these, teamworking may only serve to make work more stressful and intrusive, and add nothing to the skills or initiative that workers are able to deploy. While these criticisms of self-managed teams can be seen as failures of implementation, some analysts see this form of organisation as potentially ﬂawed because it gives the impression of control without devolving any real power or inﬂuence. Barker (1993, p408), for example, suggests that self-managing teams produce ‘a form of control more powerful, less apparent, and more difﬁcult to resist than that of the former bureaucracy’ because it shifts the locus of control from management to workers – what he terms ‘concertive control’. The consequence of this is that peer pressure and rational rules combine to ‘create a new iron cage whose bars are almost invisible to the workers it incarcerates’ (p435). The negative impact of teamworking may be especially problematic for lower skilled workers (Bacon and Blyton</w:t>
      </w:r>
      <w:r>
        <w:rPr>
          <w:spacing w:val="23"/>
        </w:rPr>
        <w:t> </w:t>
      </w:r>
      <w:r>
        <w:rPr/>
        <w:t>2003).</w:t>
      </w:r>
    </w:p>
    <w:p>
      <w:pPr>
        <w:pStyle w:val="BodyText"/>
        <w:spacing w:before="3"/>
        <w:rPr>
          <w:sz w:val="13"/>
        </w:rPr>
      </w:pPr>
      <w:r>
        <w:rPr/>
        <w:pict>
          <v:group style="position:absolute;margin-left:79.004013pt;margin-top:9.926373pt;width:343pt;height:53.15pt;mso-position-horizontal-relative:page;mso-position-vertical-relative:paragraph;z-index:1312;mso-wrap-distance-left:0;mso-wrap-distance-right:0" coordorigin="1580,199" coordsize="6860,1063">
            <v:rect style="position:absolute;left:1670;top:313;width:6765;height:944" filled="true" fillcolor="#5e792d" stroked="false">
              <v:fill type="solid"/>
            </v:rect>
            <v:rect style="position:absolute;left:1670;top:313;width:6765;height:944" filled="false" stroked="true" strokeweight=".5pt" strokecolor="#5e792d"/>
            <v:shape style="position:absolute;left:1580;top:199;width:6775;height:978" type="#_x0000_t202" filled="true" fillcolor="#eff2ea" stroked="false">
              <v:textbox inset="0,0,0,0">
                <w:txbxContent>
                  <w:p>
                    <w:pPr>
                      <w:spacing w:before="107"/>
                      <w:ind w:left="159" w:right="158" w:firstLine="0"/>
                      <w:jc w:val="both"/>
                      <w:rPr>
                        <w:sz w:val="20"/>
                      </w:rPr>
                    </w:pPr>
                    <w:r>
                      <w:rPr>
                        <w:sz w:val="20"/>
                      </w:rPr>
                      <w:t>What is your experience of working in teams? Do you think that peer pressure is more likely to generate better performance than supervisory control? Is teamworking automatically ‘positive’ in your view?</w:t>
                    </w:r>
                  </w:p>
                </w:txbxContent>
              </v:textbox>
              <v:fill type="solid"/>
              <w10:wrap type="none"/>
            </v:shape>
            <w10:wrap type="topAndBottom"/>
          </v:group>
        </w:pict>
      </w:r>
    </w:p>
    <w:p>
      <w:pPr>
        <w:pStyle w:val="Heading1"/>
        <w:spacing w:before="57"/>
      </w:pPr>
      <w:r>
        <w:rPr>
          <w:color w:val="5E792D"/>
        </w:rPr>
        <w:t>High compensation contingent on performance</w:t>
      </w:r>
    </w:p>
    <w:p>
      <w:pPr>
        <w:pStyle w:val="BodyText"/>
        <w:spacing w:before="48"/>
        <w:ind w:left="180" w:right="452"/>
        <w:jc w:val="both"/>
      </w:pPr>
      <w:r>
        <w:rPr/>
        <w:t>Pfeffer (1998) reckons that there are two elements to this practice – higher than average compensation and performance-related reward – although both send a signal to employees that they deserve to be rewarded for superior contributions. </w:t>
      </w:r>
      <w:r>
        <w:rPr>
          <w:spacing w:val="-10"/>
        </w:rPr>
        <w:t>To  </w:t>
      </w:r>
      <w:r>
        <w:rPr/>
        <w:t>be effective, this needs to be  at a level in excess of that for comparable workers in other organisations so as to attract and retain high-quality labour. In addition, according to this scenario, rewards should reﬂect different levels of worker contribution, perhaps being paid as a regular bonus or through proﬁt sharing schemes. Despite the extensive criticisms of performance-related pay (see Chapter 12), it is included in most lists of ‘best practice’, particularly those conducted in the USA. </w:t>
      </w:r>
      <w:r>
        <w:rPr>
          <w:spacing w:val="45"/>
        </w:rPr>
        <w:t> </w:t>
      </w:r>
      <w:r>
        <w:rPr/>
        <w:t>Given that research in the UK is much more critical about the value of incentive </w:t>
      </w:r>
      <w:r>
        <w:rPr>
          <w:spacing w:val="-3"/>
        </w:rPr>
        <w:t>pay, </w:t>
      </w:r>
      <w:r>
        <w:rPr/>
        <w:t>it might  be better to include the entire reward package in this HR practice so that it is not restricted to pay alone, and it can then relate to employee contributions to organisational performance – whether this is on an individual, team, departmental or establishment-wide</w:t>
      </w:r>
      <w:r>
        <w:rPr>
          <w:spacing w:val="39"/>
        </w:rPr>
        <w:t> </w:t>
      </w:r>
      <w:r>
        <w:rPr/>
        <w:t>basis.</w:t>
      </w:r>
    </w:p>
    <w:p>
      <w:pPr>
        <w:pStyle w:val="BodyText"/>
        <w:spacing w:before="12"/>
        <w:rPr>
          <w:sz w:val="19"/>
        </w:rPr>
      </w:pPr>
    </w:p>
    <w:p>
      <w:pPr>
        <w:pStyle w:val="BodyText"/>
        <w:ind w:left="180" w:right="451"/>
        <w:jc w:val="both"/>
      </w:pPr>
      <w:r>
        <w:rPr/>
        <w:t>Huselid (1995) includes two measures for this factor: the proportion of the workforce who </w:t>
      </w:r>
      <w:r>
        <w:rPr>
          <w:spacing w:val="45"/>
        </w:rPr>
        <w:t> </w:t>
      </w:r>
      <w:r>
        <w:rPr/>
        <w:t>have access to company incentive schemes and the proportion whose performance</w:t>
      </w:r>
      <w:r>
        <w:rPr>
          <w:spacing w:val="45"/>
        </w:rPr>
        <w:t> </w:t>
      </w:r>
      <w:r>
        <w:rPr/>
        <w:t>appraisals are used to determine their compensation. MacDufﬁe (1995) refers to contingent compensation. The UK studies also focus on merit or performance </w:t>
      </w:r>
      <w:r>
        <w:rPr>
          <w:spacing w:val="-3"/>
        </w:rPr>
        <w:t>pay. </w:t>
      </w:r>
      <w:r>
        <w:rPr/>
        <w:t>Wood and de  Menezes (1998) enquired about merit pay and proﬁt sharing, Guest </w:t>
      </w:r>
      <w:r>
        <w:rPr>
          <w:rFonts w:ascii="Arial Narrow Italic" w:hAnsi="Arial Narrow Italic"/>
          <w:i/>
        </w:rPr>
        <w:t>et al </w:t>
      </w:r>
      <w:r>
        <w:rPr/>
        <w:t>(2000a) included performance related pay for non-managerial staff, whereas Hoque (1999) asked about merit pay and appraisal schemes for all staff and West </w:t>
      </w:r>
      <w:r>
        <w:rPr>
          <w:rFonts w:ascii="Arial Narrow Italic" w:hAnsi="Arial Narrow Italic"/>
          <w:i/>
        </w:rPr>
        <w:t>et al </w:t>
      </w:r>
      <w:r>
        <w:rPr/>
        <w:t>(2002) and  Guest  </w:t>
      </w:r>
      <w:r>
        <w:rPr>
          <w:rFonts w:ascii="Arial Narrow Italic" w:hAnsi="Arial Narrow Italic"/>
          <w:i/>
        </w:rPr>
        <w:t>et  al  </w:t>
      </w:r>
      <w:r>
        <w:rPr/>
        <w:t>(2003) focused on appraisal as the key factor. Indeed, in West </w:t>
      </w:r>
      <w:r>
        <w:rPr>
          <w:rFonts w:ascii="Arial Narrow Italic" w:hAnsi="Arial Narrow Italic"/>
          <w:i/>
        </w:rPr>
        <w:t>et al</w:t>
      </w:r>
      <w:r>
        <w:rPr/>
        <w:t>’s study, appraisal had an extremely signiﬁcant impact on performance, as we see later in the chapter. Not surprisingly, the proportion of workplaces covered by performance-related reward was rather less widespread in the public sector than in the private (Guest </w:t>
      </w:r>
      <w:r>
        <w:rPr>
          <w:rFonts w:ascii="Arial Narrow Italic" w:hAnsi="Arial Narrow Italic"/>
          <w:i/>
        </w:rPr>
        <w:t>et al  </w:t>
      </w:r>
      <w:r>
        <w:rPr/>
        <w:t>2000a,  p16).  However, equally surprisingly, given the degree of practitioner interest in incentive pay schemes, about two-thirds of the respondents to the CIPD survey (Guest </w:t>
      </w:r>
      <w:r>
        <w:rPr>
          <w:rFonts w:ascii="Arial Narrow Italic" w:hAnsi="Arial Narrow Italic"/>
          <w:i/>
        </w:rPr>
        <w:t>et al </w:t>
      </w:r>
      <w:r>
        <w:rPr/>
        <w:t>2000b, p16) said that their organisations did not make use of individual performance related pay for their  non­</w:t>
      </w:r>
      <w:r>
        <w:rPr>
          <w:spacing w:val="45"/>
        </w:rPr>
        <w:t> </w:t>
      </w:r>
      <w:r>
        <w:rPr/>
        <w:t>managerial</w:t>
      </w:r>
      <w:r>
        <w:rPr>
          <w:spacing w:val="12"/>
        </w:rPr>
        <w:t> </w:t>
      </w:r>
      <w:r>
        <w:rPr/>
        <w:t>employees.</w:t>
      </w:r>
    </w:p>
    <w:p>
      <w:pPr>
        <w:spacing w:after="0"/>
        <w:jc w:val="both"/>
        <w:sectPr>
          <w:pgSz w:w="10040" w:h="13950"/>
          <w:pgMar w:header="455" w:footer="527" w:top="640" w:bottom="720" w:left="1400" w:right="1140"/>
        </w:sectPr>
      </w:pPr>
    </w:p>
    <w:p>
      <w:pPr>
        <w:pStyle w:val="BodyText"/>
      </w:pPr>
    </w:p>
    <w:p>
      <w:pPr>
        <w:pStyle w:val="Heading1"/>
        <w:spacing w:before="182"/>
        <w:ind w:left="460"/>
      </w:pPr>
      <w:r>
        <w:rPr>
          <w:color w:val="5E792D"/>
        </w:rPr>
        <w:t>Reduction of status differences/harmonisation</w:t>
      </w:r>
    </w:p>
    <w:p>
      <w:pPr>
        <w:pStyle w:val="BodyText"/>
        <w:spacing w:before="48"/>
        <w:ind w:left="460" w:right="192"/>
        <w:jc w:val="both"/>
      </w:pPr>
      <w:r>
        <w:rPr/>
        <w:t>Symbolic manifestations of egalitarianism seen in the HR practices of some Japanese companies are meant to convey messages to manual workers and lower grade ofﬁce staff </w:t>
      </w:r>
      <w:r>
        <w:rPr>
          <w:spacing w:val="45"/>
        </w:rPr>
        <w:t> </w:t>
      </w:r>
      <w:r>
        <w:rPr/>
        <w:t>that they are valuable assets who deserve to be treated in a similar way to their more senior colleagues. It is also seen as a way to encourage employees to offer ideas within an ‘open’ management culture. This can be seen through egalitarian symbols, such as staff uniforms, shared canteen and car-parking facilities, but it is also underpinned by the harmonisation of many terms and conditions of employment – such as holidays, sick-pay schemes, pensions, and hours of work (IRS Employment Review 784a 2003). The principal point behind moves to single status and harmonisation, as we see in Chapter 13, is that it seeks to break down artiﬁcial barriers between different groups of staff, thus encouraging and supporting teamworking and ﬂexibility. Extending employee share ownership to the workforce as a whole is a further way in which status differences can be reduced, typically through schemes whereby staff are allocated shares according to some predetermined formula. Pfeffer (1998, p38) argues that ‘employee ownership, effectively implemented, can align the interests of employees with those of shareholders by making employees shareholders too’. Firms with</w:t>
      </w:r>
      <w:r>
        <w:rPr>
          <w:spacing w:val="45"/>
        </w:rPr>
        <w:t> </w:t>
      </w:r>
      <w:r>
        <w:rPr/>
        <w:t>high shareholder returns also often have some form of employee</w:t>
      </w:r>
      <w:r>
        <w:rPr>
          <w:spacing w:val="39"/>
        </w:rPr>
        <w:t> </w:t>
      </w:r>
      <w:r>
        <w:rPr/>
        <w:t>ownership.</w:t>
      </w:r>
    </w:p>
    <w:p>
      <w:pPr>
        <w:pStyle w:val="BodyText"/>
        <w:spacing w:before="12"/>
        <w:rPr>
          <w:sz w:val="19"/>
        </w:rPr>
      </w:pPr>
    </w:p>
    <w:p>
      <w:pPr>
        <w:pStyle w:val="BodyText"/>
        <w:ind w:left="460" w:right="192"/>
        <w:jc w:val="both"/>
      </w:pPr>
      <w:r>
        <w:rPr/>
        <w:t>The proxies used for harmonisation and the reduction of status differentials are also wide and variable. For example, Wood and de Menezes (1998) ask about whether or not any  employees have to ‘clock in’ to work, and about the existence of employee share schemes</w:t>
      </w:r>
      <w:r>
        <w:rPr>
          <w:spacing w:val="45"/>
        </w:rPr>
        <w:t> </w:t>
      </w:r>
      <w:r>
        <w:rPr/>
        <w:t>and welfare facilities/fringe beneﬁts. Hoque’s (1999) questions relate very broadly to harmonisation and single status. Guest </w:t>
      </w:r>
      <w:r>
        <w:rPr>
          <w:rFonts w:ascii="Arial Narrow Italic" w:hAnsi="Arial Narrow Italic"/>
          <w:i/>
        </w:rPr>
        <w:t>et al</w:t>
      </w:r>
      <w:r>
        <w:rPr/>
        <w:t>’s (2000a, 2000b, 2003) questions vary between the highly speciﬁc (harmonised holiday entitlements for all staff) through to whether or not the organisation has a formal commitment to achieving single status. Over 80 per cent of the organisations in the CIPD survey (Guest </w:t>
      </w:r>
      <w:r>
        <w:rPr>
          <w:rFonts w:ascii="Arial Narrow Italic" w:hAnsi="Arial Narrow Italic"/>
          <w:i/>
        </w:rPr>
        <w:t>et al </w:t>
      </w:r>
      <w:r>
        <w:rPr/>
        <w:t>2000b) claimed to have harmonised holidays</w:t>
      </w:r>
      <w:r>
        <w:rPr>
          <w:spacing w:val="45"/>
        </w:rPr>
        <w:t> </w:t>
      </w:r>
      <w:r>
        <w:rPr/>
        <w:t>and just under half reckoned to have a formal commitment to single </w:t>
      </w:r>
      <w:r>
        <w:rPr>
          <w:spacing w:val="2"/>
        </w:rPr>
        <w:t> </w:t>
      </w:r>
      <w:r>
        <w:rPr/>
        <w:t>status.</w:t>
      </w:r>
    </w:p>
    <w:p>
      <w:pPr>
        <w:pStyle w:val="BodyText"/>
        <w:spacing w:before="12"/>
        <w:rPr>
          <w:sz w:val="19"/>
        </w:rPr>
      </w:pPr>
    </w:p>
    <w:p>
      <w:pPr>
        <w:pStyle w:val="BodyText"/>
        <w:ind w:left="460" w:right="191"/>
        <w:jc w:val="both"/>
      </w:pPr>
      <w:r>
        <w:rPr>
          <w:spacing w:val="-4"/>
        </w:rPr>
        <w:t>Table </w:t>
      </w:r>
      <w:r>
        <w:rPr/>
        <w:t>8 shows how widespread these sorts of HR practices are in UK organisations. For example, a signiﬁcant proportion of workplaces surveyed for WERS (Guest </w:t>
      </w:r>
      <w:r>
        <w:rPr>
          <w:rFonts w:ascii="Arial Narrow Italic" w:hAnsi="Arial Narrow Italic"/>
          <w:i/>
        </w:rPr>
        <w:t>et al </w:t>
      </w:r>
      <w:r>
        <w:rPr/>
        <w:t>2000a) have grievance</w:t>
      </w:r>
      <w:r>
        <w:rPr>
          <w:spacing w:val="-3"/>
        </w:rPr>
        <w:t> </w:t>
      </w:r>
      <w:r>
        <w:rPr/>
        <w:t>procedures</w:t>
      </w:r>
      <w:r>
        <w:rPr>
          <w:spacing w:val="-3"/>
        </w:rPr>
        <w:t> </w:t>
      </w:r>
      <w:r>
        <w:rPr/>
        <w:t>in</w:t>
      </w:r>
      <w:r>
        <w:rPr>
          <w:spacing w:val="-3"/>
        </w:rPr>
        <w:t> </w:t>
      </w:r>
      <w:r>
        <w:rPr/>
        <w:t>place,</w:t>
      </w:r>
      <w:r>
        <w:rPr>
          <w:spacing w:val="-3"/>
        </w:rPr>
        <w:t> </w:t>
      </w:r>
      <w:r>
        <w:rPr/>
        <w:t>make</w:t>
      </w:r>
      <w:r>
        <w:rPr>
          <w:spacing w:val="-3"/>
        </w:rPr>
        <w:t> </w:t>
      </w:r>
      <w:r>
        <w:rPr/>
        <w:t>extensive</w:t>
      </w:r>
      <w:r>
        <w:rPr>
          <w:spacing w:val="-3"/>
        </w:rPr>
        <w:t> </w:t>
      </w:r>
      <w:r>
        <w:rPr/>
        <w:t>use</w:t>
      </w:r>
      <w:r>
        <w:rPr>
          <w:spacing w:val="-3"/>
        </w:rPr>
        <w:t> </w:t>
      </w:r>
      <w:r>
        <w:rPr/>
        <w:t>of</w:t>
      </w:r>
      <w:r>
        <w:rPr>
          <w:spacing w:val="-3"/>
        </w:rPr>
        <w:t> </w:t>
      </w:r>
      <w:r>
        <w:rPr/>
        <w:t>appraisals</w:t>
      </w:r>
      <w:r>
        <w:rPr>
          <w:spacing w:val="-3"/>
        </w:rPr>
        <w:t> </w:t>
      </w:r>
      <w:r>
        <w:rPr/>
        <w:t>for</w:t>
      </w:r>
      <w:r>
        <w:rPr>
          <w:spacing w:val="-3"/>
        </w:rPr>
        <w:t> </w:t>
      </w:r>
      <w:r>
        <w:rPr/>
        <w:t>a</w:t>
      </w:r>
      <w:r>
        <w:rPr>
          <w:spacing w:val="-3"/>
        </w:rPr>
        <w:t> </w:t>
      </w:r>
      <w:r>
        <w:rPr/>
        <w:t>large</w:t>
      </w:r>
      <w:r>
        <w:rPr>
          <w:spacing w:val="-3"/>
        </w:rPr>
        <w:t> </w:t>
      </w:r>
      <w:r>
        <w:rPr/>
        <w:t>percentage</w:t>
      </w:r>
      <w:r>
        <w:rPr>
          <w:spacing w:val="-3"/>
        </w:rPr>
        <w:t> </w:t>
      </w:r>
      <w:r>
        <w:rPr/>
        <w:t>of</w:t>
      </w:r>
      <w:r>
        <w:rPr>
          <w:spacing w:val="-3"/>
        </w:rPr>
        <w:t> </w:t>
      </w:r>
      <w:r>
        <w:rPr/>
        <w:t>their non-managerial staff, and have a standard induction programme for all recruits. These</w:t>
      </w:r>
      <w:r>
        <w:rPr>
          <w:spacing w:val="-30"/>
        </w:rPr>
        <w:t> </w:t>
      </w:r>
      <w:r>
        <w:rPr/>
        <w:t>features are</w:t>
      </w:r>
      <w:r>
        <w:rPr>
          <w:spacing w:val="-4"/>
        </w:rPr>
        <w:t> </w:t>
      </w:r>
      <w:r>
        <w:rPr/>
        <w:t>especially</w:t>
      </w:r>
      <w:r>
        <w:rPr>
          <w:spacing w:val="-4"/>
        </w:rPr>
        <w:t> </w:t>
      </w:r>
      <w:r>
        <w:rPr/>
        <w:t>marked</w:t>
      </w:r>
      <w:r>
        <w:rPr>
          <w:spacing w:val="-4"/>
        </w:rPr>
        <w:t> </w:t>
      </w:r>
      <w:r>
        <w:rPr/>
        <w:t>in</w:t>
      </w:r>
      <w:r>
        <w:rPr>
          <w:spacing w:val="-4"/>
        </w:rPr>
        <w:t> </w:t>
      </w:r>
      <w:r>
        <w:rPr/>
        <w:t>the</w:t>
      </w:r>
      <w:r>
        <w:rPr>
          <w:spacing w:val="-4"/>
        </w:rPr>
        <w:t> </w:t>
      </w:r>
      <w:r>
        <w:rPr/>
        <w:t>public</w:t>
      </w:r>
      <w:r>
        <w:rPr>
          <w:spacing w:val="-4"/>
        </w:rPr>
        <w:t> </w:t>
      </w:r>
      <w:r>
        <w:rPr/>
        <w:t>sector.</w:t>
      </w:r>
      <w:r>
        <w:rPr>
          <w:spacing w:val="-13"/>
        </w:rPr>
        <w:t> </w:t>
      </w:r>
      <w:r>
        <w:rPr/>
        <w:t>Around</w:t>
      </w:r>
      <w:r>
        <w:rPr>
          <w:spacing w:val="-4"/>
        </w:rPr>
        <w:t> </w:t>
      </w:r>
      <w:r>
        <w:rPr/>
        <w:t>half</w:t>
      </w:r>
      <w:r>
        <w:rPr>
          <w:spacing w:val="-4"/>
        </w:rPr>
        <w:t> </w:t>
      </w:r>
      <w:r>
        <w:rPr/>
        <w:t>of</w:t>
      </w:r>
      <w:r>
        <w:rPr>
          <w:spacing w:val="-4"/>
        </w:rPr>
        <w:t> </w:t>
      </w:r>
      <w:r>
        <w:rPr/>
        <w:t>all</w:t>
      </w:r>
      <w:r>
        <w:rPr>
          <w:spacing w:val="-4"/>
        </w:rPr>
        <w:t> </w:t>
      </w:r>
      <w:r>
        <w:rPr/>
        <w:t>workplaces</w:t>
      </w:r>
      <w:r>
        <w:rPr>
          <w:spacing w:val="-4"/>
        </w:rPr>
        <w:t> </w:t>
      </w:r>
      <w:r>
        <w:rPr/>
        <w:t>use</w:t>
      </w:r>
      <w:r>
        <w:rPr>
          <w:spacing w:val="-4"/>
        </w:rPr>
        <w:t> </w:t>
      </w:r>
      <w:r>
        <w:rPr/>
        <w:t>performance</w:t>
      </w:r>
      <w:r>
        <w:rPr>
          <w:spacing w:val="-4"/>
        </w:rPr>
        <w:t> </w:t>
      </w:r>
      <w:r>
        <w:rPr/>
        <w:t>tests, provide some degree of formal training, engage in teamworking and administer attitude surveys.</w:t>
      </w:r>
      <w:r>
        <w:rPr>
          <w:spacing w:val="-4"/>
        </w:rPr>
        <w:t> </w:t>
      </w:r>
      <w:r>
        <w:rPr/>
        <w:t>On</w:t>
      </w:r>
      <w:r>
        <w:rPr>
          <w:spacing w:val="-4"/>
        </w:rPr>
        <w:t> </w:t>
      </w:r>
      <w:r>
        <w:rPr/>
        <w:t>the</w:t>
      </w:r>
      <w:r>
        <w:rPr>
          <w:spacing w:val="-4"/>
        </w:rPr>
        <w:t> </w:t>
      </w:r>
      <w:r>
        <w:rPr/>
        <w:t>other</w:t>
      </w:r>
      <w:r>
        <w:rPr>
          <w:spacing w:val="-4"/>
        </w:rPr>
        <w:t> </w:t>
      </w:r>
      <w:r>
        <w:rPr/>
        <w:t>hand,</w:t>
      </w:r>
      <w:r>
        <w:rPr>
          <w:spacing w:val="-4"/>
        </w:rPr>
        <w:t> </w:t>
      </w:r>
      <w:r>
        <w:rPr/>
        <w:t>hardly</w:t>
      </w:r>
      <w:r>
        <w:rPr>
          <w:spacing w:val="-4"/>
        </w:rPr>
        <w:t> </w:t>
      </w:r>
      <w:r>
        <w:rPr/>
        <w:t>any</w:t>
      </w:r>
      <w:r>
        <w:rPr>
          <w:spacing w:val="-4"/>
        </w:rPr>
        <w:t> </w:t>
      </w:r>
      <w:r>
        <w:rPr/>
        <w:t>offer</w:t>
      </w:r>
      <w:r>
        <w:rPr>
          <w:spacing w:val="-4"/>
        </w:rPr>
        <w:t> </w:t>
      </w:r>
      <w:r>
        <w:rPr/>
        <w:t>job</w:t>
      </w:r>
      <w:r>
        <w:rPr>
          <w:spacing w:val="-4"/>
        </w:rPr>
        <w:t> </w:t>
      </w:r>
      <w:r>
        <w:rPr/>
        <w:t>security</w:t>
      </w:r>
      <w:r>
        <w:rPr>
          <w:spacing w:val="-4"/>
        </w:rPr>
        <w:t> </w:t>
      </w:r>
      <w:r>
        <w:rPr/>
        <w:t>guarantees,</w:t>
      </w:r>
      <w:r>
        <w:rPr>
          <w:spacing w:val="-4"/>
        </w:rPr>
        <w:t> </w:t>
      </w:r>
      <w:r>
        <w:rPr/>
        <w:t>only</w:t>
      </w:r>
      <w:r>
        <w:rPr>
          <w:spacing w:val="-4"/>
        </w:rPr>
        <w:t> </w:t>
      </w:r>
      <w:r>
        <w:rPr/>
        <w:t>a</w:t>
      </w:r>
      <w:r>
        <w:rPr>
          <w:spacing w:val="-4"/>
        </w:rPr>
        <w:t> </w:t>
      </w:r>
      <w:r>
        <w:rPr/>
        <w:t>small</w:t>
      </w:r>
      <w:r>
        <w:rPr>
          <w:spacing w:val="-4"/>
        </w:rPr>
        <w:t> </w:t>
      </w:r>
      <w:r>
        <w:rPr/>
        <w:t>number</w:t>
      </w:r>
      <w:r>
        <w:rPr>
          <w:spacing w:val="-4"/>
        </w:rPr>
        <w:t> </w:t>
      </w:r>
      <w:r>
        <w:rPr/>
        <w:t>have problem-solving groups for a sizeable proportion of the workforce, and not many of the private sector ﬁrms have a family-friendly policy or an all-employee share ownership scheme. The CIPD survey by Guest </w:t>
      </w:r>
      <w:r>
        <w:rPr>
          <w:rFonts w:ascii="Arial Narrow Italic" w:hAnsi="Arial Narrow Italic"/>
          <w:i/>
        </w:rPr>
        <w:t>et al </w:t>
      </w:r>
      <w:r>
        <w:rPr/>
        <w:t>(2000b, p37) reports different ﬁgures, but the conclusion is much the</w:t>
      </w:r>
      <w:r>
        <w:rPr>
          <w:spacing w:val="-6"/>
        </w:rPr>
        <w:t> </w:t>
      </w:r>
      <w:r>
        <w:rPr/>
        <w:t>same,</w:t>
      </w:r>
      <w:r>
        <w:rPr>
          <w:spacing w:val="-6"/>
        </w:rPr>
        <w:t> </w:t>
      </w:r>
      <w:r>
        <w:rPr/>
        <w:t>that</w:t>
      </w:r>
      <w:r>
        <w:rPr>
          <w:spacing w:val="-6"/>
        </w:rPr>
        <w:t> </w:t>
      </w:r>
      <w:r>
        <w:rPr/>
        <w:t>is</w:t>
      </w:r>
      <w:r>
        <w:rPr>
          <w:spacing w:val="-6"/>
        </w:rPr>
        <w:t> </w:t>
      </w:r>
      <w:r>
        <w:rPr/>
        <w:t>‘human</w:t>
      </w:r>
      <w:r>
        <w:rPr>
          <w:spacing w:val="-6"/>
        </w:rPr>
        <w:t> </w:t>
      </w:r>
      <w:r>
        <w:rPr/>
        <w:t>resource</w:t>
      </w:r>
      <w:r>
        <w:rPr>
          <w:spacing w:val="-6"/>
        </w:rPr>
        <w:t> </w:t>
      </w:r>
      <w:r>
        <w:rPr/>
        <w:t>practices</w:t>
      </w:r>
      <w:r>
        <w:rPr>
          <w:spacing w:val="-6"/>
        </w:rPr>
        <w:t> </w:t>
      </w:r>
      <w:r>
        <w:rPr/>
        <w:t>are</w:t>
      </w:r>
      <w:r>
        <w:rPr>
          <w:spacing w:val="-6"/>
        </w:rPr>
        <w:t> </w:t>
      </w:r>
      <w:r>
        <w:rPr/>
        <w:t>not</w:t>
      </w:r>
      <w:r>
        <w:rPr>
          <w:spacing w:val="-6"/>
        </w:rPr>
        <w:t> </w:t>
      </w:r>
      <w:r>
        <w:rPr/>
        <w:t>well</w:t>
      </w:r>
      <w:r>
        <w:rPr>
          <w:spacing w:val="-6"/>
        </w:rPr>
        <w:t> </w:t>
      </w:r>
      <w:r>
        <w:rPr/>
        <w:t>embedded</w:t>
      </w:r>
      <w:r>
        <w:rPr>
          <w:spacing w:val="-6"/>
        </w:rPr>
        <w:t> </w:t>
      </w:r>
      <w:r>
        <w:rPr/>
        <w:t>in</w:t>
      </w:r>
      <w:r>
        <w:rPr>
          <w:spacing w:val="-6"/>
        </w:rPr>
        <w:t> </w:t>
      </w:r>
      <w:r>
        <w:rPr/>
        <w:t>a</w:t>
      </w:r>
      <w:r>
        <w:rPr>
          <w:spacing w:val="-6"/>
        </w:rPr>
        <w:t> </w:t>
      </w:r>
      <w:r>
        <w:rPr/>
        <w:t>majority</w:t>
      </w:r>
      <w:r>
        <w:rPr>
          <w:spacing w:val="-6"/>
        </w:rPr>
        <w:t> </w:t>
      </w:r>
      <w:r>
        <w:rPr/>
        <w:t>of</w:t>
      </w:r>
      <w:r>
        <w:rPr>
          <w:spacing w:val="-6"/>
        </w:rPr>
        <w:t> </w:t>
      </w:r>
      <w:r>
        <w:rPr/>
        <w:t>workplaces’. Moreover, few of these workplaces ‘have put in place a coherent range of practices of the sort commonly</w:t>
      </w:r>
      <w:r>
        <w:rPr>
          <w:spacing w:val="-6"/>
        </w:rPr>
        <w:t> </w:t>
      </w:r>
      <w:r>
        <w:rPr/>
        <w:t>associated</w:t>
      </w:r>
      <w:r>
        <w:rPr>
          <w:spacing w:val="-6"/>
        </w:rPr>
        <w:t> </w:t>
      </w:r>
      <w:r>
        <w:rPr/>
        <w:t>with</w:t>
      </w:r>
      <w:r>
        <w:rPr>
          <w:spacing w:val="-6"/>
        </w:rPr>
        <w:t> </w:t>
      </w:r>
      <w:r>
        <w:rPr/>
        <w:t>“high</w:t>
      </w:r>
      <w:r>
        <w:rPr>
          <w:spacing w:val="-6"/>
        </w:rPr>
        <w:t> </w:t>
      </w:r>
      <w:r>
        <w:rPr/>
        <w:t>commitment”</w:t>
      </w:r>
      <w:r>
        <w:rPr>
          <w:spacing w:val="-6"/>
        </w:rPr>
        <w:t> </w:t>
      </w:r>
      <w:r>
        <w:rPr/>
        <w:t>or</w:t>
      </w:r>
      <w:r>
        <w:rPr>
          <w:spacing w:val="-6"/>
        </w:rPr>
        <w:t> </w:t>
      </w:r>
      <w:r>
        <w:rPr/>
        <w:t>“high</w:t>
      </w:r>
      <w:r>
        <w:rPr>
          <w:spacing w:val="-6"/>
        </w:rPr>
        <w:t> </w:t>
      </w:r>
      <w:r>
        <w:rPr/>
        <w:t>performance”</w:t>
      </w:r>
      <w:r>
        <w:rPr>
          <w:spacing w:val="-6"/>
        </w:rPr>
        <w:t> </w:t>
      </w:r>
      <w:r>
        <w:rPr/>
        <w:t>HRM’</w:t>
      </w:r>
      <w:r>
        <w:rPr>
          <w:spacing w:val="-2"/>
        </w:rPr>
        <w:t> </w:t>
      </w:r>
      <w:r>
        <w:rPr/>
        <w:t>(p37).</w:t>
      </w:r>
    </w:p>
    <w:p>
      <w:pPr>
        <w:pStyle w:val="BodyText"/>
        <w:spacing w:before="12"/>
        <w:rPr>
          <w:sz w:val="19"/>
        </w:rPr>
      </w:pPr>
    </w:p>
    <w:p>
      <w:pPr>
        <w:pStyle w:val="BodyText"/>
        <w:ind w:left="460" w:right="192"/>
        <w:jc w:val="both"/>
      </w:pPr>
      <w:r>
        <w:rPr/>
        <w:t>This is disturbing for the proponents of high commitment HRM because it appears to offer the prospect of a more pleasant and stimulating working environment than would be experienced in traditional, </w:t>
      </w:r>
      <w:r>
        <w:rPr>
          <w:spacing w:val="-3"/>
        </w:rPr>
        <w:t>Taylorist </w:t>
      </w:r>
      <w:r>
        <w:rPr/>
        <w:t>regimes. For example, the provision of employment security is  attractive, the opportunity to earn above average wages and to be rewarded for performance may be enticing, and the chance to gain extensive levels of training can be highly desirable. Most attitude surveys have shown that employees would like to have more information about their organisation and a chance to contribute to and inﬂuence decisions that affect their working</w:t>
      </w:r>
      <w:r>
        <w:rPr>
          <w:spacing w:val="14"/>
        </w:rPr>
        <w:t> </w:t>
      </w:r>
      <w:r>
        <w:rPr/>
        <w:t>lives,</w:t>
      </w:r>
      <w:r>
        <w:rPr>
          <w:spacing w:val="14"/>
        </w:rPr>
        <w:t> </w:t>
      </w:r>
      <w:r>
        <w:rPr/>
        <w:t>as</w:t>
      </w:r>
      <w:r>
        <w:rPr>
          <w:spacing w:val="14"/>
        </w:rPr>
        <w:t> </w:t>
      </w:r>
      <w:r>
        <w:rPr/>
        <w:t>well</w:t>
      </w:r>
      <w:r>
        <w:rPr>
          <w:spacing w:val="14"/>
        </w:rPr>
        <w:t> </w:t>
      </w:r>
      <w:r>
        <w:rPr/>
        <w:t>as</w:t>
      </w:r>
      <w:r>
        <w:rPr>
          <w:spacing w:val="14"/>
        </w:rPr>
        <w:t> </w:t>
      </w:r>
      <w:r>
        <w:rPr/>
        <w:t>remove</w:t>
      </w:r>
      <w:r>
        <w:rPr>
          <w:spacing w:val="14"/>
        </w:rPr>
        <w:t> </w:t>
      </w:r>
      <w:r>
        <w:rPr/>
        <w:t>status</w:t>
      </w:r>
      <w:r>
        <w:rPr>
          <w:spacing w:val="14"/>
        </w:rPr>
        <w:t> </w:t>
      </w:r>
      <w:r>
        <w:rPr/>
        <w:t>differences</w:t>
      </w:r>
      <w:r>
        <w:rPr>
          <w:spacing w:val="14"/>
        </w:rPr>
        <w:t> </w:t>
      </w:r>
      <w:r>
        <w:rPr/>
        <w:t>between</w:t>
      </w:r>
      <w:r>
        <w:rPr>
          <w:spacing w:val="14"/>
        </w:rPr>
        <w:t> </w:t>
      </w:r>
      <w:r>
        <w:rPr/>
        <w:t>separate</w:t>
      </w:r>
      <w:r>
        <w:rPr>
          <w:spacing w:val="14"/>
        </w:rPr>
        <w:t> </w:t>
      </w:r>
      <w:r>
        <w:rPr/>
        <w:t>categories</w:t>
      </w:r>
      <w:r>
        <w:rPr>
          <w:spacing w:val="14"/>
        </w:rPr>
        <w:t> </w:t>
      </w:r>
      <w:r>
        <w:rPr/>
        <w:t>of</w:t>
      </w:r>
      <w:r>
        <w:rPr>
          <w:spacing w:val="14"/>
        </w:rPr>
        <w:t> </w:t>
      </w:r>
      <w:r>
        <w:rPr/>
        <w:t>workers.</w:t>
      </w:r>
    </w:p>
    <w:p>
      <w:pPr>
        <w:spacing w:after="0"/>
        <w:jc w:val="both"/>
        <w:sectPr>
          <w:pgSz w:w="10040" w:h="13950"/>
          <w:pgMar w:header="455" w:footer="531" w:top="640" w:bottom="720" w:left="1120" w:right="1400"/>
        </w:sectPr>
      </w:pPr>
    </w:p>
    <w:p>
      <w:pPr>
        <w:pStyle w:val="BodyText"/>
      </w:pPr>
    </w:p>
    <w:p>
      <w:pPr>
        <w:pStyle w:val="BodyText"/>
        <w:spacing w:before="5"/>
        <w:rPr>
          <w:sz w:val="16"/>
        </w:rPr>
      </w:pPr>
    </w:p>
    <w:p>
      <w:pPr>
        <w:spacing w:before="0"/>
        <w:ind w:left="180" w:right="0" w:firstLine="0"/>
        <w:jc w:val="left"/>
        <w:rPr>
          <w:rFonts w:ascii="Arial Narrow Italic"/>
          <w:i/>
          <w:sz w:val="18"/>
        </w:rPr>
      </w:pPr>
      <w:r>
        <w:rPr>
          <w:rFonts w:ascii="Arial Narrow Bold"/>
          <w:b/>
          <w:color w:val="5E792D"/>
          <w:sz w:val="18"/>
        </w:rPr>
        <w:t>Table 8    </w:t>
      </w:r>
      <w:r>
        <w:rPr>
          <w:rFonts w:ascii="Arial Narrow Italic"/>
          <w:i/>
          <w:sz w:val="18"/>
        </w:rPr>
        <w:t>The extent of high commitment HRM in the public and private  sectors</w:t>
      </w:r>
    </w:p>
    <w:p>
      <w:pPr>
        <w:pStyle w:val="BodyText"/>
        <w:spacing w:before="3"/>
        <w:rPr>
          <w:rFonts w:ascii="Arial Narrow Italic"/>
          <w:i/>
          <w:sz w:val="9"/>
        </w:rPr>
      </w:pPr>
    </w:p>
    <w:tbl>
      <w:tblPr>
        <w:tblW w:w="0" w:type="auto"/>
        <w:jc w:val="left"/>
        <w:tblInd w:w="180" w:type="dxa"/>
        <w:tblBorders>
          <w:top w:val="single" w:sz="4" w:space="0" w:color="5E792D"/>
          <w:left w:val="single" w:sz="4" w:space="0" w:color="5E792D"/>
          <w:bottom w:val="single" w:sz="4" w:space="0" w:color="5E792D"/>
          <w:right w:val="single" w:sz="4" w:space="0" w:color="5E792D"/>
          <w:insideH w:val="single" w:sz="4" w:space="0" w:color="5E792D"/>
          <w:insideV w:val="single" w:sz="4" w:space="0" w:color="5E792D"/>
        </w:tblBorders>
        <w:tblLayout w:type="fixed"/>
        <w:tblCellMar>
          <w:top w:w="0" w:type="dxa"/>
          <w:left w:w="0" w:type="dxa"/>
          <w:bottom w:w="0" w:type="dxa"/>
          <w:right w:w="0" w:type="dxa"/>
        </w:tblCellMar>
        <w:tblLook w:val="01E0"/>
      </w:tblPr>
      <w:tblGrid>
        <w:gridCol w:w="4193"/>
        <w:gridCol w:w="1314"/>
        <w:gridCol w:w="1343"/>
      </w:tblGrid>
      <w:tr>
        <w:trPr>
          <w:trHeight w:val="720" w:hRule="exact"/>
        </w:trPr>
        <w:tc>
          <w:tcPr>
            <w:tcW w:w="4193" w:type="dxa"/>
            <w:vMerge w:val="restart"/>
            <w:shd w:val="clear" w:color="auto" w:fill="EFF2EA"/>
          </w:tcPr>
          <w:p>
            <w:pPr>
              <w:pStyle w:val="TableParagraph"/>
              <w:spacing w:before="0"/>
              <w:ind w:left="119" w:right="209"/>
              <w:rPr>
                <w:rFonts w:ascii="Arial Narrow Bold"/>
                <w:b/>
                <w:sz w:val="20"/>
              </w:rPr>
            </w:pPr>
            <w:r>
              <w:rPr>
                <w:rFonts w:ascii="Arial Narrow Bold"/>
                <w:b/>
                <w:sz w:val="20"/>
              </w:rPr>
              <w:t>Human resource practice</w:t>
            </w:r>
          </w:p>
        </w:tc>
        <w:tc>
          <w:tcPr>
            <w:tcW w:w="2657" w:type="dxa"/>
            <w:gridSpan w:val="2"/>
            <w:shd w:val="clear" w:color="auto" w:fill="EFF2EA"/>
          </w:tcPr>
          <w:p>
            <w:pPr>
              <w:pStyle w:val="TableParagraph"/>
              <w:ind w:left="119"/>
              <w:rPr>
                <w:rFonts w:ascii="Arial Narrow Bold"/>
                <w:b/>
                <w:sz w:val="20"/>
              </w:rPr>
            </w:pPr>
            <w:r>
              <w:rPr>
                <w:rFonts w:ascii="Arial Narrow Bold"/>
                <w:b/>
                <w:sz w:val="20"/>
              </w:rPr>
              <w:t>% of workplaces with this practice in place</w:t>
            </w:r>
          </w:p>
        </w:tc>
      </w:tr>
      <w:tr>
        <w:trPr>
          <w:trHeight w:val="435" w:hRule="exact"/>
        </w:trPr>
        <w:tc>
          <w:tcPr>
            <w:tcW w:w="4193" w:type="dxa"/>
            <w:vMerge/>
            <w:shd w:val="clear" w:color="auto" w:fill="EFF2EA"/>
          </w:tcPr>
          <w:p>
            <w:pPr/>
          </w:p>
        </w:tc>
        <w:tc>
          <w:tcPr>
            <w:tcW w:w="1314" w:type="dxa"/>
            <w:shd w:val="clear" w:color="auto" w:fill="EFF2EA"/>
          </w:tcPr>
          <w:p>
            <w:pPr>
              <w:pStyle w:val="TableParagraph"/>
              <w:ind w:left="119"/>
              <w:rPr>
                <w:rFonts w:ascii="Arial Narrow Bold"/>
                <w:b/>
                <w:sz w:val="20"/>
              </w:rPr>
            </w:pPr>
            <w:r>
              <w:rPr>
                <w:rFonts w:ascii="Arial Narrow Bold"/>
                <w:b/>
                <w:sz w:val="20"/>
              </w:rPr>
              <w:t>Public sector</w:t>
            </w:r>
          </w:p>
        </w:tc>
        <w:tc>
          <w:tcPr>
            <w:tcW w:w="1343" w:type="dxa"/>
            <w:shd w:val="clear" w:color="auto" w:fill="EFF2EA"/>
          </w:tcPr>
          <w:p>
            <w:pPr>
              <w:pStyle w:val="TableParagraph"/>
              <w:rPr>
                <w:rFonts w:ascii="Arial Narrow Bold"/>
                <w:b/>
                <w:sz w:val="20"/>
              </w:rPr>
            </w:pPr>
            <w:r>
              <w:rPr>
                <w:rFonts w:ascii="Arial Narrow Bold"/>
                <w:b/>
                <w:sz w:val="20"/>
              </w:rPr>
              <w:t>Private sector</w:t>
            </w:r>
          </w:p>
        </w:tc>
      </w:tr>
      <w:tr>
        <w:trPr>
          <w:trHeight w:val="434" w:hRule="exact"/>
        </w:trPr>
        <w:tc>
          <w:tcPr>
            <w:tcW w:w="4193" w:type="dxa"/>
          </w:tcPr>
          <w:p>
            <w:pPr>
              <w:pStyle w:val="TableParagraph"/>
              <w:ind w:left="119" w:right="209"/>
              <w:rPr>
                <w:sz w:val="20"/>
              </w:rPr>
            </w:pPr>
            <w:r>
              <w:rPr>
                <w:sz w:val="20"/>
              </w:rPr>
              <w:t>Use of performance test for selection</w:t>
            </w:r>
          </w:p>
        </w:tc>
        <w:tc>
          <w:tcPr>
            <w:tcW w:w="1314" w:type="dxa"/>
          </w:tcPr>
          <w:p>
            <w:pPr>
              <w:pStyle w:val="TableParagraph"/>
              <w:ind w:left="211"/>
              <w:rPr>
                <w:sz w:val="20"/>
              </w:rPr>
            </w:pPr>
            <w:r>
              <w:rPr>
                <w:sz w:val="20"/>
              </w:rPr>
              <w:t>58</w:t>
            </w:r>
          </w:p>
        </w:tc>
        <w:tc>
          <w:tcPr>
            <w:tcW w:w="1343" w:type="dxa"/>
          </w:tcPr>
          <w:p>
            <w:pPr>
              <w:pStyle w:val="TableParagraph"/>
              <w:rPr>
                <w:sz w:val="20"/>
              </w:rPr>
            </w:pPr>
            <w:r>
              <w:rPr>
                <w:sz w:val="20"/>
              </w:rPr>
              <w:t>44</w:t>
            </w:r>
          </w:p>
        </w:tc>
      </w:tr>
      <w:tr>
        <w:trPr>
          <w:trHeight w:val="435" w:hRule="exact"/>
        </w:trPr>
        <w:tc>
          <w:tcPr>
            <w:tcW w:w="4193" w:type="dxa"/>
          </w:tcPr>
          <w:p>
            <w:pPr>
              <w:pStyle w:val="TableParagraph"/>
              <w:ind w:left="119" w:right="209"/>
              <w:rPr>
                <w:sz w:val="20"/>
              </w:rPr>
            </w:pPr>
            <w:r>
              <w:rPr>
                <w:sz w:val="20"/>
              </w:rPr>
              <w:t>Preference for internal candidates in selection</w:t>
            </w:r>
          </w:p>
        </w:tc>
        <w:tc>
          <w:tcPr>
            <w:tcW w:w="1314" w:type="dxa"/>
          </w:tcPr>
          <w:p>
            <w:pPr>
              <w:pStyle w:val="TableParagraph"/>
              <w:ind w:left="211"/>
              <w:rPr>
                <w:sz w:val="20"/>
              </w:rPr>
            </w:pPr>
            <w:r>
              <w:rPr>
                <w:sz w:val="20"/>
              </w:rPr>
              <w:t>16</w:t>
            </w:r>
          </w:p>
        </w:tc>
        <w:tc>
          <w:tcPr>
            <w:tcW w:w="1343" w:type="dxa"/>
          </w:tcPr>
          <w:p>
            <w:pPr>
              <w:pStyle w:val="TableParagraph"/>
              <w:rPr>
                <w:sz w:val="20"/>
              </w:rPr>
            </w:pPr>
            <w:r>
              <w:rPr>
                <w:sz w:val="20"/>
              </w:rPr>
              <w:t>30</w:t>
            </w:r>
          </w:p>
        </w:tc>
      </w:tr>
      <w:tr>
        <w:trPr>
          <w:trHeight w:val="434" w:hRule="exact"/>
        </w:trPr>
        <w:tc>
          <w:tcPr>
            <w:tcW w:w="4193" w:type="dxa"/>
          </w:tcPr>
          <w:p>
            <w:pPr>
              <w:pStyle w:val="TableParagraph"/>
              <w:ind w:left="119" w:right="209"/>
              <w:rPr>
                <w:sz w:val="20"/>
              </w:rPr>
            </w:pPr>
            <w:r>
              <w:rPr>
                <w:sz w:val="20"/>
              </w:rPr>
              <w:t>Standard induction programme for new recruits</w:t>
            </w:r>
          </w:p>
        </w:tc>
        <w:tc>
          <w:tcPr>
            <w:tcW w:w="1314" w:type="dxa"/>
          </w:tcPr>
          <w:p>
            <w:pPr>
              <w:pStyle w:val="TableParagraph"/>
              <w:ind w:left="211"/>
              <w:rPr>
                <w:sz w:val="20"/>
              </w:rPr>
            </w:pPr>
            <w:r>
              <w:rPr>
                <w:sz w:val="20"/>
              </w:rPr>
              <w:t>80</w:t>
            </w:r>
          </w:p>
        </w:tc>
        <w:tc>
          <w:tcPr>
            <w:tcW w:w="1343" w:type="dxa"/>
          </w:tcPr>
          <w:p>
            <w:pPr>
              <w:pStyle w:val="TableParagraph"/>
              <w:rPr>
                <w:sz w:val="20"/>
              </w:rPr>
            </w:pPr>
            <w:r>
              <w:rPr>
                <w:sz w:val="20"/>
              </w:rPr>
              <w:t>76</w:t>
            </w:r>
          </w:p>
        </w:tc>
      </w:tr>
      <w:tr>
        <w:trPr>
          <w:trHeight w:val="434" w:hRule="exact"/>
        </w:trPr>
        <w:tc>
          <w:tcPr>
            <w:tcW w:w="4193" w:type="dxa"/>
          </w:tcPr>
          <w:p>
            <w:pPr>
              <w:pStyle w:val="TableParagraph"/>
              <w:ind w:left="119" w:right="209"/>
              <w:rPr>
                <w:sz w:val="20"/>
              </w:rPr>
            </w:pPr>
            <w:r>
              <w:rPr>
                <w:sz w:val="20"/>
              </w:rPr>
              <w:t>40% or more received formal job training in last year</w:t>
            </w:r>
          </w:p>
        </w:tc>
        <w:tc>
          <w:tcPr>
            <w:tcW w:w="1314" w:type="dxa"/>
          </w:tcPr>
          <w:p>
            <w:pPr>
              <w:pStyle w:val="TableParagraph"/>
              <w:ind w:left="211"/>
              <w:rPr>
                <w:sz w:val="20"/>
              </w:rPr>
            </w:pPr>
            <w:r>
              <w:rPr>
                <w:sz w:val="20"/>
              </w:rPr>
              <w:t>68</w:t>
            </w:r>
          </w:p>
        </w:tc>
        <w:tc>
          <w:tcPr>
            <w:tcW w:w="1343" w:type="dxa"/>
          </w:tcPr>
          <w:p>
            <w:pPr>
              <w:pStyle w:val="TableParagraph"/>
              <w:rPr>
                <w:sz w:val="20"/>
              </w:rPr>
            </w:pPr>
            <w:r>
              <w:rPr>
                <w:sz w:val="20"/>
              </w:rPr>
              <w:t>37</w:t>
            </w:r>
          </w:p>
        </w:tc>
      </w:tr>
      <w:tr>
        <w:trPr>
          <w:trHeight w:val="434" w:hRule="exact"/>
        </w:trPr>
        <w:tc>
          <w:tcPr>
            <w:tcW w:w="4193" w:type="dxa"/>
          </w:tcPr>
          <w:p>
            <w:pPr>
              <w:pStyle w:val="TableParagraph"/>
              <w:ind w:left="119" w:right="209"/>
              <w:rPr>
                <w:sz w:val="20"/>
              </w:rPr>
            </w:pPr>
            <w:r>
              <w:rPr>
                <w:sz w:val="20"/>
              </w:rPr>
              <w:t>Employees have a lot of variety in their work</w:t>
            </w:r>
          </w:p>
        </w:tc>
        <w:tc>
          <w:tcPr>
            <w:tcW w:w="1314" w:type="dxa"/>
          </w:tcPr>
          <w:p>
            <w:pPr>
              <w:pStyle w:val="TableParagraph"/>
              <w:ind w:left="211"/>
              <w:rPr>
                <w:sz w:val="20"/>
              </w:rPr>
            </w:pPr>
            <w:r>
              <w:rPr>
                <w:sz w:val="20"/>
              </w:rPr>
              <w:t>52</w:t>
            </w:r>
          </w:p>
        </w:tc>
        <w:tc>
          <w:tcPr>
            <w:tcW w:w="1343" w:type="dxa"/>
          </w:tcPr>
          <w:p>
            <w:pPr>
              <w:pStyle w:val="TableParagraph"/>
              <w:rPr>
                <w:sz w:val="20"/>
              </w:rPr>
            </w:pPr>
            <w:r>
              <w:rPr>
                <w:sz w:val="20"/>
              </w:rPr>
              <w:t>41</w:t>
            </w:r>
          </w:p>
        </w:tc>
      </w:tr>
      <w:tr>
        <w:trPr>
          <w:trHeight w:val="435" w:hRule="exact"/>
        </w:trPr>
        <w:tc>
          <w:tcPr>
            <w:tcW w:w="4193" w:type="dxa"/>
          </w:tcPr>
          <w:p>
            <w:pPr>
              <w:pStyle w:val="TableParagraph"/>
              <w:ind w:left="119" w:right="209"/>
              <w:rPr>
                <w:sz w:val="20"/>
              </w:rPr>
            </w:pPr>
            <w:r>
              <w:rPr>
                <w:sz w:val="20"/>
              </w:rPr>
              <w:t>40% or more work in formally designated teams</w:t>
            </w:r>
          </w:p>
        </w:tc>
        <w:tc>
          <w:tcPr>
            <w:tcW w:w="1314" w:type="dxa"/>
          </w:tcPr>
          <w:p>
            <w:pPr>
              <w:pStyle w:val="TableParagraph"/>
              <w:ind w:left="211"/>
              <w:rPr>
                <w:sz w:val="20"/>
              </w:rPr>
            </w:pPr>
            <w:r>
              <w:rPr>
                <w:sz w:val="20"/>
              </w:rPr>
              <w:t>54</w:t>
            </w:r>
          </w:p>
        </w:tc>
        <w:tc>
          <w:tcPr>
            <w:tcW w:w="1343" w:type="dxa"/>
          </w:tcPr>
          <w:p>
            <w:pPr>
              <w:pStyle w:val="TableParagraph"/>
              <w:rPr>
                <w:sz w:val="20"/>
              </w:rPr>
            </w:pPr>
            <w:r>
              <w:rPr>
                <w:sz w:val="20"/>
              </w:rPr>
              <w:t>40</w:t>
            </w:r>
          </w:p>
        </w:tc>
      </w:tr>
      <w:tr>
        <w:trPr>
          <w:trHeight w:val="677" w:hRule="exact"/>
        </w:trPr>
        <w:tc>
          <w:tcPr>
            <w:tcW w:w="4193" w:type="dxa"/>
          </w:tcPr>
          <w:p>
            <w:pPr>
              <w:pStyle w:val="TableParagraph"/>
              <w:ind w:left="119" w:right="209"/>
              <w:rPr>
                <w:sz w:val="20"/>
              </w:rPr>
            </w:pPr>
            <w:r>
              <w:rPr>
                <w:sz w:val="20"/>
              </w:rPr>
              <w:t>At least 25% of time at meetings devoted to employee questions</w:t>
            </w:r>
          </w:p>
        </w:tc>
        <w:tc>
          <w:tcPr>
            <w:tcW w:w="1314" w:type="dxa"/>
          </w:tcPr>
          <w:p>
            <w:pPr>
              <w:pStyle w:val="TableParagraph"/>
              <w:ind w:left="211"/>
              <w:rPr>
                <w:sz w:val="20"/>
              </w:rPr>
            </w:pPr>
            <w:r>
              <w:rPr>
                <w:sz w:val="20"/>
              </w:rPr>
              <w:t>63</w:t>
            </w:r>
          </w:p>
        </w:tc>
        <w:tc>
          <w:tcPr>
            <w:tcW w:w="1343" w:type="dxa"/>
          </w:tcPr>
          <w:p>
            <w:pPr>
              <w:pStyle w:val="TableParagraph"/>
              <w:rPr>
                <w:sz w:val="20"/>
              </w:rPr>
            </w:pPr>
            <w:r>
              <w:rPr>
                <w:sz w:val="20"/>
              </w:rPr>
              <w:t>49</w:t>
            </w:r>
          </w:p>
        </w:tc>
      </w:tr>
      <w:tr>
        <w:trPr>
          <w:trHeight w:val="435" w:hRule="exact"/>
        </w:trPr>
        <w:tc>
          <w:tcPr>
            <w:tcW w:w="4193" w:type="dxa"/>
          </w:tcPr>
          <w:p>
            <w:pPr>
              <w:pStyle w:val="TableParagraph"/>
              <w:ind w:left="119" w:right="209"/>
              <w:rPr>
                <w:sz w:val="20"/>
              </w:rPr>
            </w:pPr>
            <w:r>
              <w:rPr>
                <w:sz w:val="20"/>
              </w:rPr>
              <w:t>40% or more take part in problem-solving group</w:t>
            </w:r>
          </w:p>
        </w:tc>
        <w:tc>
          <w:tcPr>
            <w:tcW w:w="1314" w:type="dxa"/>
          </w:tcPr>
          <w:p>
            <w:pPr>
              <w:pStyle w:val="TableParagraph"/>
              <w:ind w:left="211"/>
              <w:rPr>
                <w:sz w:val="20"/>
              </w:rPr>
            </w:pPr>
            <w:r>
              <w:rPr>
                <w:sz w:val="20"/>
              </w:rPr>
              <w:t>28</w:t>
            </w:r>
          </w:p>
        </w:tc>
        <w:tc>
          <w:tcPr>
            <w:tcW w:w="1343" w:type="dxa"/>
          </w:tcPr>
          <w:p>
            <w:pPr>
              <w:pStyle w:val="TableParagraph"/>
              <w:rPr>
                <w:sz w:val="20"/>
              </w:rPr>
            </w:pPr>
            <w:r>
              <w:rPr>
                <w:sz w:val="20"/>
              </w:rPr>
              <w:t>16</w:t>
            </w:r>
          </w:p>
        </w:tc>
      </w:tr>
      <w:tr>
        <w:trPr>
          <w:trHeight w:val="434" w:hRule="exact"/>
        </w:trPr>
        <w:tc>
          <w:tcPr>
            <w:tcW w:w="4193" w:type="dxa"/>
          </w:tcPr>
          <w:p>
            <w:pPr>
              <w:pStyle w:val="TableParagraph"/>
              <w:ind w:left="119" w:right="209"/>
              <w:rPr>
                <w:sz w:val="20"/>
              </w:rPr>
            </w:pPr>
            <w:r>
              <w:rPr>
                <w:sz w:val="20"/>
              </w:rPr>
              <w:t>Attitude survey in last three years</w:t>
            </w:r>
          </w:p>
        </w:tc>
        <w:tc>
          <w:tcPr>
            <w:tcW w:w="1314" w:type="dxa"/>
          </w:tcPr>
          <w:p>
            <w:pPr>
              <w:pStyle w:val="TableParagraph"/>
              <w:ind w:left="211"/>
              <w:rPr>
                <w:sz w:val="20"/>
              </w:rPr>
            </w:pPr>
            <w:r>
              <w:rPr>
                <w:sz w:val="20"/>
              </w:rPr>
              <w:t>54</w:t>
            </w:r>
          </w:p>
        </w:tc>
        <w:tc>
          <w:tcPr>
            <w:tcW w:w="1343" w:type="dxa"/>
          </w:tcPr>
          <w:p>
            <w:pPr>
              <w:pStyle w:val="TableParagraph"/>
              <w:rPr>
                <w:sz w:val="20"/>
              </w:rPr>
            </w:pPr>
            <w:r>
              <w:rPr>
                <w:sz w:val="20"/>
              </w:rPr>
              <w:t>40</w:t>
            </w:r>
          </w:p>
        </w:tc>
      </w:tr>
      <w:tr>
        <w:trPr>
          <w:trHeight w:val="734" w:hRule="exact"/>
        </w:trPr>
        <w:tc>
          <w:tcPr>
            <w:tcW w:w="4193" w:type="dxa"/>
          </w:tcPr>
          <w:p>
            <w:pPr>
              <w:pStyle w:val="TableParagraph"/>
              <w:ind w:left="119"/>
              <w:rPr>
                <w:sz w:val="20"/>
              </w:rPr>
            </w:pPr>
            <w:r>
              <w:rPr>
                <w:sz w:val="20"/>
              </w:rPr>
              <w:t>Formal appraisals for 40% or more of non-managerial staff</w:t>
            </w:r>
          </w:p>
        </w:tc>
        <w:tc>
          <w:tcPr>
            <w:tcW w:w="1314" w:type="dxa"/>
          </w:tcPr>
          <w:p>
            <w:pPr>
              <w:pStyle w:val="TableParagraph"/>
              <w:ind w:left="211"/>
              <w:rPr>
                <w:sz w:val="20"/>
              </w:rPr>
            </w:pPr>
            <w:r>
              <w:rPr>
                <w:sz w:val="20"/>
              </w:rPr>
              <w:t>77</w:t>
            </w:r>
          </w:p>
        </w:tc>
        <w:tc>
          <w:tcPr>
            <w:tcW w:w="1343" w:type="dxa"/>
          </w:tcPr>
          <w:p>
            <w:pPr>
              <w:pStyle w:val="TableParagraph"/>
              <w:rPr>
                <w:sz w:val="20"/>
              </w:rPr>
            </w:pPr>
            <w:r>
              <w:rPr>
                <w:sz w:val="20"/>
              </w:rPr>
              <w:t>87</w:t>
            </w:r>
          </w:p>
        </w:tc>
      </w:tr>
      <w:tr>
        <w:trPr>
          <w:trHeight w:val="435" w:hRule="exact"/>
        </w:trPr>
        <w:tc>
          <w:tcPr>
            <w:tcW w:w="4193" w:type="dxa"/>
          </w:tcPr>
          <w:p>
            <w:pPr>
              <w:pStyle w:val="TableParagraph"/>
              <w:ind w:left="119" w:right="209"/>
              <w:rPr>
                <w:sz w:val="20"/>
              </w:rPr>
            </w:pPr>
            <w:r>
              <w:rPr>
                <w:sz w:val="20"/>
              </w:rPr>
              <w:t>Formal grievance procedure in place</w:t>
            </w:r>
          </w:p>
        </w:tc>
        <w:tc>
          <w:tcPr>
            <w:tcW w:w="1314" w:type="dxa"/>
          </w:tcPr>
          <w:p>
            <w:pPr>
              <w:pStyle w:val="TableParagraph"/>
              <w:ind w:left="119"/>
              <w:rPr>
                <w:sz w:val="20"/>
              </w:rPr>
            </w:pPr>
            <w:r>
              <w:rPr>
                <w:sz w:val="20"/>
              </w:rPr>
              <w:t>100</w:t>
            </w:r>
          </w:p>
        </w:tc>
        <w:tc>
          <w:tcPr>
            <w:tcW w:w="1343" w:type="dxa"/>
          </w:tcPr>
          <w:p>
            <w:pPr>
              <w:pStyle w:val="TableParagraph"/>
              <w:rPr>
                <w:sz w:val="20"/>
              </w:rPr>
            </w:pPr>
            <w:r>
              <w:rPr>
                <w:sz w:val="20"/>
              </w:rPr>
              <w:t>90</w:t>
            </w:r>
          </w:p>
        </w:tc>
      </w:tr>
      <w:tr>
        <w:trPr>
          <w:trHeight w:val="435" w:hRule="exact"/>
        </w:trPr>
        <w:tc>
          <w:tcPr>
            <w:tcW w:w="4193" w:type="dxa"/>
          </w:tcPr>
          <w:p>
            <w:pPr>
              <w:pStyle w:val="TableParagraph"/>
              <w:ind w:left="119" w:right="209"/>
              <w:rPr>
                <w:sz w:val="20"/>
              </w:rPr>
            </w:pPr>
            <w:r>
              <w:rPr>
                <w:sz w:val="20"/>
              </w:rPr>
              <w:t>Job security guarantee</w:t>
            </w:r>
          </w:p>
        </w:tc>
        <w:tc>
          <w:tcPr>
            <w:tcW w:w="1314" w:type="dxa"/>
          </w:tcPr>
          <w:p>
            <w:pPr>
              <w:pStyle w:val="TableParagraph"/>
              <w:ind w:left="211"/>
              <w:rPr>
                <w:sz w:val="20"/>
              </w:rPr>
            </w:pPr>
            <w:r>
              <w:rPr>
                <w:sz w:val="20"/>
              </w:rPr>
              <w:t>15</w:t>
            </w:r>
          </w:p>
        </w:tc>
        <w:tc>
          <w:tcPr>
            <w:tcW w:w="1343" w:type="dxa"/>
          </w:tcPr>
          <w:p>
            <w:pPr>
              <w:pStyle w:val="TableParagraph"/>
              <w:ind w:left="211"/>
              <w:rPr>
                <w:sz w:val="20"/>
              </w:rPr>
            </w:pPr>
            <w:r>
              <w:rPr>
                <w:sz w:val="20"/>
              </w:rPr>
              <w:t>5</w:t>
            </w:r>
          </w:p>
        </w:tc>
      </w:tr>
      <w:tr>
        <w:trPr>
          <w:trHeight w:val="435" w:hRule="exact"/>
        </w:trPr>
        <w:tc>
          <w:tcPr>
            <w:tcW w:w="4193" w:type="dxa"/>
          </w:tcPr>
          <w:p>
            <w:pPr>
              <w:pStyle w:val="TableParagraph"/>
              <w:ind w:left="119" w:right="209"/>
              <w:rPr>
                <w:sz w:val="20"/>
              </w:rPr>
            </w:pPr>
            <w:r>
              <w:rPr>
                <w:sz w:val="20"/>
              </w:rPr>
              <w:t>Performance related pay for non-managerial staff</w:t>
            </w:r>
          </w:p>
        </w:tc>
        <w:tc>
          <w:tcPr>
            <w:tcW w:w="1314" w:type="dxa"/>
          </w:tcPr>
          <w:p>
            <w:pPr>
              <w:pStyle w:val="TableParagraph"/>
              <w:ind w:left="211"/>
              <w:rPr>
                <w:sz w:val="20"/>
              </w:rPr>
            </w:pPr>
            <w:r>
              <w:rPr>
                <w:sz w:val="20"/>
              </w:rPr>
              <w:t>20</w:t>
            </w:r>
          </w:p>
        </w:tc>
        <w:tc>
          <w:tcPr>
            <w:tcW w:w="1343" w:type="dxa"/>
          </w:tcPr>
          <w:p>
            <w:pPr>
              <w:pStyle w:val="TableParagraph"/>
              <w:rPr>
                <w:sz w:val="20"/>
              </w:rPr>
            </w:pPr>
            <w:r>
              <w:rPr>
                <w:sz w:val="20"/>
              </w:rPr>
              <w:t>38</w:t>
            </w:r>
          </w:p>
        </w:tc>
      </w:tr>
      <w:tr>
        <w:trPr>
          <w:trHeight w:val="434" w:hRule="exact"/>
        </w:trPr>
        <w:tc>
          <w:tcPr>
            <w:tcW w:w="4193" w:type="dxa"/>
          </w:tcPr>
          <w:p>
            <w:pPr>
              <w:pStyle w:val="TableParagraph"/>
              <w:ind w:left="119" w:right="209"/>
              <w:rPr>
                <w:sz w:val="20"/>
              </w:rPr>
            </w:pPr>
            <w:r>
              <w:rPr>
                <w:sz w:val="20"/>
              </w:rPr>
              <w:t>All employee share ownership scheme</w:t>
            </w:r>
          </w:p>
        </w:tc>
        <w:tc>
          <w:tcPr>
            <w:tcW w:w="1314" w:type="dxa"/>
          </w:tcPr>
          <w:p>
            <w:pPr>
              <w:pStyle w:val="TableParagraph"/>
              <w:ind w:left="119"/>
              <w:rPr>
                <w:sz w:val="20"/>
              </w:rPr>
            </w:pPr>
            <w:r>
              <w:rPr>
                <w:sz w:val="20"/>
              </w:rPr>
              <w:t>n/a</w:t>
            </w:r>
          </w:p>
        </w:tc>
        <w:tc>
          <w:tcPr>
            <w:tcW w:w="1343" w:type="dxa"/>
          </w:tcPr>
          <w:p>
            <w:pPr>
              <w:pStyle w:val="TableParagraph"/>
              <w:rPr>
                <w:sz w:val="20"/>
              </w:rPr>
            </w:pPr>
            <w:r>
              <w:rPr>
                <w:sz w:val="20"/>
              </w:rPr>
              <w:t>25</w:t>
            </w:r>
          </w:p>
        </w:tc>
      </w:tr>
    </w:tbl>
    <w:p>
      <w:pPr>
        <w:spacing w:line="244" w:lineRule="auto" w:before="60"/>
        <w:ind w:left="180" w:right="472" w:firstLine="0"/>
        <w:jc w:val="both"/>
        <w:rPr>
          <w:sz w:val="18"/>
        </w:rPr>
      </w:pPr>
      <w:r>
        <w:rPr>
          <w:rFonts w:ascii="Arial Narrow Italic"/>
          <w:i/>
          <w:sz w:val="18"/>
        </w:rPr>
        <w:t>Source</w:t>
      </w:r>
      <w:r>
        <w:rPr>
          <w:sz w:val="18"/>
        </w:rPr>
        <w:t>: Guest D., Michie J., Sheehan M. and Conway N. </w:t>
      </w:r>
      <w:r>
        <w:rPr>
          <w:rFonts w:ascii="Arial Narrow Italic"/>
          <w:i/>
          <w:sz w:val="18"/>
        </w:rPr>
        <w:t>Employment Relations, HRM and Business Performance: An analysis of the 1998 workplace employee relations survey</w:t>
      </w:r>
      <w:r>
        <w:rPr>
          <w:sz w:val="18"/>
        </w:rPr>
        <w:t>. London, CIPD. 2000a.  p16</w:t>
      </w:r>
    </w:p>
    <w:p>
      <w:pPr>
        <w:pStyle w:val="BodyText"/>
        <w:spacing w:before="47"/>
        <w:ind w:left="180" w:right="472"/>
        <w:jc w:val="both"/>
      </w:pPr>
      <w:r>
        <w:rPr/>
        <w:t>Selective hiring is less obvious as a source of direct beneﬁt to employees, although it might reduce the likelihood of having to work alongside what might be seen as incapable or ineffective co-workers. In addition, delaying recruitment or using temporaries might enhance the employment security of those permanent staff in the event of a downturn – although there is also evidence that temporary staff may be used in order to reduce wages and put pressure on so-called permanent staff (Rubery </w:t>
      </w:r>
      <w:r>
        <w:rPr>
          <w:rFonts w:ascii="Arial Narrow Italic" w:hAnsi="Arial Narrow Italic"/>
          <w:i/>
        </w:rPr>
        <w:t>et al </w:t>
      </w:r>
      <w:r>
        <w:rPr/>
        <w:t>2003). Put together – especially in comparison </w:t>
      </w:r>
      <w:r>
        <w:rPr>
          <w:spacing w:val="45"/>
        </w:rPr>
        <w:t> </w:t>
      </w:r>
      <w:r>
        <w:rPr/>
        <w:t>with the ‘bleak house’ policies described by a number of authors – high commitment HRM seems very attractive. However, as we have also seen, digging beneath the surface implies that some of these ‘best practices’ may not be quite as appealing in</w:t>
      </w:r>
      <w:r>
        <w:rPr>
          <w:spacing w:val="33"/>
        </w:rPr>
        <w:t> </w:t>
      </w:r>
      <w:r>
        <w:rPr/>
        <w:t>reality.</w:t>
      </w:r>
    </w:p>
    <w:p>
      <w:pPr>
        <w:pStyle w:val="BodyText"/>
      </w:pPr>
    </w:p>
    <w:p>
      <w:pPr>
        <w:pStyle w:val="BodyText"/>
      </w:pPr>
    </w:p>
    <w:p>
      <w:pPr>
        <w:pStyle w:val="BodyText"/>
      </w:pPr>
    </w:p>
    <w:p>
      <w:pPr>
        <w:pStyle w:val="BodyText"/>
      </w:pPr>
    </w:p>
    <w:p>
      <w:pPr>
        <w:pStyle w:val="BodyText"/>
        <w:spacing w:before="7"/>
        <w:rPr>
          <w:sz w:val="24"/>
        </w:rPr>
      </w:pPr>
    </w:p>
    <w:p>
      <w:pPr>
        <w:pStyle w:val="Heading2"/>
        <w:spacing w:before="91"/>
        <w:ind w:left="0" w:right="116"/>
        <w:jc w:val="right"/>
      </w:pPr>
      <w:r>
        <w:rPr/>
        <w:pict>
          <v:group style="position:absolute;margin-left:78.978996pt;margin-top:-57.62397pt;width:343.05pt;height:95.45pt;mso-position-horizontal-relative:page;mso-position-vertical-relative:paragraph;z-index:1384" coordorigin="1580,-1152" coordsize="6861,1909">
            <v:rect style="position:absolute;left:1670;top:-1043;width:6765;height:1091" filled="true" fillcolor="#5e792d" stroked="false">
              <v:fill type="solid"/>
            </v:rect>
            <v:rect style="position:absolute;left:1670;top:-1043;width:6765;height:1168" filled="false" stroked="true" strokeweight=".5pt" strokecolor="#5e792d"/>
            <v:rect style="position:absolute;left:1580;top:-1152;width:6775;height:1198" filled="true" fillcolor="#eff2ea" stroked="false">
              <v:fill type="solid"/>
            </v:rect>
            <v:rect style="position:absolute;left:1582;top:47;width:6856;height:706" filled="true" fillcolor="#ffffff" stroked="false">
              <v:fill type="solid"/>
            </v:rect>
            <v:rect style="position:absolute;left:1582;top:47;width:6856;height:706" filled="false" stroked="true" strokeweight=".216pt" strokecolor="#000000"/>
            <v:shape style="position:absolute;left:1670;top:-1048;width:6725;height:1096" type="#_x0000_t202" filled="false" stroked="false">
              <v:textbox inset="0,0,0,0">
                <w:txbxContent>
                  <w:p>
                    <w:pPr>
                      <w:spacing w:before="3"/>
                      <w:ind w:left="69" w:right="198" w:firstLine="0"/>
                      <w:jc w:val="both"/>
                      <w:rPr>
                        <w:sz w:val="20"/>
                      </w:rPr>
                    </w:pPr>
                    <w:r>
                      <w:rPr>
                        <w:sz w:val="20"/>
                      </w:rPr>
                      <w:t>Look at </w:t>
                    </w:r>
                    <w:r>
                      <w:rPr>
                        <w:spacing w:val="-4"/>
                        <w:sz w:val="20"/>
                      </w:rPr>
                      <w:t>Table </w:t>
                    </w:r>
                    <w:r>
                      <w:rPr>
                        <w:sz w:val="20"/>
                      </w:rPr>
                      <w:t>8. Do any of these ﬁgures come as a surprise to you, either in terms of</w:t>
                    </w:r>
                    <w:r>
                      <w:rPr>
                        <w:spacing w:val="45"/>
                        <w:sz w:val="20"/>
                      </w:rPr>
                      <w:t> </w:t>
                    </w:r>
                    <w:r>
                      <w:rPr>
                        <w:sz w:val="20"/>
                      </w:rPr>
                      <w:t>how extensive or rare they are? Why/why not? If you work for an organisation, develop   a business case for increasing the number of high commitment practices used at your workplace.</w:t>
                    </w:r>
                  </w:p>
                </w:txbxContent>
              </v:textbox>
              <w10:wrap type="none"/>
            </v:shape>
            <v:shape style="position:absolute;left:1580;top:47;width:6815;height:707" type="#_x0000_t202" filled="false" stroked="false">
              <v:textbox inset="0,0,0,0">
                <w:txbxContent>
                  <w:p>
                    <w:pPr>
                      <w:spacing w:before="36"/>
                      <w:ind w:left="63" w:right="-14" w:firstLine="0"/>
                      <w:jc w:val="left"/>
                      <w:rPr>
                        <w:rFonts w:ascii="Arial Narrow Bold" w:hAnsi="Arial Narrow Bold"/>
                        <w:b/>
                        <w:sz w:val="10"/>
                      </w:rPr>
                    </w:pPr>
                    <w:r>
                      <w:rPr>
                        <w:sz w:val="10"/>
                      </w:rPr>
                      <w:t>A free sample chapter from </w:t>
                    </w:r>
                    <w:r>
                      <w:rPr>
                        <w:rFonts w:ascii="Arial Narrow Italic" w:hAnsi="Arial Narrow Italic"/>
                        <w:i/>
                        <w:sz w:val="10"/>
                      </w:rPr>
                      <w:t>Human Resource Management at Work </w:t>
                    </w:r>
                    <w:r>
                      <w:rPr>
                        <w:sz w:val="10"/>
                      </w:rPr>
                      <w:t>by </w:t>
                    </w:r>
                    <w:r>
                      <w:rPr>
                        <w:rFonts w:ascii="Arial Narrow Bold" w:hAnsi="Arial Narrow Bold"/>
                        <w:b/>
                        <w:sz w:val="10"/>
                      </w:rPr>
                      <w:t>Mick Marchington and Adrian Wilkinson</w:t>
                    </w:r>
                    <w:r>
                      <w:rPr>
                        <w:sz w:val="10"/>
                      </w:rPr>
                      <w:t>. Published by the CIPD. Copyright © </w:t>
                    </w:r>
                    <w:r>
                      <w:rPr>
                        <w:rFonts w:ascii="Arial Narrow Bold" w:hAnsi="Arial Narrow Bold"/>
                        <w:b/>
                        <w:sz w:val="10"/>
                      </w:rPr>
                      <w:t>CIPD  2005</w:t>
                    </w:r>
                  </w:p>
                  <w:p>
                    <w:pPr>
                      <w:spacing w:before="60"/>
                      <w:ind w:left="63" w:right="-14" w:firstLine="0"/>
                      <w:jc w:val="left"/>
                      <w:rPr>
                        <w:sz w:val="10"/>
                      </w:rPr>
                    </w:pPr>
                    <w:r>
                      <w:rPr>
                        <w:sz w:val="10"/>
                      </w:rPr>
                      <w:t>All rights reserved; no part of this excerpt may be reproduced, stored in a retrieval system, or transmitted in any form or by any means, electronic, mechanical, photocopying, recording, or otherwise without the prior written permission of the Publishers or a licence permitting restricted copying in the United Kingdom issued by the Copyright Licensing Agency.</w:t>
                    </w:r>
                  </w:p>
                  <w:p>
                    <w:pPr>
                      <w:spacing w:before="60"/>
                      <w:ind w:left="63" w:right="-14" w:firstLine="0"/>
                      <w:jc w:val="left"/>
                      <w:rPr>
                        <w:sz w:val="10"/>
                      </w:rPr>
                    </w:pPr>
                    <w:r>
                      <w:rPr>
                        <w:sz w:val="10"/>
                      </w:rPr>
                      <w:t>If you would like to purchase this book please visit </w:t>
                    </w:r>
                    <w:hyperlink r:id="rId5">
                      <w:r>
                        <w:rPr>
                          <w:sz w:val="10"/>
                        </w:rPr>
                        <w:t>www.cipd.co.uk/bookstore.</w:t>
                      </w:r>
                    </w:hyperlink>
                  </w:p>
                </w:txbxContent>
              </v:textbox>
              <w10:wrap type="none"/>
            </v:shape>
            <w10:wrap type="none"/>
          </v:group>
        </w:pict>
      </w:r>
      <w:r>
        <w:rPr>
          <w:color w:val="5E792D"/>
        </w:rPr>
        <w:t>81</w:t>
      </w:r>
    </w:p>
    <w:p>
      <w:pPr>
        <w:spacing w:after="0"/>
        <w:jc w:val="right"/>
        <w:sectPr>
          <w:headerReference w:type="default" r:id="rId10"/>
          <w:headerReference w:type="even" r:id="rId11"/>
          <w:footerReference w:type="default" r:id="rId12"/>
          <w:pgSz w:w="10040" w:h="13950"/>
          <w:pgMar w:header="455" w:footer="0" w:top="640" w:bottom="0" w:left="1400" w:right="1120"/>
        </w:sectPr>
      </w:pPr>
    </w:p>
    <w:p>
      <w:pPr>
        <w:pStyle w:val="BodyText"/>
        <w:rPr>
          <w:rFonts w:ascii="Arial Narrow Bold"/>
          <w:b/>
        </w:rPr>
      </w:pPr>
    </w:p>
    <w:p>
      <w:pPr>
        <w:spacing w:before="182"/>
        <w:ind w:left="460" w:right="0" w:firstLine="0"/>
        <w:jc w:val="both"/>
        <w:rPr>
          <w:rFonts w:ascii="Arial Narrow Bold"/>
          <w:b/>
          <w:sz w:val="24"/>
        </w:rPr>
      </w:pPr>
      <w:r>
        <w:rPr>
          <w:rFonts w:ascii="Arial Narrow Bold"/>
          <w:b/>
          <w:color w:val="5E792D"/>
          <w:sz w:val="24"/>
        </w:rPr>
        <w:t>BUNDLES OF  HUMAN  RESOURCE PRACTICES </w:t>
      </w:r>
    </w:p>
    <w:p>
      <w:pPr>
        <w:pStyle w:val="BodyText"/>
        <w:spacing w:before="76"/>
        <w:ind w:left="460" w:right="192"/>
        <w:jc w:val="both"/>
      </w:pPr>
      <w:r>
        <w:rPr/>
        <w:t>It should be clear from the previous section that there are often links between these high commitment HR practices. For example, workers are more likely to welcome EI and information sharing if they have employment security and their workplace is relatively status- free. Equally, they are more likely to show an interest in teamworking if their efforts are rewarded with performance-related incentives, share ownership, and access to training opportunities. Similarly, if sufﬁcient care has been taken at the recruitment and selection</w:t>
      </w:r>
      <w:r>
        <w:rPr>
          <w:spacing w:val="45"/>
        </w:rPr>
        <w:t> </w:t>
      </w:r>
      <w:r>
        <w:rPr/>
        <w:t>stage, new recruits are more likely to adopt ﬂexible working practices and welcome teamworking, as well as be striving for internal promotion in the future. In isolation, or without the support of a strong organisational culture, each of these practices can  easily  be  dismissed as nothing more than a short-term fad or fashion. Conversely the more that HR practices form a coherent and synergistic bundle of related practices, it is argued organisations are more likely to enjoy success due to the fact that the high commitment paradigm is more deeply embedded into the culture of the workplace. Benson and Lawler (2003, p157) note that ‘research at the work unit level conﬁrms the importance of viewing practices as complementary’ and that the high commitment model (in general) out-performed more traditional control-oriented work systems despite the fact that the exact combination of practices is uncertain and may be</w:t>
      </w:r>
      <w:r>
        <w:rPr>
          <w:spacing w:val="23"/>
        </w:rPr>
        <w:t> </w:t>
      </w:r>
      <w:r>
        <w:rPr/>
        <w:t>industry-speciﬁc.</w:t>
      </w:r>
    </w:p>
    <w:p>
      <w:pPr>
        <w:pStyle w:val="BodyText"/>
        <w:spacing w:before="12"/>
        <w:rPr>
          <w:sz w:val="19"/>
        </w:rPr>
      </w:pPr>
    </w:p>
    <w:p>
      <w:pPr>
        <w:pStyle w:val="BodyText"/>
        <w:ind w:left="460" w:right="192"/>
        <w:jc w:val="both"/>
      </w:pPr>
      <w:r>
        <w:rPr/>
        <w:t>There is certainly theoretical support for the notion that HR practices should operate more effectively when combined together. For example, it could be argued that extensive training is essential for self-managed teams to run effectively, or that higher than average rewards are likely to have a positive impact on numbers of applications for jobs. An employer may feel</w:t>
      </w:r>
      <w:r>
        <w:rPr>
          <w:spacing w:val="45"/>
        </w:rPr>
        <w:t> </w:t>
      </w:r>
      <w:r>
        <w:rPr/>
        <w:t>more inclined to promise employment security if selective hiring has taken place, self- managed teams are extensive throughout the organisation, and rewards are contingent upon performance. Wood and de Menezes (1998, p485) ﬁnd an ‘identiﬁable pattern to the use of high commitment HR practices’ and conﬁrm that they are being used in conjunction with each other. Similarly, despite ﬁnding a low take-up of the high commitment model across his</w:t>
      </w:r>
      <w:r>
        <w:rPr>
          <w:spacing w:val="45"/>
        </w:rPr>
        <w:t> </w:t>
      </w:r>
      <w:r>
        <w:rPr/>
        <w:t>sample of Irish workplaces, Roche (1999, p669) notes that ‘organisations with a relatively </w:t>
      </w:r>
      <w:r>
        <w:rPr>
          <w:spacing w:val="45"/>
        </w:rPr>
        <w:t> </w:t>
      </w:r>
      <w:r>
        <w:rPr/>
        <w:t>high degree of integration of human resource strategy into business strategy are very much more likely to adopt commitment-oriented bundles of HRM</w:t>
      </w:r>
      <w:r>
        <w:rPr>
          <w:spacing w:val="31"/>
        </w:rPr>
        <w:t> </w:t>
      </w:r>
      <w:r>
        <w:rPr/>
        <w:t>practices’.</w:t>
      </w:r>
    </w:p>
    <w:p>
      <w:pPr>
        <w:pStyle w:val="BodyText"/>
        <w:spacing w:before="12"/>
        <w:rPr>
          <w:sz w:val="19"/>
        </w:rPr>
      </w:pPr>
    </w:p>
    <w:p>
      <w:pPr>
        <w:pStyle w:val="BodyText"/>
        <w:ind w:left="460" w:right="192"/>
        <w:jc w:val="both"/>
      </w:pPr>
      <w:r>
        <w:rPr/>
        <w:t>Guest (1997, p271) categorises previous attempts to examine internal ﬁt across HR practices into three distinct groups. First, there are criterion-speciﬁc studies, such as that by Pfeffer, which outline a number of ‘best practices’ and suggest that the closer organisations get to this list the better their performance is likely to be. The danger with such universalist approaches  is that they ignore potentially signiﬁcant differences between organisations, sectors and countries, and posit a particular model – in this case, the US model – as the one to be</w:t>
      </w:r>
      <w:r>
        <w:rPr>
          <w:spacing w:val="45"/>
        </w:rPr>
        <w:t> </w:t>
      </w:r>
      <w:r>
        <w:rPr/>
        <w:t>followed. With this approach, the principal job is to detect the bundle that seems to work and then get all organisations to apply this without deviation. Second, there are two sets of criterion-free categories, ‘ﬁt as gestalt’ and ‘ﬁt as bundles’. In the case of the former, it is assumed that the synergies are achievable only with the adoption of all these practices, and that if one is missing the whole effect will be lost. These approaches are termed</w:t>
      </w:r>
      <w:r>
        <w:rPr>
          <w:spacing w:val="45"/>
        </w:rPr>
        <w:t> </w:t>
      </w:r>
      <w:r>
        <w:rPr/>
        <w:t>‘multiplicative’, and it is assumed that the whole is greater than the sum of its parts. In this scenario, an organisation that adopted a majority of the practices would be no better off than one that adopted none of them because the chain tying together the different elements of</w:t>
      </w:r>
      <w:r>
        <w:rPr>
          <w:spacing w:val="45"/>
        </w:rPr>
        <w:t> </w:t>
      </w:r>
      <w:r>
        <w:rPr/>
        <w:t>HRM would be</w:t>
      </w:r>
      <w:r>
        <w:rPr>
          <w:spacing w:val="11"/>
        </w:rPr>
        <w:t> </w:t>
      </w:r>
      <w:r>
        <w:rPr/>
        <w:t>broken.</w:t>
      </w:r>
    </w:p>
    <w:p>
      <w:pPr>
        <w:pStyle w:val="BodyText"/>
        <w:spacing w:before="12"/>
        <w:rPr>
          <w:sz w:val="19"/>
        </w:rPr>
      </w:pPr>
    </w:p>
    <w:p>
      <w:pPr>
        <w:pStyle w:val="BodyText"/>
        <w:ind w:left="460" w:right="192"/>
        <w:jc w:val="both"/>
      </w:pPr>
      <w:r>
        <w:rPr/>
        <w:t>By contrast, bundles are ‘additive’. Generally speaking the more practices that are in place </w:t>
      </w:r>
      <w:r>
        <w:rPr>
          <w:spacing w:val="45"/>
        </w:rPr>
        <w:t> </w:t>
      </w:r>
      <w:r>
        <w:rPr/>
        <w:t>the better, so long as some distinctive core exists. In other words, it may be possible to  </w:t>
      </w:r>
      <w:r>
        <w:rPr>
          <w:spacing w:val="18"/>
        </w:rPr>
        <w:t> </w:t>
      </w:r>
      <w:r>
        <w:rPr/>
        <w:t>adopt</w:t>
      </w:r>
    </w:p>
    <w:p>
      <w:pPr>
        <w:spacing w:after="0"/>
        <w:jc w:val="both"/>
        <w:sectPr>
          <w:headerReference w:type="even" r:id="rId13"/>
          <w:headerReference w:type="default" r:id="rId14"/>
          <w:footerReference w:type="even" r:id="rId15"/>
          <w:footerReference w:type="default" r:id="rId16"/>
          <w:pgSz w:w="10040" w:h="13950"/>
          <w:pgMar w:header="455" w:footer="511" w:top="640" w:bottom="700" w:left="1120" w:right="1400"/>
          <w:pgNumType w:start="82"/>
        </w:sectPr>
      </w:pPr>
    </w:p>
    <w:p>
      <w:pPr>
        <w:pStyle w:val="BodyText"/>
      </w:pPr>
    </w:p>
    <w:p>
      <w:pPr>
        <w:pStyle w:val="BodyText"/>
        <w:rPr>
          <w:sz w:val="16"/>
        </w:rPr>
      </w:pPr>
    </w:p>
    <w:p>
      <w:pPr>
        <w:pStyle w:val="BodyText"/>
        <w:ind w:left="180" w:right="452"/>
        <w:jc w:val="both"/>
      </w:pPr>
      <w:r>
        <w:rPr/>
        <w:t>a large number of high commitment HR practices and ignore others, but still gain from the interactive effects of those that are in place. Questions then arise as to how many practices  are needed to make a difference, from what areas of HRM these are to be drawn and </w:t>
      </w:r>
      <w:r>
        <w:rPr>
          <w:spacing w:val="45"/>
        </w:rPr>
        <w:t> </w:t>
      </w:r>
      <w:r>
        <w:rPr/>
        <w:t>whether certain practices are fundamental to make the synergies work. As we see in the section on HRM and performance later in this chapter, much of Guest </w:t>
      </w:r>
      <w:r>
        <w:rPr>
          <w:rFonts w:ascii="Arial Narrow Italic" w:hAnsi="Arial Narrow Italic"/>
          <w:i/>
        </w:rPr>
        <w:t>et al</w:t>
      </w:r>
      <w:r>
        <w:rPr/>
        <w:t>’s recent work has differentiated between organisations on the basis of how many HR practices they use. Their analysis of the WERS data led them to conclude that ‘despite trying a variety of approaches and combinations, we could not ﬁnd any coherent pattern of bundles of practices in the </w:t>
      </w:r>
      <w:r>
        <w:rPr>
          <w:spacing w:val="45"/>
        </w:rPr>
        <w:t> </w:t>
      </w:r>
      <w:r>
        <w:rPr/>
        <w:t>private or the public sectors. The only combination that made any sense  was  a straightforward count of all the practices’ (Guest </w:t>
      </w:r>
      <w:r>
        <w:rPr>
          <w:rFonts w:ascii="Arial Narrow Italic" w:hAnsi="Arial Narrow Italic"/>
          <w:i/>
        </w:rPr>
        <w:t>et al </w:t>
      </w:r>
      <w:r>
        <w:rPr/>
        <w:t>2000a, p15). Provided a certain  minimum number of practices are in place, it is likely (though not automatic) that high commitment HRM will be found in a range of different areas of practice – such as selection, training, EI and</w:t>
      </w:r>
      <w:r>
        <w:rPr>
          <w:spacing w:val="11"/>
        </w:rPr>
        <w:t> </w:t>
      </w:r>
      <w:r>
        <w:rPr/>
        <w:t>harmonisation.</w:t>
      </w:r>
    </w:p>
    <w:p>
      <w:pPr>
        <w:pStyle w:val="BodyText"/>
        <w:spacing w:before="12"/>
        <w:rPr>
          <w:sz w:val="19"/>
        </w:rPr>
      </w:pPr>
    </w:p>
    <w:p>
      <w:pPr>
        <w:pStyle w:val="BodyText"/>
        <w:ind w:left="180" w:right="452"/>
        <w:jc w:val="both"/>
      </w:pPr>
      <w:r>
        <w:rPr/>
        <w:t>It is assumed that contradictions between ‘best practice’ in one area and ‘worst practice’ in another will undermine the package as a whole. Workers, it is argued, soon notice differences between employment practices, and are quick to spot inconsistencies between policy statements and workplace practice. There have certainly been many occasions when a high- proﬁle cultural change programme, for example, which majors on learning and development  as a key principle, has been undermined by the announcement of massive redundancies. Similarly, it has not been unknown for an organisation to introduce a new set of EI policies without ﬁrst consulting employees about its shape. Inconsistencies between different HR practices are likely to be even more apparent in situations where several employers operate   at the same workplace or clients have a direct or indirect inﬂuence over the work of supplier organisations, either through short-term secondments of staff or through employers exercising joint responsibility for the completion of work tasks (Marchington </w:t>
      </w:r>
      <w:r>
        <w:rPr>
          <w:rFonts w:ascii="Arial Narrow Italic" w:hAnsi="Arial Narrow Italic"/>
          <w:i/>
        </w:rPr>
        <w:t>et al</w:t>
      </w:r>
      <w:r>
        <w:rPr>
          <w:rFonts w:ascii="Arial Narrow Italic" w:hAnsi="Arial Narrow Italic"/>
          <w:i/>
          <w:spacing w:val="43"/>
        </w:rPr>
        <w:t> </w:t>
      </w:r>
      <w:r>
        <w:rPr/>
        <w:t>2004c).</w:t>
      </w:r>
    </w:p>
    <w:p>
      <w:pPr>
        <w:pStyle w:val="BodyText"/>
        <w:spacing w:before="12"/>
        <w:rPr>
          <w:sz w:val="19"/>
        </w:rPr>
      </w:pPr>
    </w:p>
    <w:p>
      <w:pPr>
        <w:pStyle w:val="BodyText"/>
        <w:ind w:left="180" w:right="451"/>
        <w:jc w:val="both"/>
      </w:pPr>
      <w:r>
        <w:rPr/>
        <w:t>Even in the context of the single employer–employee relationship, Wood and de Menezes (1998, p487) note that most studies indicate a lack of consistency, reporting fragmentation,     a ‘pick and mix’ approach to managing human resources, ad hocism, pragmatism and short­ termism, rather than the deployment of consistent, integrated and long-term packages of</w:t>
      </w:r>
      <w:r>
        <w:rPr>
          <w:spacing w:val="45"/>
        </w:rPr>
        <w:t> </w:t>
      </w:r>
      <w:r>
        <w:rPr/>
        <w:t>HRM. Truss </w:t>
      </w:r>
      <w:r>
        <w:rPr>
          <w:rFonts w:ascii="Arial Narrow Italic" w:hAnsi="Arial Narrow Italic"/>
          <w:i/>
        </w:rPr>
        <w:t>et al </w:t>
      </w:r>
      <w:r>
        <w:rPr/>
        <w:t>(1997, pp66–67) sum this up by stating that their research ‘found little evidence of any deliberate or realised coherence between HR activities. For instance, one  </w:t>
      </w:r>
      <w:r>
        <w:rPr>
          <w:spacing w:val="45"/>
        </w:rPr>
        <w:t> </w:t>
      </w:r>
      <w:r>
        <w:rPr/>
        <w:t>HR Ofﬁcer commented that the ﬁrm could be recruiting someone in one department and laying-off someone with a similar proﬁle in another.’ Moreover, they saw no evidence of any coherence among HR activities in different parts of the  organisation,  and  whilst  the</w:t>
      </w:r>
      <w:r>
        <w:rPr>
          <w:spacing w:val="45"/>
        </w:rPr>
        <w:t> </w:t>
      </w:r>
      <w:r>
        <w:rPr/>
        <w:t>language of the soft HRM model was in evidence so too was that of the hard model – emphasising ﬁnancial control. More seriously, while Caldwell (2003) shows from a survey of about 100 major organisations that signiﬁcant progress has been made in the adoption of   </w:t>
      </w:r>
      <w:r>
        <w:rPr>
          <w:spacing w:val="45"/>
        </w:rPr>
        <w:t> </w:t>
      </w:r>
      <w:r>
        <w:rPr/>
        <w:t>HR practices, unfortunately most has been made in implementing those practices that are regarded as least important, and least progress with those that are most important. His respondents recognised the value of bundling but found the linkages extremely difﬁcult to achieve for a number of reasons: it was felt there was no universal or magic formula; the  </w:t>
      </w:r>
      <w:r>
        <w:rPr>
          <w:spacing w:val="45"/>
        </w:rPr>
        <w:t> </w:t>
      </w:r>
      <w:r>
        <w:rPr/>
        <w:t>size, complexity and multidivisional structure of their organisation impeded co-ordination; devolution to line managers tended to increase fragmentation; and the difﬁculty the HR function experienced in breaking out of its operational requirement to provide administrative efﬁciency rather than strategic vision (p203). Perhaps the lack of any sizeable take-up of </w:t>
      </w:r>
      <w:r>
        <w:rPr>
          <w:spacing w:val="45"/>
        </w:rPr>
        <w:t> </w:t>
      </w:r>
      <w:r>
        <w:rPr/>
        <w:t>these HR practices should not surprise us. As Pfeffer suggests, even smart organisations</w:t>
      </w:r>
      <w:r>
        <w:rPr>
          <w:spacing w:val="45"/>
        </w:rPr>
        <w:t> </w:t>
      </w:r>
      <w:r>
        <w:rPr/>
        <w:t>often do ‘dumb things’, failing to learn from other examples or being driven by criteria which  are ultimately wide of the </w:t>
      </w:r>
      <w:r>
        <w:rPr>
          <w:spacing w:val="14"/>
        </w:rPr>
        <w:t> </w:t>
      </w:r>
      <w:r>
        <w:rPr/>
        <w:t>mark.</w:t>
      </w:r>
    </w:p>
    <w:p>
      <w:pPr>
        <w:spacing w:after="0"/>
        <w:jc w:val="both"/>
        <w:sectPr>
          <w:pgSz w:w="10040" w:h="13950"/>
          <w:pgMar w:header="455" w:footer="527" w:top="640" w:bottom="720" w:left="1400" w:right="1140"/>
        </w:sectPr>
      </w:pPr>
    </w:p>
    <w:p>
      <w:pPr>
        <w:pStyle w:val="BodyText"/>
      </w:pPr>
    </w:p>
    <w:p>
      <w:pPr>
        <w:pStyle w:val="BodyText"/>
        <w:spacing w:before="7"/>
        <w:rPr>
          <w:sz w:val="22"/>
        </w:rPr>
      </w:pPr>
    </w:p>
    <w:p>
      <w:pPr>
        <w:pStyle w:val="BodyText"/>
        <w:ind w:left="460"/>
      </w:pPr>
      <w:r>
        <w:rPr/>
        <w:pict>
          <v:group style="width:343pt;height:53.15pt;mso-position-horizontal-relative:char;mso-position-vertical-relative:line" coordorigin="0,0" coordsize="6860,1063">
            <v:rect style="position:absolute;left:90;top:110;width:6765;height:948" filled="true" fillcolor="#5e792d" stroked="false">
              <v:fill type="solid"/>
            </v:rect>
            <v:rect style="position:absolute;left:90;top:110;width:6765;height:948" filled="false" stroked="true" strokeweight=".5pt" strokecolor="#5e792d"/>
            <v:shape style="position:absolute;left:0;top:0;width:6775;height:978" type="#_x0000_t202" filled="true" fillcolor="#eff2ea" stroked="false">
              <v:textbox inset="0,0,0,0">
                <w:txbxContent>
                  <w:p>
                    <w:pPr>
                      <w:spacing w:before="107"/>
                      <w:ind w:left="159" w:right="158" w:firstLine="0"/>
                      <w:jc w:val="both"/>
                      <w:rPr>
                        <w:sz w:val="20"/>
                      </w:rPr>
                    </w:pPr>
                    <w:r>
                      <w:rPr>
                        <w:sz w:val="20"/>
                      </w:rPr>
                      <w:t>Does it matter if there are contradictions between different components of the HR bundle? After all, the employment relationship is characterised by conﬂict and co­ operation, so why should these additional tensions cause any problems?</w:t>
                    </w:r>
                  </w:p>
                </w:txbxContent>
              </v:textbox>
              <v:fill type="solid"/>
              <w10:wrap type="none"/>
            </v:shape>
          </v:group>
        </w:pict>
      </w:r>
      <w:r>
        <w:rPr/>
      </w:r>
    </w:p>
    <w:p>
      <w:pPr>
        <w:pStyle w:val="BodyText"/>
        <w:spacing w:before="102"/>
        <w:ind w:left="460" w:right="192"/>
        <w:jc w:val="both"/>
      </w:pPr>
      <w:r>
        <w:rPr/>
        <w:t>Although the principle of bundling together HR practices may appear sound, what happens if the achievement of one of these practices contradicts with or undermines (some of) the others? For example, employers may make employment security conditional on  an</w:t>
      </w:r>
      <w:r>
        <w:rPr>
          <w:spacing w:val="45"/>
        </w:rPr>
        <w:t> </w:t>
      </w:r>
      <w:r>
        <w:rPr/>
        <w:t>agreement that pay rates can be reduced in order to maintain the guarantee through lean times. Selective hiring on the basis of future potential rather than immediate contribution may require existing staff to work harder and longer in order to induct new staff. This may be acceptable at the margins, but if the proﬁt-sharing or performance-related component of rewards is a signiﬁcant proportion of overall income, then it could be problematic to existing staff – as well as to customers who may have to wait longer to be served. Equally, if staff are routinely expected to work long hours, their own quality of life can be adversely affected and their own safety and that of others may be affected. Presumably, there is a point at which the value of employment security is outweighed by the need for a certain minimum salary or work–life</w:t>
      </w:r>
      <w:r>
        <w:rPr>
          <w:spacing w:val="4"/>
        </w:rPr>
        <w:t> </w:t>
      </w:r>
      <w:r>
        <w:rPr/>
        <w:t>balance.</w:t>
      </w:r>
    </w:p>
    <w:p>
      <w:pPr>
        <w:pStyle w:val="BodyText"/>
        <w:spacing w:before="12"/>
        <w:rPr>
          <w:sz w:val="19"/>
        </w:rPr>
      </w:pPr>
    </w:p>
    <w:p>
      <w:pPr>
        <w:pStyle w:val="BodyText"/>
        <w:ind w:left="460" w:right="192"/>
        <w:jc w:val="both"/>
      </w:pPr>
      <w:r>
        <w:rPr/>
        <w:t>One of the many advantages of self-managed teams, according to Pfeffer (1998, p77), is that they can remove a supervisory level from the hierarchy: ‘eliminating layers of management by instituting self-managing teams saves money. Self-managed teams can also take on tasks previously done by specialised staff, thus eliminating excess personnel.’ It is not self-evident that the personnel who are ‘eliminated’ are actually found other jobs, so the implementation of self-managed teams – even if it does empower certain groups of workers – may result in</w:t>
      </w:r>
      <w:r>
        <w:rPr>
          <w:spacing w:val="45"/>
        </w:rPr>
        <w:t> </w:t>
      </w:r>
      <w:r>
        <w:rPr/>
        <w:t>others losing their employment security. There are further potential contradictions between </w:t>
      </w:r>
      <w:r>
        <w:rPr>
          <w:spacing w:val="45"/>
        </w:rPr>
        <w:t> </w:t>
      </w:r>
      <w:r>
        <w:rPr/>
        <w:t>the different practices. For example, teamworking may be undermined by the use of individual performance-related pay or by the HR practices of other ﬁrms in a network that cut across internal organisational coherence (Scarbrough and Kinnie 2003). Similarly, Cordery (2003) quotes a number of studies in which teamworking took place against a background of increased numbers of lay-offs and reduced levels of </w:t>
      </w:r>
      <w:r>
        <w:rPr>
          <w:spacing w:val="-3"/>
        </w:rPr>
        <w:t>pay. </w:t>
      </w:r>
      <w:r>
        <w:rPr/>
        <w:t>It is also hard to square the notion    of an organisation without major status differentials with one where senior managers are able to collect substantial bonuses because their pay is linked with company performance. In other words, while there is strong support for bundling – in one form or another – it is also clear contradictions and tensions may arise between the different HR practices in the bundle. Indeed, Boxall and Purcell (2003, p57) do not see this as surprising as any notion of organisational coherence inevitably ‘oversimpliﬁes the paradoxical elements involved in managing</w:t>
      </w:r>
      <w:r>
        <w:rPr>
          <w:spacing w:val="4"/>
        </w:rPr>
        <w:t> </w:t>
      </w:r>
      <w:r>
        <w:rPr/>
        <w:t>people’.</w:t>
      </w:r>
    </w:p>
    <w:p>
      <w:pPr>
        <w:pStyle w:val="BodyText"/>
        <w:spacing w:before="9"/>
        <w:rPr>
          <w:sz w:val="23"/>
        </w:rPr>
      </w:pPr>
    </w:p>
    <w:p>
      <w:pPr>
        <w:pStyle w:val="Heading1"/>
        <w:ind w:left="460"/>
      </w:pPr>
      <w:r>
        <w:rPr>
          <w:color w:val="5E792D"/>
          <w:spacing w:val="14"/>
        </w:rPr>
        <w:t>HRM AND</w:t>
      </w:r>
      <w:r>
        <w:rPr>
          <w:color w:val="5E792D"/>
          <w:spacing w:val="77"/>
        </w:rPr>
        <w:t> </w:t>
      </w:r>
      <w:r>
        <w:rPr>
          <w:color w:val="5E792D"/>
          <w:spacing w:val="19"/>
        </w:rPr>
        <w:t>PERFORMANCE</w:t>
      </w:r>
      <w:r>
        <w:rPr>
          <w:color w:val="5E792D"/>
          <w:spacing w:val="-33"/>
        </w:rPr>
        <w:t> </w:t>
      </w:r>
    </w:p>
    <w:p>
      <w:pPr>
        <w:pStyle w:val="BodyText"/>
        <w:spacing w:before="76"/>
        <w:ind w:left="460" w:right="192"/>
        <w:jc w:val="both"/>
      </w:pPr>
      <w:r>
        <w:rPr/>
        <w:t>Analysing the links between high commitment HRM and performance is now a major area of interest for research and policy. Originally, this stemmed from work in the USA, but there </w:t>
      </w:r>
      <w:r>
        <w:rPr>
          <w:spacing w:val="45"/>
        </w:rPr>
        <w:t> </w:t>
      </w:r>
      <w:r>
        <w:rPr/>
        <w:t>have now been several studies in the UK, most notably by David Guest and his colleagues. Before reviewing some of this work in more detail, it is worth reminding readers of some of  </w:t>
      </w:r>
      <w:r>
        <w:rPr>
          <w:spacing w:val="45"/>
        </w:rPr>
        <w:t> </w:t>
      </w:r>
      <w:r>
        <w:rPr/>
        <w:t>the earlier studies that claimed to establish a link between HRM and performance. Huselid (1995) drew his conclusions from a survey of nearly 1000 US organisations. He divided high commitment work practices into two broad groupings: employee skills and organisational structures, and employee motivation. The former included items concerned with  the</w:t>
      </w:r>
      <w:r>
        <w:rPr>
          <w:spacing w:val="45"/>
        </w:rPr>
        <w:t> </w:t>
      </w:r>
      <w:r>
        <w:rPr/>
        <w:t>proportion</w:t>
      </w:r>
      <w:r>
        <w:rPr>
          <w:spacing w:val="11"/>
        </w:rPr>
        <w:t> </w:t>
      </w:r>
      <w:r>
        <w:rPr/>
        <w:t>of</w:t>
      </w:r>
      <w:r>
        <w:rPr>
          <w:spacing w:val="11"/>
        </w:rPr>
        <w:t> </w:t>
      </w:r>
      <w:r>
        <w:rPr/>
        <w:t>workers</w:t>
      </w:r>
      <w:r>
        <w:rPr>
          <w:spacing w:val="11"/>
        </w:rPr>
        <w:t> </w:t>
      </w:r>
      <w:r>
        <w:rPr/>
        <w:t>taking</w:t>
      </w:r>
      <w:r>
        <w:rPr>
          <w:spacing w:val="11"/>
        </w:rPr>
        <w:t> </w:t>
      </w:r>
      <w:r>
        <w:rPr/>
        <w:t>part</w:t>
      </w:r>
      <w:r>
        <w:rPr>
          <w:spacing w:val="11"/>
        </w:rPr>
        <w:t> </w:t>
      </w:r>
      <w:r>
        <w:rPr/>
        <w:t>in</w:t>
      </w:r>
      <w:r>
        <w:rPr>
          <w:spacing w:val="11"/>
        </w:rPr>
        <w:t> </w:t>
      </w:r>
      <w:r>
        <w:rPr/>
        <w:t>attitude</w:t>
      </w:r>
      <w:r>
        <w:rPr>
          <w:spacing w:val="11"/>
        </w:rPr>
        <w:t> </w:t>
      </w:r>
      <w:r>
        <w:rPr/>
        <w:t>surveys,</w:t>
      </w:r>
      <w:r>
        <w:rPr>
          <w:spacing w:val="11"/>
        </w:rPr>
        <w:t> </w:t>
      </w:r>
      <w:r>
        <w:rPr/>
        <w:t>the</w:t>
      </w:r>
      <w:r>
        <w:rPr>
          <w:spacing w:val="11"/>
        </w:rPr>
        <w:t> </w:t>
      </w:r>
      <w:r>
        <w:rPr/>
        <w:t>number</w:t>
      </w:r>
      <w:r>
        <w:rPr>
          <w:spacing w:val="11"/>
        </w:rPr>
        <w:t> </w:t>
      </w:r>
      <w:r>
        <w:rPr/>
        <w:t>of</w:t>
      </w:r>
      <w:r>
        <w:rPr>
          <w:spacing w:val="11"/>
        </w:rPr>
        <w:t> </w:t>
      </w:r>
      <w:r>
        <w:rPr/>
        <w:t>hours</w:t>
      </w:r>
      <w:r>
        <w:rPr>
          <w:spacing w:val="11"/>
        </w:rPr>
        <w:t> </w:t>
      </w:r>
      <w:r>
        <w:rPr/>
        <w:t>training</w:t>
      </w:r>
      <w:r>
        <w:rPr>
          <w:spacing w:val="11"/>
        </w:rPr>
        <w:t> </w:t>
      </w:r>
      <w:r>
        <w:rPr/>
        <w:t>received</w:t>
      </w:r>
      <w:r>
        <w:rPr>
          <w:spacing w:val="11"/>
        </w:rPr>
        <w:t> </w:t>
      </w:r>
      <w:r>
        <w:rPr/>
        <w:t>in</w:t>
      </w:r>
    </w:p>
    <w:p>
      <w:pPr>
        <w:spacing w:after="0"/>
        <w:jc w:val="both"/>
        <w:sectPr>
          <w:pgSz w:w="10040" w:h="13950"/>
          <w:pgMar w:header="455" w:footer="511" w:top="640" w:bottom="720" w:left="1120" w:right="1400"/>
        </w:sectPr>
      </w:pPr>
    </w:p>
    <w:p>
      <w:pPr>
        <w:pStyle w:val="BodyText"/>
      </w:pPr>
    </w:p>
    <w:p>
      <w:pPr>
        <w:pStyle w:val="BodyText"/>
        <w:rPr>
          <w:sz w:val="16"/>
        </w:rPr>
      </w:pPr>
    </w:p>
    <w:p>
      <w:pPr>
        <w:pStyle w:val="BodyText"/>
        <w:ind w:left="180" w:right="452"/>
        <w:jc w:val="both"/>
      </w:pPr>
      <w:r>
        <w:rPr/>
        <w:t>the previous year and the proportion of workers required to take an employment test as part   of the selection process. The latter included items such as the proportion of the workforce </w:t>
      </w:r>
      <w:r>
        <w:rPr>
          <w:spacing w:val="45"/>
        </w:rPr>
        <w:t> </w:t>
      </w:r>
      <w:r>
        <w:rPr/>
        <w:t>with performance appraisals linked to compensation and the number of applicants for those posts where recruitment took place most frequently. Output measures included labour turnover, productivity and corporate ﬁnancial performance. Huselid (p667) concludes that ‘the magnitude of the returns for investments in [what he calls] high performance work practices is substantial. A one per cent standard deviation increase in such practices is associated with  </w:t>
      </w:r>
      <w:r>
        <w:rPr>
          <w:spacing w:val="30"/>
        </w:rPr>
        <w:t> </w:t>
      </w:r>
      <w:r>
        <w:rPr/>
        <w:t>a</w:t>
      </w:r>
    </w:p>
    <w:p>
      <w:pPr>
        <w:pStyle w:val="BodyText"/>
        <w:ind w:left="180" w:right="452"/>
        <w:jc w:val="both"/>
      </w:pPr>
      <w:r>
        <w:rPr/>
        <w:t>7.05 per cent decrease in labour turnover and, on a per employee basis, 27,044 US dollars more in sales and 18,641 US dollars and 3,814 US dollars more in market value and proﬁts respectively.’ Appelbaum and her colleagues (2000) also argued that high performance work systems paid off. Their research was conducted in a number of different industries (steel, apparel and medical electronic instrument), and in each they were ‘large enough to be important to the companies in our study but not so large as to strain credulity’ (p19). Importantly, they also found (p20) that high performance work practices increased workers’ trust, job satisfaction and commitment, and notably no evidence of ‘speed up’ (work intensiﬁcation) and higher levels of stress. A key factor, as we see later when we look at the work of Purcell </w:t>
      </w:r>
      <w:r>
        <w:rPr>
          <w:rFonts w:ascii="Arial Narrow Italic" w:hAnsi="Arial Narrow Italic"/>
          <w:i/>
        </w:rPr>
        <w:t>et al </w:t>
      </w:r>
      <w:r>
        <w:rPr/>
        <w:t>(2003), is that having the opportunity to participate enhances workers’ discretion and effort.</w:t>
      </w:r>
    </w:p>
    <w:p>
      <w:pPr>
        <w:pStyle w:val="BodyText"/>
        <w:spacing w:before="12"/>
        <w:rPr>
          <w:sz w:val="19"/>
        </w:rPr>
      </w:pPr>
    </w:p>
    <w:p>
      <w:pPr>
        <w:pStyle w:val="BodyText"/>
        <w:ind w:left="180" w:right="452"/>
        <w:jc w:val="both"/>
      </w:pPr>
      <w:r>
        <w:rPr/>
        <w:t>The results from the survey by Patterson </w:t>
      </w:r>
      <w:r>
        <w:rPr>
          <w:rFonts w:ascii="Arial Narrow Italic" w:hAnsi="Arial Narrow Italic"/>
          <w:i/>
        </w:rPr>
        <w:t>et al </w:t>
      </w:r>
      <w:r>
        <w:rPr/>
        <w:t>(1997) published by the Institute of Personnel and Development (now CIPD), were quoted widely by the media and put forward as evidence for the importance of HRM as a driver of, and contributor to, improved performance. The research was based on longitudinal studies of 67 UK manufacturing that were predominantly single site and single product operations. It has been claimed – on the basis of this research</w:t>
      </w:r>
    </w:p>
    <w:p>
      <w:pPr>
        <w:pStyle w:val="ListParagraph"/>
        <w:numPr>
          <w:ilvl w:val="0"/>
          <w:numId w:val="1"/>
        </w:numPr>
        <w:tabs>
          <w:tab w:pos="346" w:val="left" w:leader="none"/>
        </w:tabs>
        <w:spacing w:line="240" w:lineRule="auto" w:before="0" w:after="0"/>
        <w:ind w:left="180" w:right="452" w:firstLine="0"/>
        <w:jc w:val="both"/>
        <w:rPr>
          <w:sz w:val="20"/>
        </w:rPr>
      </w:pPr>
      <w:r>
        <w:rPr>
          <w:sz w:val="20"/>
        </w:rPr>
        <w:t>that HRM had a greater impact on productivity and proﬁts than a range of other factors including strategy, R&amp;D and quality. For example, it was argued that 17 per cent of the variation in company proﬁtability could be explained by HRM practices and job design, as opposed to just 8 per cent from research and development, 2 per cent from strategy and 1  </w:t>
      </w:r>
      <w:r>
        <w:rPr>
          <w:spacing w:val="45"/>
          <w:sz w:val="20"/>
        </w:rPr>
        <w:t> </w:t>
      </w:r>
      <w:r>
        <w:rPr>
          <w:sz w:val="20"/>
        </w:rPr>
        <w:t>per cent from both quality and technology. Similar results were indicated for</w:t>
      </w:r>
      <w:r>
        <w:rPr>
          <w:spacing w:val="23"/>
          <w:sz w:val="20"/>
        </w:rPr>
        <w:t> </w:t>
      </w:r>
      <w:r>
        <w:rPr>
          <w:sz w:val="20"/>
        </w:rPr>
        <w:t>productivity.</w:t>
      </w:r>
    </w:p>
    <w:p>
      <w:pPr>
        <w:pStyle w:val="BodyText"/>
        <w:spacing w:before="12"/>
        <w:rPr>
          <w:sz w:val="19"/>
        </w:rPr>
      </w:pPr>
    </w:p>
    <w:p>
      <w:pPr>
        <w:pStyle w:val="BodyText"/>
        <w:ind w:left="180" w:right="452"/>
        <w:jc w:val="both"/>
      </w:pPr>
      <w:r>
        <w:rPr/>
        <w:t>Below we examine in more detail four of the studies undertaken in the UK – by Guest </w:t>
      </w:r>
      <w:r>
        <w:rPr>
          <w:rFonts w:ascii="Arial Narrow Italic" w:hAnsi="Arial Narrow Italic"/>
          <w:i/>
        </w:rPr>
        <w:t>et al </w:t>
      </w:r>
      <w:r>
        <w:rPr/>
        <w:t>(2000a, 2000b), West </w:t>
      </w:r>
      <w:r>
        <w:rPr>
          <w:rFonts w:ascii="Arial Narrow Italic" w:hAnsi="Arial Narrow Italic"/>
          <w:i/>
        </w:rPr>
        <w:t>et al </w:t>
      </w:r>
      <w:r>
        <w:rPr/>
        <w:t>(2002), Guest </w:t>
      </w:r>
      <w:r>
        <w:rPr>
          <w:rFonts w:ascii="Arial Narrow Italic" w:hAnsi="Arial Narrow Italic"/>
          <w:i/>
        </w:rPr>
        <w:t>et al </w:t>
      </w:r>
      <w:r>
        <w:rPr/>
        <w:t>(2003) and Purcell </w:t>
      </w:r>
      <w:r>
        <w:rPr>
          <w:rFonts w:ascii="Arial Narrow Italic" w:hAnsi="Arial Narrow Italic"/>
          <w:i/>
        </w:rPr>
        <w:t>et al </w:t>
      </w:r>
      <w:r>
        <w:rPr/>
        <w:t>(2003) – and we draw on some in-depth reviews of the HRM–performance link. Some of the best-known studies are outlined in Table 9 (see pages 86–7).</w:t>
      </w:r>
    </w:p>
    <w:p>
      <w:pPr>
        <w:pStyle w:val="BodyText"/>
        <w:spacing w:before="12"/>
        <w:rPr>
          <w:sz w:val="19"/>
        </w:rPr>
      </w:pPr>
    </w:p>
    <w:p>
      <w:pPr>
        <w:pStyle w:val="BodyText"/>
        <w:ind w:left="180" w:right="452"/>
        <w:jc w:val="both"/>
      </w:pPr>
      <w:r>
        <w:rPr/>
        <w:t>On the basis of these studies some forceful claims have been made about the impact of high commitment HRM on performance. </w:t>
      </w:r>
      <w:r>
        <w:rPr>
          <w:spacing w:val="-3"/>
        </w:rPr>
        <w:t>Two </w:t>
      </w:r>
      <w:r>
        <w:rPr/>
        <w:t>CIPD reports (2001a, 2001b) argued that the economic and business case for good people management has now been proved. One notes (2001a, p4) that ‘more than 30 studies carried out in the UK and the US since the early 1990s leave no room to doubt that there is a correlation between people management and business performance, that the relationship is positive, and that it is cumulative’. Since, it is argued, senior personnel practitioners now agree that the case for HRM impacting on organisational performance is not in dispute, the key question is how to make it happen (Caulkin 2001).</w:t>
      </w:r>
      <w:r>
        <w:rPr>
          <w:spacing w:val="45"/>
        </w:rPr>
        <w:t> </w:t>
      </w:r>
      <w:r>
        <w:rPr/>
        <w:t>From a US perspective, Pfeffer (1998, p306) agrees that best practice HRM has the potential to have a positive impact on all organisations, irrespective of sector, size or country. Organisations only need leaders possessing both insight and courage to generate the large economic returns that are available from high commitment HRM. Many of the studies have focused on manufacturing but Batt and Doellgast (2003, p306) also suggest that ‘a growing number of studies show that collaborative forms of work organisation predict better performance in the service</w:t>
      </w:r>
      <w:r>
        <w:rPr>
          <w:spacing w:val="21"/>
        </w:rPr>
        <w:t> </w:t>
      </w:r>
      <w:r>
        <w:rPr/>
        <w:t>sector’.</w:t>
      </w:r>
    </w:p>
    <w:p>
      <w:pPr>
        <w:spacing w:after="0"/>
        <w:jc w:val="both"/>
        <w:sectPr>
          <w:pgSz w:w="10040" w:h="13950"/>
          <w:pgMar w:header="455" w:footer="527" w:top="640" w:bottom="720" w:left="1400" w:right="1140"/>
        </w:sectPr>
      </w:pPr>
    </w:p>
    <w:p>
      <w:pPr>
        <w:pStyle w:val="BodyText"/>
      </w:pPr>
    </w:p>
    <w:p>
      <w:pPr>
        <w:pStyle w:val="BodyText"/>
        <w:spacing w:before="6"/>
        <w:rPr>
          <w:sz w:val="16"/>
        </w:rPr>
      </w:pPr>
    </w:p>
    <w:p>
      <w:pPr>
        <w:spacing w:before="0"/>
        <w:ind w:left="460" w:right="0" w:firstLine="0"/>
        <w:jc w:val="left"/>
        <w:rPr>
          <w:rFonts w:ascii="Arial Narrow Italic"/>
          <w:i/>
          <w:sz w:val="18"/>
        </w:rPr>
      </w:pPr>
      <w:r>
        <w:rPr>
          <w:rFonts w:ascii="Arial Narrow Bold"/>
          <w:b/>
          <w:color w:val="5E792D"/>
          <w:sz w:val="18"/>
        </w:rPr>
        <w:t>Table 9    </w:t>
      </w:r>
      <w:r>
        <w:rPr>
          <w:rFonts w:ascii="Arial Narrow Italic"/>
          <w:i/>
          <w:sz w:val="18"/>
        </w:rPr>
        <w:t>Some of the major studies examining links between HRM and  performance</w:t>
      </w:r>
    </w:p>
    <w:p>
      <w:pPr>
        <w:pStyle w:val="BodyText"/>
        <w:spacing w:before="3"/>
        <w:rPr>
          <w:rFonts w:ascii="Arial Narrow Italic"/>
          <w:i/>
          <w:sz w:val="9"/>
        </w:rPr>
      </w:pPr>
    </w:p>
    <w:tbl>
      <w:tblPr>
        <w:tblW w:w="0" w:type="auto"/>
        <w:jc w:val="left"/>
        <w:tblInd w:w="460" w:type="dxa"/>
        <w:tblBorders>
          <w:top w:val="single" w:sz="4" w:space="0" w:color="5E792D"/>
          <w:left w:val="single" w:sz="4" w:space="0" w:color="5E792D"/>
          <w:bottom w:val="single" w:sz="4" w:space="0" w:color="5E792D"/>
          <w:right w:val="single" w:sz="4" w:space="0" w:color="5E792D"/>
          <w:insideH w:val="single" w:sz="4" w:space="0" w:color="5E792D"/>
          <w:insideV w:val="single" w:sz="4" w:space="0" w:color="5E792D"/>
        </w:tblBorders>
        <w:tblLayout w:type="fixed"/>
        <w:tblCellMar>
          <w:top w:w="0" w:type="dxa"/>
          <w:left w:w="0" w:type="dxa"/>
          <w:bottom w:w="0" w:type="dxa"/>
          <w:right w:w="0" w:type="dxa"/>
        </w:tblCellMar>
        <w:tblLook w:val="01E0"/>
      </w:tblPr>
      <w:tblGrid>
        <w:gridCol w:w="2283"/>
        <w:gridCol w:w="2283"/>
        <w:gridCol w:w="2283"/>
      </w:tblGrid>
      <w:tr>
        <w:trPr>
          <w:trHeight w:val="471" w:hRule="exact"/>
        </w:trPr>
        <w:tc>
          <w:tcPr>
            <w:tcW w:w="2283" w:type="dxa"/>
            <w:shd w:val="clear" w:color="auto" w:fill="EFF2EA"/>
          </w:tcPr>
          <w:p>
            <w:pPr>
              <w:pStyle w:val="TableParagraph"/>
              <w:ind w:left="119" w:right="219"/>
              <w:rPr>
                <w:rFonts w:ascii="Arial Narrow Bold"/>
                <w:b/>
                <w:sz w:val="20"/>
              </w:rPr>
            </w:pPr>
            <w:r>
              <w:rPr>
                <w:rFonts w:ascii="Arial Narrow Bold"/>
                <w:b/>
                <w:sz w:val="20"/>
              </w:rPr>
              <w:t>Empirical studies</w:t>
            </w:r>
          </w:p>
        </w:tc>
        <w:tc>
          <w:tcPr>
            <w:tcW w:w="2283" w:type="dxa"/>
            <w:shd w:val="clear" w:color="auto" w:fill="EFF2EA"/>
          </w:tcPr>
          <w:p>
            <w:pPr>
              <w:pStyle w:val="TableParagraph"/>
              <w:ind w:right="219"/>
              <w:rPr>
                <w:rFonts w:ascii="Arial Narrow Bold"/>
                <w:b/>
                <w:sz w:val="20"/>
              </w:rPr>
            </w:pPr>
            <w:r>
              <w:rPr>
                <w:rFonts w:ascii="Arial Narrow Bold"/>
                <w:b/>
                <w:sz w:val="20"/>
              </w:rPr>
              <w:t>Sample</w:t>
            </w:r>
          </w:p>
        </w:tc>
        <w:tc>
          <w:tcPr>
            <w:tcW w:w="2283" w:type="dxa"/>
            <w:shd w:val="clear" w:color="auto" w:fill="EFF2EA"/>
          </w:tcPr>
          <w:p>
            <w:pPr>
              <w:pStyle w:val="TableParagraph"/>
              <w:ind w:right="219"/>
              <w:rPr>
                <w:rFonts w:ascii="Arial Narrow Bold"/>
                <w:b/>
                <w:sz w:val="20"/>
              </w:rPr>
            </w:pPr>
            <w:r>
              <w:rPr>
                <w:rFonts w:ascii="Arial Narrow Bold"/>
                <w:b/>
                <w:sz w:val="20"/>
              </w:rPr>
              <w:t>Nature of study</w:t>
            </w:r>
          </w:p>
        </w:tc>
      </w:tr>
      <w:tr>
        <w:trPr>
          <w:trHeight w:val="731" w:hRule="exact"/>
        </w:trPr>
        <w:tc>
          <w:tcPr>
            <w:tcW w:w="2283" w:type="dxa"/>
          </w:tcPr>
          <w:p>
            <w:pPr>
              <w:pStyle w:val="TableParagraph"/>
              <w:ind w:left="119" w:right="219"/>
              <w:rPr>
                <w:sz w:val="20"/>
              </w:rPr>
            </w:pPr>
            <w:r>
              <w:rPr>
                <w:sz w:val="20"/>
              </w:rPr>
              <w:t>Arthur (1994)</w:t>
            </w:r>
          </w:p>
        </w:tc>
        <w:tc>
          <w:tcPr>
            <w:tcW w:w="2283" w:type="dxa"/>
          </w:tcPr>
          <w:p>
            <w:pPr>
              <w:pStyle w:val="TableParagraph"/>
              <w:ind w:right="219"/>
              <w:rPr>
                <w:sz w:val="20"/>
              </w:rPr>
            </w:pPr>
            <w:r>
              <w:rPr>
                <w:sz w:val="20"/>
              </w:rPr>
              <w:t>USA: 30 mini-mills in the steel industry</w:t>
            </w:r>
          </w:p>
        </w:tc>
        <w:tc>
          <w:tcPr>
            <w:tcW w:w="2283" w:type="dxa"/>
          </w:tcPr>
          <w:p>
            <w:pPr>
              <w:pStyle w:val="TableParagraph"/>
              <w:ind w:right="219"/>
              <w:rPr>
                <w:sz w:val="20"/>
              </w:rPr>
            </w:pPr>
            <w:r>
              <w:rPr>
                <w:sz w:val="20"/>
              </w:rPr>
              <w:t>Cross-sectional study</w:t>
            </w:r>
          </w:p>
        </w:tc>
      </w:tr>
      <w:tr>
        <w:trPr>
          <w:trHeight w:val="924" w:hRule="exact"/>
        </w:trPr>
        <w:tc>
          <w:tcPr>
            <w:tcW w:w="2283" w:type="dxa"/>
          </w:tcPr>
          <w:p>
            <w:pPr>
              <w:pStyle w:val="TableParagraph"/>
              <w:ind w:left="119" w:right="219"/>
              <w:rPr>
                <w:sz w:val="20"/>
              </w:rPr>
            </w:pPr>
            <w:r>
              <w:rPr>
                <w:sz w:val="20"/>
              </w:rPr>
              <w:t>Huselid (1995)</w:t>
            </w:r>
          </w:p>
        </w:tc>
        <w:tc>
          <w:tcPr>
            <w:tcW w:w="2283" w:type="dxa"/>
          </w:tcPr>
          <w:p>
            <w:pPr>
              <w:pStyle w:val="TableParagraph"/>
              <w:ind w:right="219"/>
              <w:rPr>
                <w:sz w:val="20"/>
              </w:rPr>
            </w:pPr>
            <w:r>
              <w:rPr>
                <w:sz w:val="20"/>
              </w:rPr>
              <w:t>USA: 968 US-owned ﬁrms with more than 100 employees</w:t>
            </w:r>
          </w:p>
        </w:tc>
        <w:tc>
          <w:tcPr>
            <w:tcW w:w="2283" w:type="dxa"/>
          </w:tcPr>
          <w:p>
            <w:pPr>
              <w:pStyle w:val="TableParagraph"/>
              <w:ind w:right="219"/>
              <w:rPr>
                <w:sz w:val="20"/>
              </w:rPr>
            </w:pPr>
            <w:r>
              <w:rPr>
                <w:sz w:val="20"/>
              </w:rPr>
              <w:t>Cross-sectional study</w:t>
            </w:r>
          </w:p>
        </w:tc>
      </w:tr>
      <w:tr>
        <w:trPr>
          <w:trHeight w:val="457" w:hRule="exact"/>
        </w:trPr>
        <w:tc>
          <w:tcPr>
            <w:tcW w:w="2283" w:type="dxa"/>
          </w:tcPr>
          <w:p>
            <w:pPr>
              <w:pStyle w:val="TableParagraph"/>
              <w:ind w:left="119" w:right="219"/>
              <w:rPr>
                <w:sz w:val="20"/>
              </w:rPr>
            </w:pPr>
            <w:r>
              <w:rPr>
                <w:sz w:val="20"/>
              </w:rPr>
              <w:t>MacDufﬁe (1995)</w:t>
            </w:r>
          </w:p>
        </w:tc>
        <w:tc>
          <w:tcPr>
            <w:tcW w:w="2283" w:type="dxa"/>
          </w:tcPr>
          <w:p>
            <w:pPr>
              <w:pStyle w:val="TableParagraph"/>
              <w:ind w:right="146"/>
              <w:rPr>
                <w:sz w:val="20"/>
              </w:rPr>
            </w:pPr>
            <w:r>
              <w:rPr>
                <w:sz w:val="20"/>
              </w:rPr>
              <w:t>USA: 62 automotive plants</w:t>
            </w:r>
          </w:p>
        </w:tc>
        <w:tc>
          <w:tcPr>
            <w:tcW w:w="2283" w:type="dxa"/>
          </w:tcPr>
          <w:p>
            <w:pPr>
              <w:pStyle w:val="TableParagraph"/>
              <w:ind w:right="219"/>
              <w:rPr>
                <w:sz w:val="20"/>
              </w:rPr>
            </w:pPr>
            <w:r>
              <w:rPr>
                <w:sz w:val="20"/>
              </w:rPr>
              <w:t>Cross-sectional study</w:t>
            </w:r>
          </w:p>
        </w:tc>
      </w:tr>
      <w:tr>
        <w:trPr>
          <w:trHeight w:val="446" w:hRule="exact"/>
        </w:trPr>
        <w:tc>
          <w:tcPr>
            <w:tcW w:w="2283" w:type="dxa"/>
          </w:tcPr>
          <w:p>
            <w:pPr>
              <w:pStyle w:val="TableParagraph"/>
              <w:ind w:left="119" w:right="219"/>
              <w:rPr>
                <w:sz w:val="20"/>
              </w:rPr>
            </w:pPr>
            <w:r>
              <w:rPr>
                <w:sz w:val="20"/>
              </w:rPr>
              <w:t>Delery and Doty (1996)</w:t>
            </w:r>
          </w:p>
        </w:tc>
        <w:tc>
          <w:tcPr>
            <w:tcW w:w="2283" w:type="dxa"/>
          </w:tcPr>
          <w:p>
            <w:pPr>
              <w:pStyle w:val="TableParagraph"/>
              <w:ind w:right="219"/>
              <w:rPr>
                <w:sz w:val="20"/>
              </w:rPr>
            </w:pPr>
            <w:r>
              <w:rPr>
                <w:sz w:val="20"/>
              </w:rPr>
              <w:t>USA: 114 banks</w:t>
            </w:r>
          </w:p>
        </w:tc>
        <w:tc>
          <w:tcPr>
            <w:tcW w:w="2283" w:type="dxa"/>
          </w:tcPr>
          <w:p>
            <w:pPr>
              <w:pStyle w:val="TableParagraph"/>
              <w:ind w:right="219"/>
              <w:rPr>
                <w:sz w:val="20"/>
              </w:rPr>
            </w:pPr>
            <w:r>
              <w:rPr>
                <w:sz w:val="20"/>
              </w:rPr>
              <w:t>Cross-sectional study</w:t>
            </w:r>
          </w:p>
        </w:tc>
      </w:tr>
      <w:tr>
        <w:trPr>
          <w:trHeight w:val="731" w:hRule="exact"/>
        </w:trPr>
        <w:tc>
          <w:tcPr>
            <w:tcW w:w="2283" w:type="dxa"/>
          </w:tcPr>
          <w:p>
            <w:pPr>
              <w:pStyle w:val="TableParagraph"/>
              <w:ind w:left="119" w:right="219"/>
              <w:rPr>
                <w:sz w:val="20"/>
              </w:rPr>
            </w:pPr>
            <w:r>
              <w:rPr>
                <w:sz w:val="20"/>
              </w:rPr>
              <w:t>Youndt </w:t>
            </w:r>
            <w:r>
              <w:rPr>
                <w:rFonts w:ascii="Arial Narrow Italic"/>
                <w:i/>
                <w:sz w:val="20"/>
              </w:rPr>
              <w:t>et al </w:t>
            </w:r>
            <w:r>
              <w:rPr>
                <w:sz w:val="20"/>
              </w:rPr>
              <w:t>(1996)</w:t>
            </w:r>
          </w:p>
        </w:tc>
        <w:tc>
          <w:tcPr>
            <w:tcW w:w="2283" w:type="dxa"/>
          </w:tcPr>
          <w:p>
            <w:pPr>
              <w:pStyle w:val="TableParagraph"/>
              <w:ind w:right="437"/>
              <w:rPr>
                <w:sz w:val="20"/>
              </w:rPr>
            </w:pPr>
            <w:r>
              <w:rPr>
                <w:sz w:val="20"/>
              </w:rPr>
              <w:t>USA: 97 manufacturing plants</w:t>
            </w:r>
          </w:p>
        </w:tc>
        <w:tc>
          <w:tcPr>
            <w:tcW w:w="2283" w:type="dxa"/>
          </w:tcPr>
          <w:p>
            <w:pPr>
              <w:pStyle w:val="TableParagraph"/>
              <w:ind w:right="219"/>
              <w:rPr>
                <w:sz w:val="20"/>
              </w:rPr>
            </w:pPr>
            <w:r>
              <w:rPr>
                <w:sz w:val="20"/>
              </w:rPr>
              <w:t>Longitudinal study</w:t>
            </w:r>
          </w:p>
        </w:tc>
      </w:tr>
      <w:tr>
        <w:trPr>
          <w:trHeight w:val="731" w:hRule="exact"/>
        </w:trPr>
        <w:tc>
          <w:tcPr>
            <w:tcW w:w="2283" w:type="dxa"/>
          </w:tcPr>
          <w:p>
            <w:pPr>
              <w:pStyle w:val="TableParagraph"/>
              <w:ind w:left="119" w:right="219"/>
              <w:rPr>
                <w:sz w:val="20"/>
              </w:rPr>
            </w:pPr>
            <w:r>
              <w:rPr>
                <w:sz w:val="20"/>
              </w:rPr>
              <w:t>Patterson </w:t>
            </w:r>
            <w:r>
              <w:rPr>
                <w:rFonts w:ascii="Arial Narrow Italic"/>
                <w:i/>
                <w:sz w:val="20"/>
              </w:rPr>
              <w:t>et al </w:t>
            </w:r>
            <w:r>
              <w:rPr>
                <w:sz w:val="20"/>
              </w:rPr>
              <w:t>(1997)</w:t>
            </w:r>
          </w:p>
        </w:tc>
        <w:tc>
          <w:tcPr>
            <w:tcW w:w="2283" w:type="dxa"/>
          </w:tcPr>
          <w:p>
            <w:pPr>
              <w:pStyle w:val="TableParagraph"/>
              <w:ind w:right="146"/>
              <w:rPr>
                <w:sz w:val="20"/>
              </w:rPr>
            </w:pPr>
            <w:r>
              <w:rPr>
                <w:sz w:val="20"/>
              </w:rPr>
              <w:t>UK: 67 manufacturing ﬁrms employing less than 1000</w:t>
            </w:r>
          </w:p>
        </w:tc>
        <w:tc>
          <w:tcPr>
            <w:tcW w:w="2283" w:type="dxa"/>
          </w:tcPr>
          <w:p>
            <w:pPr>
              <w:pStyle w:val="TableParagraph"/>
              <w:ind w:right="219"/>
              <w:rPr>
                <w:sz w:val="20"/>
              </w:rPr>
            </w:pPr>
            <w:r>
              <w:rPr>
                <w:sz w:val="20"/>
              </w:rPr>
              <w:t>Longitudinal study</w:t>
            </w:r>
          </w:p>
        </w:tc>
      </w:tr>
      <w:tr>
        <w:trPr>
          <w:trHeight w:val="1928" w:hRule="exact"/>
        </w:trPr>
        <w:tc>
          <w:tcPr>
            <w:tcW w:w="2283" w:type="dxa"/>
          </w:tcPr>
          <w:p>
            <w:pPr>
              <w:pStyle w:val="TableParagraph"/>
              <w:ind w:left="119" w:right="447"/>
              <w:rPr>
                <w:sz w:val="20"/>
              </w:rPr>
            </w:pPr>
            <w:r>
              <w:rPr>
                <w:sz w:val="20"/>
              </w:rPr>
              <w:t>Wood and de Menezes (1998)</w:t>
            </w:r>
          </w:p>
        </w:tc>
        <w:tc>
          <w:tcPr>
            <w:tcW w:w="2283" w:type="dxa"/>
          </w:tcPr>
          <w:p>
            <w:pPr>
              <w:pStyle w:val="TableParagraph"/>
              <w:ind w:right="219"/>
              <w:rPr>
                <w:sz w:val="20"/>
              </w:rPr>
            </w:pPr>
            <w:r>
              <w:rPr>
                <w:sz w:val="20"/>
              </w:rPr>
              <w:t>UK: use of data from WERS (1990) and</w:t>
            </w:r>
          </w:p>
          <w:p>
            <w:pPr>
              <w:pStyle w:val="TableParagraph"/>
              <w:spacing w:before="0"/>
              <w:ind w:right="191"/>
              <w:rPr>
                <w:sz w:val="20"/>
              </w:rPr>
            </w:pPr>
            <w:r>
              <w:rPr>
                <w:sz w:val="20"/>
              </w:rPr>
              <w:t>Employers’ Manpower and Skills Practice Survey – approximately 2000 workplaces with more than 25 employees, all sectors</w:t>
            </w:r>
          </w:p>
        </w:tc>
        <w:tc>
          <w:tcPr>
            <w:tcW w:w="2283" w:type="dxa"/>
          </w:tcPr>
          <w:p>
            <w:pPr>
              <w:pStyle w:val="TableParagraph"/>
              <w:ind w:right="219"/>
              <w:rPr>
                <w:sz w:val="20"/>
              </w:rPr>
            </w:pPr>
            <w:r>
              <w:rPr>
                <w:sz w:val="20"/>
              </w:rPr>
              <w:t>Cross-sectional study</w:t>
            </w:r>
          </w:p>
        </w:tc>
      </w:tr>
      <w:tr>
        <w:trPr>
          <w:trHeight w:val="1404" w:hRule="exact"/>
        </w:trPr>
        <w:tc>
          <w:tcPr>
            <w:tcW w:w="2283" w:type="dxa"/>
          </w:tcPr>
          <w:p>
            <w:pPr>
              <w:pStyle w:val="TableParagraph"/>
              <w:ind w:left="119" w:right="219"/>
              <w:rPr>
                <w:sz w:val="20"/>
              </w:rPr>
            </w:pPr>
            <w:r>
              <w:rPr>
                <w:sz w:val="20"/>
              </w:rPr>
              <w:t>Guest </w:t>
            </w:r>
            <w:r>
              <w:rPr>
                <w:rFonts w:ascii="Arial Narrow Italic"/>
                <w:i/>
                <w:sz w:val="20"/>
              </w:rPr>
              <w:t>et al </w:t>
            </w:r>
            <w:r>
              <w:rPr>
                <w:sz w:val="20"/>
              </w:rPr>
              <w:t>(2000a)</w:t>
            </w:r>
          </w:p>
        </w:tc>
        <w:tc>
          <w:tcPr>
            <w:tcW w:w="2283" w:type="dxa"/>
          </w:tcPr>
          <w:p>
            <w:pPr>
              <w:pStyle w:val="TableParagraph"/>
              <w:ind w:right="219"/>
              <w:rPr>
                <w:sz w:val="20"/>
              </w:rPr>
            </w:pPr>
            <w:r>
              <w:rPr>
                <w:sz w:val="20"/>
              </w:rPr>
              <w:t>UK: use of data from WERS (1998) –</w:t>
            </w:r>
          </w:p>
          <w:p>
            <w:pPr>
              <w:pStyle w:val="TableParagraph"/>
              <w:spacing w:before="0"/>
              <w:ind w:right="191"/>
              <w:rPr>
                <w:sz w:val="20"/>
              </w:rPr>
            </w:pPr>
            <w:r>
              <w:rPr>
                <w:sz w:val="20"/>
              </w:rPr>
              <w:t>approximately 2000 workplaces with more than 25 employees, all sectors</w:t>
            </w:r>
          </w:p>
        </w:tc>
        <w:tc>
          <w:tcPr>
            <w:tcW w:w="2283" w:type="dxa"/>
          </w:tcPr>
          <w:p>
            <w:pPr>
              <w:pStyle w:val="TableParagraph"/>
              <w:ind w:right="219"/>
              <w:rPr>
                <w:sz w:val="20"/>
              </w:rPr>
            </w:pPr>
            <w:r>
              <w:rPr>
                <w:sz w:val="20"/>
              </w:rPr>
              <w:t>Cross-sectional study</w:t>
            </w:r>
          </w:p>
        </w:tc>
      </w:tr>
      <w:tr>
        <w:trPr>
          <w:trHeight w:val="1406" w:hRule="exact"/>
        </w:trPr>
        <w:tc>
          <w:tcPr>
            <w:tcW w:w="2283" w:type="dxa"/>
          </w:tcPr>
          <w:p>
            <w:pPr>
              <w:pStyle w:val="TableParagraph"/>
              <w:ind w:left="119" w:right="219"/>
              <w:rPr>
                <w:sz w:val="20"/>
              </w:rPr>
            </w:pPr>
            <w:r>
              <w:rPr>
                <w:sz w:val="20"/>
              </w:rPr>
              <w:t>Guest </w:t>
            </w:r>
            <w:r>
              <w:rPr>
                <w:rFonts w:ascii="Arial Narrow Italic"/>
                <w:i/>
                <w:sz w:val="20"/>
              </w:rPr>
              <w:t>et al </w:t>
            </w:r>
            <w:r>
              <w:rPr>
                <w:sz w:val="20"/>
              </w:rPr>
              <w:t>(2000b)</w:t>
            </w:r>
          </w:p>
        </w:tc>
        <w:tc>
          <w:tcPr>
            <w:tcW w:w="2283" w:type="dxa"/>
          </w:tcPr>
          <w:p>
            <w:pPr>
              <w:pStyle w:val="TableParagraph"/>
              <w:ind w:right="219"/>
              <w:rPr>
                <w:sz w:val="20"/>
              </w:rPr>
            </w:pPr>
            <w:r>
              <w:rPr>
                <w:sz w:val="20"/>
              </w:rPr>
              <w:t>UK: 835 private sector companies with more than 50 employees, interviews with HR professionals and CEOs</w:t>
            </w:r>
          </w:p>
        </w:tc>
        <w:tc>
          <w:tcPr>
            <w:tcW w:w="2283" w:type="dxa"/>
          </w:tcPr>
          <w:p>
            <w:pPr>
              <w:pStyle w:val="TableParagraph"/>
              <w:ind w:right="219"/>
              <w:rPr>
                <w:sz w:val="20"/>
              </w:rPr>
            </w:pPr>
            <w:r>
              <w:rPr>
                <w:sz w:val="20"/>
              </w:rPr>
              <w:t>Cross-sectional study</w:t>
            </w:r>
          </w:p>
        </w:tc>
      </w:tr>
      <w:tr>
        <w:trPr>
          <w:trHeight w:val="1165" w:hRule="exact"/>
        </w:trPr>
        <w:tc>
          <w:tcPr>
            <w:tcW w:w="2283" w:type="dxa"/>
          </w:tcPr>
          <w:p>
            <w:pPr>
              <w:pStyle w:val="TableParagraph"/>
              <w:ind w:left="119" w:right="219"/>
              <w:rPr>
                <w:sz w:val="20"/>
              </w:rPr>
            </w:pPr>
            <w:r>
              <w:rPr>
                <w:sz w:val="20"/>
              </w:rPr>
              <w:t>Appelbaum </w:t>
            </w:r>
            <w:r>
              <w:rPr>
                <w:rFonts w:ascii="Arial Narrow Italic"/>
                <w:i/>
                <w:sz w:val="20"/>
              </w:rPr>
              <w:t>et al </w:t>
            </w:r>
            <w:r>
              <w:rPr>
                <w:sz w:val="20"/>
              </w:rPr>
              <w:t>(2000)</w:t>
            </w:r>
          </w:p>
        </w:tc>
        <w:tc>
          <w:tcPr>
            <w:tcW w:w="2283" w:type="dxa"/>
          </w:tcPr>
          <w:p>
            <w:pPr>
              <w:pStyle w:val="TableParagraph"/>
              <w:ind w:right="146"/>
              <w:rPr>
                <w:sz w:val="20"/>
              </w:rPr>
            </w:pPr>
            <w:r>
              <w:rPr>
                <w:sz w:val="20"/>
              </w:rPr>
              <w:t>USA: 40 manufacturing plants in steel, apparel and medical electronics and imaging</w:t>
            </w:r>
          </w:p>
        </w:tc>
        <w:tc>
          <w:tcPr>
            <w:tcW w:w="2283" w:type="dxa"/>
          </w:tcPr>
          <w:p>
            <w:pPr>
              <w:pStyle w:val="TableParagraph"/>
              <w:ind w:right="219"/>
              <w:rPr>
                <w:sz w:val="20"/>
              </w:rPr>
            </w:pPr>
            <w:r>
              <w:rPr>
                <w:sz w:val="20"/>
              </w:rPr>
              <w:t>Cross-sectional study</w:t>
            </w:r>
          </w:p>
        </w:tc>
      </w:tr>
      <w:tr>
        <w:trPr>
          <w:trHeight w:val="1155" w:hRule="exact"/>
        </w:trPr>
        <w:tc>
          <w:tcPr>
            <w:tcW w:w="2283" w:type="dxa"/>
          </w:tcPr>
          <w:p>
            <w:pPr>
              <w:pStyle w:val="TableParagraph"/>
              <w:ind w:left="119" w:right="219"/>
              <w:rPr>
                <w:sz w:val="20"/>
              </w:rPr>
            </w:pPr>
            <w:r>
              <w:rPr>
                <w:sz w:val="20"/>
              </w:rPr>
              <w:t>West </w:t>
            </w:r>
            <w:r>
              <w:rPr>
                <w:rFonts w:ascii="Arial Narrow Italic"/>
                <w:i/>
                <w:sz w:val="20"/>
              </w:rPr>
              <w:t>et al </w:t>
            </w:r>
            <w:r>
              <w:rPr>
                <w:sz w:val="20"/>
              </w:rPr>
              <w:t>(2002)</w:t>
            </w:r>
          </w:p>
        </w:tc>
        <w:tc>
          <w:tcPr>
            <w:tcW w:w="2283" w:type="dxa"/>
          </w:tcPr>
          <w:p>
            <w:pPr>
              <w:pStyle w:val="TableParagraph"/>
              <w:ind w:right="146"/>
              <w:rPr>
                <w:sz w:val="20"/>
              </w:rPr>
            </w:pPr>
            <w:r>
              <w:rPr>
                <w:sz w:val="20"/>
              </w:rPr>
              <w:t>UK: 61 NHS acute hospital trusts, interviews and questionnaires mainly with HR Directors</w:t>
            </w:r>
          </w:p>
        </w:tc>
        <w:tc>
          <w:tcPr>
            <w:tcW w:w="2283" w:type="dxa"/>
          </w:tcPr>
          <w:p>
            <w:pPr>
              <w:pStyle w:val="TableParagraph"/>
              <w:ind w:right="219"/>
              <w:rPr>
                <w:sz w:val="20"/>
              </w:rPr>
            </w:pPr>
            <w:r>
              <w:rPr>
                <w:sz w:val="20"/>
              </w:rPr>
              <w:t>Cross-sectional study</w:t>
            </w:r>
          </w:p>
        </w:tc>
      </w:tr>
    </w:tbl>
    <w:p>
      <w:pPr>
        <w:spacing w:after="0"/>
        <w:rPr>
          <w:sz w:val="20"/>
        </w:rPr>
        <w:sectPr>
          <w:pgSz w:w="10040" w:h="13950"/>
          <w:pgMar w:header="455" w:footer="511" w:top="640" w:bottom="720" w:left="1120" w:right="1400"/>
        </w:sectPr>
      </w:pPr>
    </w:p>
    <w:p>
      <w:pPr>
        <w:pStyle w:val="BodyText"/>
        <w:rPr>
          <w:rFonts w:ascii="Arial Narrow Italic"/>
          <w:i/>
        </w:rPr>
      </w:pPr>
    </w:p>
    <w:p>
      <w:pPr>
        <w:pStyle w:val="BodyText"/>
        <w:spacing w:before="5"/>
        <w:rPr>
          <w:rFonts w:ascii="Arial Narrow Italic"/>
          <w:i/>
          <w:sz w:val="16"/>
        </w:rPr>
      </w:pPr>
    </w:p>
    <w:p>
      <w:pPr>
        <w:spacing w:before="0"/>
        <w:ind w:left="180" w:right="0" w:firstLine="0"/>
        <w:jc w:val="left"/>
        <w:rPr>
          <w:rFonts w:ascii="Arial Narrow Italic"/>
          <w:i/>
          <w:sz w:val="18"/>
        </w:rPr>
      </w:pPr>
      <w:r>
        <w:rPr>
          <w:rFonts w:ascii="Arial Narrow Bold"/>
          <w:b/>
          <w:color w:val="5E792D"/>
          <w:sz w:val="18"/>
        </w:rPr>
        <w:t>Table 9    </w:t>
      </w:r>
      <w:r>
        <w:rPr>
          <w:rFonts w:ascii="Arial Narrow Italic"/>
          <w:i/>
          <w:sz w:val="18"/>
        </w:rPr>
        <w:t>continued</w:t>
      </w:r>
    </w:p>
    <w:p>
      <w:pPr>
        <w:pStyle w:val="BodyText"/>
        <w:spacing w:before="3"/>
        <w:rPr>
          <w:rFonts w:ascii="Arial Narrow Italic"/>
          <w:i/>
          <w:sz w:val="9"/>
        </w:rPr>
      </w:pPr>
    </w:p>
    <w:tbl>
      <w:tblPr>
        <w:tblW w:w="0" w:type="auto"/>
        <w:jc w:val="left"/>
        <w:tblInd w:w="180" w:type="dxa"/>
        <w:tblBorders>
          <w:top w:val="single" w:sz="4" w:space="0" w:color="5E792D"/>
          <w:left w:val="single" w:sz="4" w:space="0" w:color="5E792D"/>
          <w:bottom w:val="single" w:sz="4" w:space="0" w:color="5E792D"/>
          <w:right w:val="single" w:sz="4" w:space="0" w:color="5E792D"/>
          <w:insideH w:val="single" w:sz="4" w:space="0" w:color="5E792D"/>
          <w:insideV w:val="single" w:sz="4" w:space="0" w:color="5E792D"/>
        </w:tblBorders>
        <w:tblLayout w:type="fixed"/>
        <w:tblCellMar>
          <w:top w:w="0" w:type="dxa"/>
          <w:left w:w="0" w:type="dxa"/>
          <w:bottom w:w="0" w:type="dxa"/>
          <w:right w:w="0" w:type="dxa"/>
        </w:tblCellMar>
        <w:tblLook w:val="01E0"/>
      </w:tblPr>
      <w:tblGrid>
        <w:gridCol w:w="2283"/>
        <w:gridCol w:w="2283"/>
        <w:gridCol w:w="2283"/>
      </w:tblGrid>
      <w:tr>
        <w:trPr>
          <w:trHeight w:val="450" w:hRule="exact"/>
        </w:trPr>
        <w:tc>
          <w:tcPr>
            <w:tcW w:w="2283" w:type="dxa"/>
            <w:shd w:val="clear" w:color="auto" w:fill="EFF2EA"/>
          </w:tcPr>
          <w:p>
            <w:pPr>
              <w:pStyle w:val="TableParagraph"/>
              <w:ind w:left="119" w:right="219"/>
              <w:rPr>
                <w:rFonts w:ascii="Arial Narrow Bold"/>
                <w:b/>
                <w:sz w:val="20"/>
              </w:rPr>
            </w:pPr>
            <w:r>
              <w:rPr>
                <w:rFonts w:ascii="Arial Narrow Bold"/>
                <w:b/>
                <w:sz w:val="20"/>
              </w:rPr>
              <w:t>Empirical studies</w:t>
            </w:r>
          </w:p>
        </w:tc>
        <w:tc>
          <w:tcPr>
            <w:tcW w:w="2283" w:type="dxa"/>
            <w:shd w:val="clear" w:color="auto" w:fill="EFF2EA"/>
          </w:tcPr>
          <w:p>
            <w:pPr>
              <w:pStyle w:val="TableParagraph"/>
              <w:ind w:right="219"/>
              <w:rPr>
                <w:rFonts w:ascii="Arial Narrow Bold"/>
                <w:b/>
                <w:sz w:val="20"/>
              </w:rPr>
            </w:pPr>
            <w:r>
              <w:rPr>
                <w:rFonts w:ascii="Arial Narrow Bold"/>
                <w:b/>
                <w:sz w:val="20"/>
              </w:rPr>
              <w:t>Sample</w:t>
            </w:r>
          </w:p>
        </w:tc>
        <w:tc>
          <w:tcPr>
            <w:tcW w:w="2283" w:type="dxa"/>
            <w:shd w:val="clear" w:color="auto" w:fill="EFF2EA"/>
          </w:tcPr>
          <w:p>
            <w:pPr>
              <w:pStyle w:val="TableParagraph"/>
              <w:ind w:right="219"/>
              <w:rPr>
                <w:rFonts w:ascii="Arial Narrow Bold"/>
                <w:b/>
                <w:sz w:val="20"/>
              </w:rPr>
            </w:pPr>
            <w:r>
              <w:rPr>
                <w:rFonts w:ascii="Arial Narrow Bold"/>
                <w:b/>
                <w:sz w:val="20"/>
              </w:rPr>
              <w:t>Nature of study</w:t>
            </w:r>
          </w:p>
        </w:tc>
      </w:tr>
      <w:tr>
        <w:trPr>
          <w:trHeight w:val="1404" w:hRule="exact"/>
        </w:trPr>
        <w:tc>
          <w:tcPr>
            <w:tcW w:w="2283" w:type="dxa"/>
          </w:tcPr>
          <w:p>
            <w:pPr>
              <w:pStyle w:val="TableParagraph"/>
              <w:ind w:left="119" w:right="219"/>
              <w:rPr>
                <w:sz w:val="20"/>
              </w:rPr>
            </w:pPr>
            <w:r>
              <w:rPr>
                <w:sz w:val="20"/>
              </w:rPr>
              <w:t>Guest </w:t>
            </w:r>
            <w:r>
              <w:rPr>
                <w:rFonts w:ascii="Arial Narrow Italic"/>
                <w:i/>
                <w:sz w:val="20"/>
              </w:rPr>
              <w:t>et al </w:t>
            </w:r>
            <w:r>
              <w:rPr>
                <w:sz w:val="20"/>
              </w:rPr>
              <w:t>(2003)</w:t>
            </w:r>
          </w:p>
        </w:tc>
        <w:tc>
          <w:tcPr>
            <w:tcW w:w="2283" w:type="dxa"/>
          </w:tcPr>
          <w:p>
            <w:pPr>
              <w:pStyle w:val="TableParagraph"/>
              <w:ind w:right="118"/>
              <w:rPr>
                <w:sz w:val="20"/>
              </w:rPr>
            </w:pPr>
            <w:r>
              <w:rPr>
                <w:sz w:val="20"/>
              </w:rPr>
              <w:t>UK: 610 private sector companies both from services  and manufacturing, telephone interviews with Head of HR.</w:t>
            </w:r>
          </w:p>
        </w:tc>
        <w:tc>
          <w:tcPr>
            <w:tcW w:w="2283" w:type="dxa"/>
          </w:tcPr>
          <w:p>
            <w:pPr>
              <w:pStyle w:val="TableParagraph"/>
              <w:ind w:right="219"/>
              <w:rPr>
                <w:sz w:val="20"/>
              </w:rPr>
            </w:pPr>
            <w:r>
              <w:rPr>
                <w:sz w:val="20"/>
              </w:rPr>
              <w:t>Longitudinal study</w:t>
            </w:r>
          </w:p>
        </w:tc>
      </w:tr>
      <w:tr>
        <w:trPr>
          <w:trHeight w:val="457" w:hRule="exact"/>
        </w:trPr>
        <w:tc>
          <w:tcPr>
            <w:tcW w:w="2283" w:type="dxa"/>
            <w:shd w:val="clear" w:color="auto" w:fill="EFF2EA"/>
          </w:tcPr>
          <w:p>
            <w:pPr>
              <w:pStyle w:val="TableParagraph"/>
              <w:ind w:left="119" w:right="219"/>
              <w:rPr>
                <w:rFonts w:ascii="Arial Narrow Bold"/>
                <w:b/>
                <w:sz w:val="20"/>
              </w:rPr>
            </w:pPr>
            <w:r>
              <w:rPr>
                <w:rFonts w:ascii="Arial Narrow Bold"/>
                <w:b/>
                <w:sz w:val="20"/>
              </w:rPr>
              <w:t>Review articles</w:t>
            </w:r>
          </w:p>
        </w:tc>
        <w:tc>
          <w:tcPr>
            <w:tcW w:w="4567" w:type="dxa"/>
            <w:gridSpan w:val="2"/>
            <w:shd w:val="clear" w:color="auto" w:fill="EFF2EA"/>
          </w:tcPr>
          <w:p>
            <w:pPr>
              <w:pStyle w:val="TableParagraph"/>
              <w:ind w:right="309"/>
              <w:rPr>
                <w:rFonts w:ascii="Arial Narrow Bold"/>
                <w:b/>
                <w:sz w:val="20"/>
              </w:rPr>
            </w:pPr>
            <w:r>
              <w:rPr>
                <w:rFonts w:ascii="Arial Narrow Bold"/>
                <w:b/>
                <w:sz w:val="20"/>
              </w:rPr>
              <w:t>Source</w:t>
            </w:r>
          </w:p>
        </w:tc>
      </w:tr>
      <w:tr>
        <w:trPr>
          <w:trHeight w:val="707" w:hRule="exact"/>
        </w:trPr>
        <w:tc>
          <w:tcPr>
            <w:tcW w:w="2283" w:type="dxa"/>
          </w:tcPr>
          <w:p>
            <w:pPr>
              <w:pStyle w:val="TableParagraph"/>
              <w:ind w:left="119" w:right="219"/>
              <w:rPr>
                <w:sz w:val="20"/>
              </w:rPr>
            </w:pPr>
            <w:r>
              <w:rPr>
                <w:sz w:val="20"/>
              </w:rPr>
              <w:t>Wood (1999a)</w:t>
            </w:r>
          </w:p>
        </w:tc>
        <w:tc>
          <w:tcPr>
            <w:tcW w:w="4567" w:type="dxa"/>
            <w:gridSpan w:val="2"/>
          </w:tcPr>
          <w:p>
            <w:pPr>
              <w:pStyle w:val="TableParagraph"/>
              <w:ind w:left="119" w:right="309"/>
              <w:rPr>
                <w:sz w:val="20"/>
              </w:rPr>
            </w:pPr>
            <w:r>
              <w:rPr>
                <w:rFonts w:ascii="Arial Narrow Italic"/>
                <w:i/>
                <w:sz w:val="20"/>
              </w:rPr>
              <w:t>International Journal of Management Reviews</w:t>
            </w:r>
            <w:r>
              <w:rPr>
                <w:sz w:val="20"/>
              </w:rPr>
              <w:t>, Vol. 1, No. 4</w:t>
            </w:r>
          </w:p>
        </w:tc>
      </w:tr>
      <w:tr>
        <w:trPr>
          <w:trHeight w:val="721" w:hRule="exact"/>
        </w:trPr>
        <w:tc>
          <w:tcPr>
            <w:tcW w:w="2283" w:type="dxa"/>
          </w:tcPr>
          <w:p>
            <w:pPr>
              <w:pStyle w:val="TableParagraph"/>
              <w:ind w:left="119" w:right="146"/>
              <w:rPr>
                <w:sz w:val="20"/>
              </w:rPr>
            </w:pPr>
            <w:r>
              <w:rPr>
                <w:sz w:val="20"/>
              </w:rPr>
              <w:t>Wright and Gardner (2003)</w:t>
            </w:r>
          </w:p>
        </w:tc>
        <w:tc>
          <w:tcPr>
            <w:tcW w:w="4567" w:type="dxa"/>
            <w:gridSpan w:val="2"/>
          </w:tcPr>
          <w:p>
            <w:pPr>
              <w:pStyle w:val="TableParagraph"/>
              <w:rPr>
                <w:sz w:val="20"/>
              </w:rPr>
            </w:pPr>
            <w:r>
              <w:rPr>
                <w:sz w:val="20"/>
              </w:rPr>
              <w:t>Holman </w:t>
            </w:r>
            <w:r>
              <w:rPr>
                <w:rFonts w:ascii="Arial Narrow Italic"/>
                <w:i/>
                <w:sz w:val="20"/>
              </w:rPr>
              <w:t>et al </w:t>
            </w:r>
            <w:r>
              <w:rPr>
                <w:sz w:val="20"/>
              </w:rPr>
              <w:t>(eds), </w:t>
            </w:r>
            <w:r>
              <w:rPr>
                <w:rFonts w:ascii="Arial Narrow Italic"/>
                <w:i/>
                <w:sz w:val="20"/>
              </w:rPr>
              <w:t>The New Workplace: A guide to the human impact of modern working practices. </w:t>
            </w:r>
            <w:r>
              <w:rPr>
                <w:sz w:val="20"/>
              </w:rPr>
              <w:t>London, Wiley</w:t>
            </w:r>
          </w:p>
        </w:tc>
      </w:tr>
      <w:tr>
        <w:trPr>
          <w:trHeight w:val="434" w:hRule="exact"/>
        </w:trPr>
        <w:tc>
          <w:tcPr>
            <w:tcW w:w="2283" w:type="dxa"/>
          </w:tcPr>
          <w:p>
            <w:pPr>
              <w:pStyle w:val="TableParagraph"/>
              <w:ind w:left="119" w:right="219"/>
              <w:rPr>
                <w:sz w:val="20"/>
              </w:rPr>
            </w:pPr>
            <w:r>
              <w:rPr>
                <w:sz w:val="20"/>
              </w:rPr>
              <w:t>Godard (2004)</w:t>
            </w:r>
          </w:p>
        </w:tc>
        <w:tc>
          <w:tcPr>
            <w:tcW w:w="4567" w:type="dxa"/>
            <w:gridSpan w:val="2"/>
          </w:tcPr>
          <w:p>
            <w:pPr>
              <w:pStyle w:val="TableParagraph"/>
              <w:ind w:right="309"/>
              <w:rPr>
                <w:sz w:val="20"/>
              </w:rPr>
            </w:pPr>
            <w:r>
              <w:rPr>
                <w:rFonts w:ascii="Arial Narrow Italic"/>
                <w:i/>
                <w:sz w:val="20"/>
              </w:rPr>
              <w:t>British Journal of Industrial Relations</w:t>
            </w:r>
            <w:r>
              <w:rPr>
                <w:sz w:val="20"/>
              </w:rPr>
              <w:t>, Vol. 42, No. 2</w:t>
            </w:r>
          </w:p>
        </w:tc>
      </w:tr>
    </w:tbl>
    <w:p>
      <w:pPr>
        <w:pStyle w:val="BodyText"/>
        <w:spacing w:before="7"/>
        <w:rPr>
          <w:rFonts w:ascii="Arial Narrow Italic"/>
          <w:i/>
          <w:sz w:val="18"/>
        </w:rPr>
      </w:pPr>
    </w:p>
    <w:p>
      <w:pPr>
        <w:pStyle w:val="BodyText"/>
        <w:spacing w:before="66"/>
        <w:ind w:left="180" w:right="452"/>
        <w:jc w:val="both"/>
      </w:pPr>
      <w:r>
        <w:rPr/>
        <w:t>These sorts of claims have also led to a stronger policy thrust from government. As we saw in Chapter 1, </w:t>
      </w:r>
      <w:r>
        <w:rPr>
          <w:rFonts w:ascii="Arial Narrow Italic" w:hAnsi="Arial Narrow Italic"/>
          <w:i/>
        </w:rPr>
        <w:t>Accounting for People </w:t>
      </w:r>
      <w:r>
        <w:rPr/>
        <w:t>(2003) notes that one way to increase the potential impact   of workers on performance was to encourage better HCM reporting. Whilst acknowledging there was no single widely accepted ‘best practice’ approach, the report nevertheless argued (p3) that ‘there is a growing consensus that high performance is linked with high quality in practice in such areas as recruitment, skill development and training, remuneration,  job  design and organisational culture’. Ultimately, the </w:t>
      </w:r>
      <w:r>
        <w:rPr>
          <w:spacing w:val="-5"/>
        </w:rPr>
        <w:t>Task </w:t>
      </w:r>
      <w:r>
        <w:rPr/>
        <w:t>Force decided to recommend a consultative approach to encourage human capital reporting (and approaches) through the setting-up of Standards Board which would bring together leading employers, professional bodies and other relevant stakeholders to develop guidelines and to report back to</w:t>
      </w:r>
      <w:r>
        <w:rPr>
          <w:spacing w:val="45"/>
        </w:rPr>
        <w:t> </w:t>
      </w:r>
      <w:r>
        <w:rPr/>
        <w:t>government within two years of its</w:t>
      </w:r>
      <w:r>
        <w:rPr>
          <w:spacing w:val="23"/>
        </w:rPr>
        <w:t> </w:t>
      </w:r>
      <w:r>
        <w:rPr/>
        <w:t>formation.</w:t>
      </w:r>
    </w:p>
    <w:p>
      <w:pPr>
        <w:pStyle w:val="BodyText"/>
        <w:spacing w:before="12"/>
        <w:rPr>
          <w:sz w:val="19"/>
        </w:rPr>
      </w:pPr>
    </w:p>
    <w:p>
      <w:pPr>
        <w:pStyle w:val="BodyText"/>
        <w:ind w:left="180" w:right="452"/>
        <w:jc w:val="both"/>
      </w:pPr>
      <w:r>
        <w:rPr/>
        <w:t>We now turn to look at four of the UK studies in more detail in order to address a number of key points about this material. First, as will be apparent from </w:t>
      </w:r>
      <w:r>
        <w:rPr>
          <w:spacing w:val="-4"/>
        </w:rPr>
        <w:t>Table </w:t>
      </w:r>
      <w:r>
        <w:rPr/>
        <w:t>9, David Guest and his colleagues published the results analysing two separate data sets on the links between HRM/employment relations and performance during 2000. Both these are useful as they </w:t>
      </w:r>
      <w:r>
        <w:rPr>
          <w:spacing w:val="45"/>
        </w:rPr>
        <w:t> </w:t>
      </w:r>
      <w:r>
        <w:rPr/>
        <w:t>focus on slightly different issues, and the CIPD survey – unlike WERS – makes  some estimate of whether or not HR practices are effective. Although it varies slightly between the publications and with the detailed analyses, the broad theoretical framework guiding the analysis is outlined in Figure 3 (Guest </w:t>
      </w:r>
      <w:r>
        <w:rPr>
          <w:rFonts w:ascii="Arial Narrow Italic" w:hAnsi="Arial Narrow Italic"/>
          <w:i/>
        </w:rPr>
        <w:t>et al </w:t>
      </w:r>
      <w:r>
        <w:rPr/>
        <w:t>2000b, p5; see page 88). Broadly, this proposes a path model linking together business and HR strategies on the left-hand side of the diagram (the input in positivist terms) with performance outcomes on the right-hand  side.  These include indicators such as ﬁnancial performance, quality and productivity, as well  as</w:t>
      </w:r>
      <w:r>
        <w:rPr>
          <w:spacing w:val="45"/>
        </w:rPr>
        <w:t> </w:t>
      </w:r>
      <w:r>
        <w:rPr/>
        <w:t>employee outcomes in terms of competence, commitment and ﬂexibility. The overall framework is glued together by a number of HR practices covering all the usual areas of </w:t>
      </w:r>
      <w:r>
        <w:rPr>
          <w:spacing w:val="45"/>
        </w:rPr>
        <w:t> </w:t>
      </w:r>
      <w:r>
        <w:rPr/>
        <w:t>HRM, as well as by HR effectiveness. The HR practices include job security, recruitment and selection, induction, appraisal, training and development, EI and teamwork, pay and rewards, harmonisation and equal opportunities. The inclusion of a factor assessing effectiveness is particularly important because this allows us to evaluate how well the practices are working,   in  addition  to  whether  or  not  they  are  present.  In  the  CIPD  survey,  to  some  extent  </w:t>
      </w:r>
      <w:r>
        <w:rPr>
          <w:spacing w:val="6"/>
        </w:rPr>
        <w:t> </w:t>
      </w:r>
      <w:r>
        <w:rPr/>
        <w:t>in</w:t>
      </w:r>
    </w:p>
    <w:p>
      <w:pPr>
        <w:spacing w:after="0"/>
        <w:jc w:val="both"/>
        <w:sectPr>
          <w:pgSz w:w="10040" w:h="13950"/>
          <w:pgMar w:header="455" w:footer="527" w:top="640" w:bottom="720" w:left="1400" w:right="1140"/>
        </w:sectPr>
      </w:pPr>
    </w:p>
    <w:p>
      <w:pPr>
        <w:pStyle w:val="BodyText"/>
      </w:pPr>
    </w:p>
    <w:p>
      <w:pPr>
        <w:pStyle w:val="BodyText"/>
        <w:spacing w:before="5"/>
      </w:pPr>
    </w:p>
    <w:p>
      <w:pPr>
        <w:pStyle w:val="BodyText"/>
        <w:ind w:left="460"/>
      </w:pPr>
      <w:r>
        <w:rPr/>
        <w:pict>
          <v:group style="width:355.15pt;height:101.4pt;mso-position-horizontal-relative:char;mso-position-vertical-relative:line" coordorigin="0,0" coordsize="7103,2028">
            <v:rect style="position:absolute;left:90;top:90;width:7008;height:1933" filled="true" fillcolor="#5e792d" stroked="false">
              <v:fill type="solid"/>
            </v:rect>
            <v:rect style="position:absolute;left:90;top:90;width:7008;height:1933" filled="false" stroked="true" strokeweight=".5pt" strokecolor="#5e792d"/>
            <v:rect style="position:absolute;left:5;top:5;width:7007;height:1933" filled="true" fillcolor="#ffffff" stroked="false">
              <v:fill type="solid"/>
            </v:rect>
            <v:line style="position:absolute" from="2637,1283" to="2904,1283" stroked="true" strokeweight="1pt" strokecolor="#5c8727"/>
            <v:shape style="position:absolute;left:2877;top:1243;width:136;height:81" coordorigin="2877,1243" coordsize="136,81" path="m2877,1243l2877,1324,2887,1320,2902,1313,2962,1294,3012,1283,2998,1281,2923,1261,2892,1249,2877,1243xe" filled="true" fillcolor="#5c8727" stroked="false">
              <v:path arrowok="t"/>
              <v:fill type="solid"/>
            </v:shape>
            <v:line style="position:absolute" from="4061,945" to="4316,945" stroked="true" strokeweight="1pt" strokecolor="#5c8727"/>
            <v:shape style="position:absolute;left:4289;top:905;width:136;height:81" coordorigin="4289,905" coordsize="136,81" path="m4289,905l4289,986,4299,982,4315,975,4375,956,4425,945,4411,943,4336,923,4305,911,4289,905xe" filled="true" fillcolor="#5c8727" stroked="false">
              <v:path arrowok="t"/>
              <v:fill type="solid"/>
            </v:shape>
            <v:line style="position:absolute" from="4061,1621" to="4316,1621" stroked="true" strokeweight="1pt" strokecolor="#5c8727"/>
            <v:shape style="position:absolute;left:4289;top:1581;width:136;height:81" coordorigin="4289,1581" coordsize="136,81" path="m4289,1581l4289,1662,4299,1658,4315,1651,4375,1632,4425,1621,4411,1619,4336,1599,4305,1587,4289,1581xe" filled="true" fillcolor="#5c8727" stroked="false">
              <v:path arrowok="t"/>
              <v:fill type="solid"/>
            </v:shape>
            <v:line style="position:absolute" from="2122,626" to="2122,1113" stroked="true" strokeweight="1pt" strokecolor="#5c8727"/>
            <v:shape style="position:absolute;left:2081;top:518;width:81;height:136" coordorigin="2081,518" coordsize="81,136" path="m2122,518l2105,589,2081,653,2162,653,2138,589,2124,532,2122,518xe" filled="true" fillcolor="#5c8727" stroked="false">
              <v:path arrowok="t"/>
              <v:fill type="solid"/>
            </v:shape>
            <v:shape style="position:absolute;left:917;top:1590;width:936;height:90" coordorigin="917,1590" coordsize="936,90" path="m917,1680l1852,1680,1852,1590e" filled="false" stroked="true" strokeweight="1pt" strokecolor="#5c8727">
              <v:path arrowok="t"/>
            </v:shape>
            <v:shape style="position:absolute;left:1812;top:1482;width:81;height:136" coordorigin="1812,1482" coordsize="81,136" path="m1852,1482l1836,1552,1812,1617,1893,1617,1869,1552,1855,1496,1852,1482xe" filled="true" fillcolor="#5c8727" stroked="false">
              <v:path arrowok="t"/>
              <v:fill type="solid"/>
            </v:shape>
            <v:shape style="position:absolute;left:917;top:886;width:936;height:90" coordorigin="917,886" coordsize="936,90" path="m917,886l1852,886,1852,976e" filled="false" stroked="true" strokeweight="1pt" strokecolor="#5c8727">
              <v:path arrowok="t"/>
            </v:shape>
            <v:shape style="position:absolute;left:1812;top:949;width:81;height:136" coordorigin="1812,949" coordsize="81,136" path="m1893,949l1812,949,1818,965,1824,980,1847,1054,1852,1085,1855,1071,1875,994,1889,959,1893,949xe" filled="true" fillcolor="#5c8727" stroked="false">
              <v:path arrowok="t"/>
              <v:fill type="solid"/>
            </v:shape>
            <v:shape style="position:absolute;left:6362;top:1538;width:81;height:136" coordorigin="6362,1538" coordsize="81,136" path="m6402,1538l6386,1609,6362,1674,6442,1674,6418,1609,6404,1552,6402,1538xe" filled="true" fillcolor="#5c8727" stroked="false">
              <v:path arrowok="t"/>
              <v:fill type="solid"/>
            </v:shape>
            <v:shape style="position:absolute;left:5466;top:830;width:936;height:90" coordorigin="5466,830" coordsize="936,90" path="m5466,830l6402,830,6402,920e" filled="false" stroked="true" strokeweight="1pt" strokecolor="#5c8727">
              <v:path arrowok="t"/>
            </v:shape>
            <v:shape style="position:absolute;left:6362;top:893;width:81;height:136" coordorigin="6362,893" coordsize="81,136" path="m6442,893l6362,893,6368,908,6374,923,6396,997,6402,1028,6404,1014,6425,937,6438,902,6442,893xe" filled="true" fillcolor="#5c8727" stroked="false">
              <v:path arrowok="t"/>
              <v:fill type="solid"/>
            </v:shape>
            <v:shape style="position:absolute;left:2573;top:318;width:936;height:319" coordorigin="2573,318" coordsize="936,319" path="m2573,318l3509,318,3509,636e" filled="false" stroked="true" strokeweight="1pt" strokecolor="#5c8727">
              <v:path arrowok="t"/>
            </v:shape>
            <v:shape style="position:absolute;left:3468;top:609;width:81;height:136" coordorigin="3468,609" coordsize="81,136" path="m3549,609l3468,609,3474,625,3480,640,3503,714,3509,745,3511,731,3532,654,3545,619,3549,609xe" filled="true" fillcolor="#5c8727" stroked="false">
              <v:path arrowok="t"/>
              <v:fill type="solid"/>
            </v:shape>
            <v:line style="position:absolute" from="662,1113" to="662,1331" stroked="true" strokeweight="1pt" strokecolor="#5c8727"/>
            <v:shape style="position:absolute;left:621;top:1304;width:81;height:136" coordorigin="621,1304" coordsize="81,136" path="m702,1304l621,1304,628,1319,634,1334,656,1408,662,1439,664,1425,685,1348,698,1313,702,1304xe" filled="true" fillcolor="#5c8727" stroked="false">
              <v:path arrowok="t"/>
              <v:fill type="solid"/>
            </v:shape>
            <v:rect style="position:absolute;left:3041;top:773;width:1020;height:1020" filled="true" fillcolor="#e6edde" stroked="false">
              <v:fill type="solid"/>
            </v:rect>
            <v:rect style="position:absolute;left:3041;top:773;width:1020;height:1020" filled="false" stroked="true" strokeweight="1pt" strokecolor="#5c8727"/>
            <v:rect style="position:absolute;left:4458;top:731;width:1020;height:454" filled="true" fillcolor="#e6edde" stroked="false">
              <v:fill type="solid"/>
            </v:rect>
            <v:rect style="position:absolute;left:4458;top:731;width:1020;height:454" filled="false" stroked="true" strokeweight="1pt" strokecolor="#5c8727"/>
            <v:rect style="position:absolute;left:1524;top:149;width:1191;height:340" filled="true" fillcolor="#e6edde" stroked="false">
              <v:fill type="solid"/>
            </v:rect>
            <v:rect style="position:absolute;left:1524;top:149;width:1191;height:340" filled="false" stroked="true" strokeweight="1pt" strokecolor="#5c8727"/>
            <v:rect style="position:absolute;left:1616;top:1113;width:1021;height:340" filled="true" fillcolor="#e6edde" stroked="false">
              <v:fill type="solid"/>
            </v:rect>
            <v:rect style="position:absolute;left:1616;top:1113;width:1021;height:340" filled="false" stroked="true" strokeweight="1pt" strokecolor="#5c8727"/>
            <v:rect style="position:absolute;left:107;top:1453;width:1191;height:340" filled="true" fillcolor="#e6edde" stroked="false">
              <v:fill type="solid"/>
            </v:rect>
            <v:rect style="position:absolute;left:107;top:1453;width:1191;height:340" filled="false" stroked="true" strokeweight="1pt" strokecolor="#5c8727"/>
            <v:rect style="position:absolute;left:107;top:773;width:1191;height:340" filled="true" fillcolor="#e6edde" stroked="false">
              <v:fill type="solid"/>
            </v:rect>
            <v:rect style="position:absolute;left:107;top:773;width:1191;height:340" filled="false" stroked="true" strokeweight="1pt" strokecolor="#5c8727"/>
            <v:rect style="position:absolute;left:5;top:5;width:7007;height:1933" filled="false" stroked="true" strokeweight=".5pt" strokecolor="#5e792d"/>
            <v:shape style="position:absolute;left:5890;top:1057;width:1021;height:454" type="#_x0000_t202" filled="true" fillcolor="#e6edde" stroked="true" strokeweight="1pt" strokecolor="#5c8727">
              <v:textbox inset="0,0,0,0">
                <w:txbxContent>
                  <w:p>
                    <w:pPr>
                      <w:spacing w:line="160" w:lineRule="exact" w:before="53"/>
                      <w:ind w:left="171" w:right="0" w:firstLine="82"/>
                      <w:jc w:val="left"/>
                      <w:rPr>
                        <w:sz w:val="14"/>
                      </w:rPr>
                    </w:pPr>
                    <w:r>
                      <w:rPr>
                        <w:color w:val="231F20"/>
                        <w:sz w:val="14"/>
                      </w:rPr>
                      <w:t>Financial Performance</w:t>
                    </w:r>
                  </w:p>
                </w:txbxContent>
              </v:textbox>
              <v:fill type="solid"/>
              <w10:wrap type="none"/>
            </v:shape>
            <v:shape style="position:absolute;left:4465;top:1453;width:1021;height:312" type="#_x0000_t202" filled="true" fillcolor="#e6edde" stroked="true" strokeweight="1pt" strokecolor="#5c8727">
              <v:textbox inset="0,0,0,0">
                <w:txbxContent>
                  <w:p>
                    <w:pPr>
                      <w:spacing w:before="65"/>
                      <w:ind w:left="203" w:right="0" w:firstLine="0"/>
                      <w:jc w:val="left"/>
                      <w:rPr>
                        <w:sz w:val="14"/>
                      </w:rPr>
                    </w:pPr>
                    <w:r>
                      <w:rPr>
                        <w:color w:val="231F20"/>
                        <w:sz w:val="14"/>
                      </w:rPr>
                      <w:t>Productivity</w:t>
                    </w:r>
                  </w:p>
                </w:txbxContent>
              </v:textbox>
              <v:fill type="solid"/>
              <w10:wrap type="none"/>
            </v:shape>
            <v:shape style="position:absolute;left:1679;top:249;width:879;height:140" type="#_x0000_t202" filled="false" stroked="false">
              <v:textbox inset="0,0,0,0">
                <w:txbxContent>
                  <w:p>
                    <w:pPr>
                      <w:spacing w:line="140" w:lineRule="exact" w:before="0"/>
                      <w:ind w:left="0" w:right="-20" w:firstLine="0"/>
                      <w:jc w:val="left"/>
                      <w:rPr>
                        <w:sz w:val="14"/>
                      </w:rPr>
                    </w:pPr>
                    <w:r>
                      <w:rPr>
                        <w:color w:val="231F20"/>
                        <w:sz w:val="14"/>
                      </w:rPr>
                      <w:t>HR</w:t>
                    </w:r>
                    <w:r>
                      <w:rPr>
                        <w:color w:val="231F20"/>
                        <w:spacing w:val="-2"/>
                        <w:sz w:val="14"/>
                      </w:rPr>
                      <w:t> </w:t>
                    </w:r>
                    <w:r>
                      <w:rPr>
                        <w:color w:val="231F20"/>
                        <w:sz w:val="14"/>
                      </w:rPr>
                      <w:t>Effectiveness</w:t>
                    </w:r>
                  </w:p>
                </w:txbxContent>
              </v:textbox>
              <w10:wrap type="none"/>
            </v:shape>
            <v:shape style="position:absolute;left:240;top:873;width:926;height:140" type="#_x0000_t202" filled="false" stroked="false">
              <v:textbox inset="0,0,0,0">
                <w:txbxContent>
                  <w:p>
                    <w:pPr>
                      <w:spacing w:line="140" w:lineRule="exact" w:before="0"/>
                      <w:ind w:left="0" w:right="-20" w:firstLine="0"/>
                      <w:jc w:val="left"/>
                      <w:rPr>
                        <w:sz w:val="14"/>
                      </w:rPr>
                    </w:pPr>
                    <w:r>
                      <w:rPr>
                        <w:color w:val="231F20"/>
                        <w:sz w:val="14"/>
                      </w:rPr>
                      <w:t>Business Strategy</w:t>
                    </w:r>
                  </w:p>
                </w:txbxContent>
              </v:textbox>
              <w10:wrap type="none"/>
            </v:shape>
            <v:shape style="position:absolute;left:1792;top:1213;width:670;height:140" type="#_x0000_t202" filled="false" stroked="false">
              <v:textbox inset="0,0,0,0">
                <w:txbxContent>
                  <w:p>
                    <w:pPr>
                      <w:spacing w:line="140" w:lineRule="exact" w:before="0"/>
                      <w:ind w:left="0" w:right="-20" w:firstLine="0"/>
                      <w:jc w:val="left"/>
                      <w:rPr>
                        <w:sz w:val="14"/>
                      </w:rPr>
                    </w:pPr>
                    <w:r>
                      <w:rPr>
                        <w:color w:val="231F20"/>
                        <w:sz w:val="14"/>
                      </w:rPr>
                      <w:t>HR Practices</w:t>
                    </w:r>
                  </w:p>
                </w:txbxContent>
              </v:textbox>
              <w10:wrap type="none"/>
            </v:shape>
            <v:shape style="position:absolute;left:390;top:1553;width:626;height:140" type="#_x0000_t202" filled="false" stroked="false">
              <v:textbox inset="0,0,0,0">
                <w:txbxContent>
                  <w:p>
                    <w:pPr>
                      <w:spacing w:line="140" w:lineRule="exact" w:before="0"/>
                      <w:ind w:left="0" w:right="-20" w:firstLine="0"/>
                      <w:jc w:val="left"/>
                      <w:rPr>
                        <w:sz w:val="14"/>
                      </w:rPr>
                    </w:pPr>
                    <w:r>
                      <w:rPr>
                        <w:color w:val="231F20"/>
                        <w:sz w:val="14"/>
                      </w:rPr>
                      <w:t>HR Strategy</w:t>
                    </w:r>
                  </w:p>
                </w:txbxContent>
              </v:textbox>
              <w10:wrap type="none"/>
            </v:shape>
            <v:shape style="position:absolute;left:3191;top:895;width:721;height:781" type="#_x0000_t202" filled="false" stroked="false">
              <v:textbox inset="0,0,0,0">
                <w:txbxContent>
                  <w:p>
                    <w:pPr>
                      <w:spacing w:line="140" w:lineRule="exact" w:before="0"/>
                      <w:ind w:left="0" w:right="0" w:firstLine="0"/>
                      <w:jc w:val="center"/>
                      <w:rPr>
                        <w:sz w:val="14"/>
                      </w:rPr>
                    </w:pPr>
                    <w:r>
                      <w:rPr>
                        <w:color w:val="231F20"/>
                        <w:sz w:val="14"/>
                      </w:rPr>
                      <w:t>HR Outcomes</w:t>
                    </w:r>
                  </w:p>
                  <w:p>
                    <w:pPr>
                      <w:spacing w:line="160" w:lineRule="exact" w:before="5"/>
                      <w:ind w:left="35" w:right="33" w:hanging="1"/>
                      <w:jc w:val="center"/>
                      <w:rPr>
                        <w:sz w:val="14"/>
                      </w:rPr>
                    </w:pPr>
                    <w:r>
                      <w:rPr>
                        <w:color w:val="231F20"/>
                        <w:sz w:val="14"/>
                      </w:rPr>
                      <w:t>Employee: Competence Commitment Flexibility</w:t>
                    </w:r>
                  </w:p>
                </w:txbxContent>
              </v:textbox>
              <w10:wrap type="none"/>
            </v:shape>
            <v:shape style="position:absolute;left:4538;top:809;width:830;height:300" type="#_x0000_t202" filled="false" stroked="false">
              <v:textbox inset="0,0,0,0">
                <w:txbxContent>
                  <w:p>
                    <w:pPr>
                      <w:spacing w:line="140" w:lineRule="exact" w:before="0"/>
                      <w:ind w:left="0" w:right="0" w:firstLine="0"/>
                      <w:jc w:val="center"/>
                      <w:rPr>
                        <w:sz w:val="14"/>
                      </w:rPr>
                    </w:pPr>
                    <w:r>
                      <w:rPr>
                        <w:color w:val="231F20"/>
                        <w:sz w:val="14"/>
                      </w:rPr>
                      <w:t>Quality of goods</w:t>
                    </w:r>
                  </w:p>
                  <w:p>
                    <w:pPr>
                      <w:spacing w:line="160" w:lineRule="exact" w:before="0"/>
                      <w:ind w:left="31" w:right="0" w:firstLine="0"/>
                      <w:jc w:val="center"/>
                      <w:rPr>
                        <w:sz w:val="14"/>
                      </w:rPr>
                    </w:pPr>
                    <w:r>
                      <w:rPr>
                        <w:color w:val="231F20"/>
                        <w:sz w:val="14"/>
                      </w:rPr>
                      <w:t>and services</w:t>
                    </w:r>
                  </w:p>
                </w:txbxContent>
              </v:textbox>
              <w10:wrap type="none"/>
            </v:shape>
          </v:group>
        </w:pict>
      </w:r>
      <w:r>
        <w:rPr/>
      </w:r>
    </w:p>
    <w:p>
      <w:pPr>
        <w:spacing w:before="91"/>
        <w:ind w:left="460" w:right="0" w:firstLine="0"/>
        <w:jc w:val="both"/>
        <w:rPr>
          <w:rFonts w:ascii="Arial Narrow Italic"/>
          <w:i/>
          <w:sz w:val="16"/>
        </w:rPr>
      </w:pPr>
      <w:r>
        <w:rPr>
          <w:rFonts w:ascii="Arial Narrow Bold"/>
          <w:b/>
          <w:sz w:val="16"/>
        </w:rPr>
        <w:t>Figure 3  </w:t>
      </w:r>
      <w:r>
        <w:rPr>
          <w:rFonts w:ascii="Arial Narrow Italic"/>
          <w:i/>
          <w:sz w:val="16"/>
        </w:rPr>
        <w:t>Model of the link between HRM and performance</w:t>
      </w:r>
    </w:p>
    <w:p>
      <w:pPr>
        <w:spacing w:line="300" w:lineRule="auto" w:before="48"/>
        <w:ind w:left="460" w:right="352" w:firstLine="0"/>
        <w:jc w:val="both"/>
        <w:rPr>
          <w:sz w:val="16"/>
        </w:rPr>
      </w:pPr>
      <w:r>
        <w:rPr>
          <w:rFonts w:ascii="Arial Narrow Italic" w:hAnsi="Arial Narrow Italic"/>
          <w:i/>
          <w:sz w:val="16"/>
        </w:rPr>
        <w:t>Source</w:t>
      </w:r>
      <w:r>
        <w:rPr>
          <w:sz w:val="16"/>
        </w:rPr>
        <w:t>: Guest D., Michie J., Sheehan M., Conway N. and Metochi M. </w:t>
      </w:r>
      <w:r>
        <w:rPr>
          <w:rFonts w:ascii="Arial Narrow Italic" w:hAnsi="Arial Narrow Italic"/>
          <w:i/>
          <w:sz w:val="16"/>
        </w:rPr>
        <w:t>Effective People Management: Initial ﬁndings   of the Future of Work study</w:t>
      </w:r>
      <w:r>
        <w:rPr>
          <w:sz w:val="16"/>
        </w:rPr>
        <w:t>. London, CIPD. 2000b.</w:t>
      </w:r>
      <w:r>
        <w:rPr>
          <w:spacing w:val="26"/>
          <w:sz w:val="16"/>
        </w:rPr>
        <w:t> </w:t>
      </w:r>
      <w:r>
        <w:rPr>
          <w:sz w:val="16"/>
        </w:rPr>
        <w:t>p5</w:t>
      </w:r>
    </w:p>
    <w:p>
      <w:pPr>
        <w:pStyle w:val="BodyText"/>
        <w:spacing w:before="9"/>
        <w:rPr>
          <w:sz w:val="16"/>
        </w:rPr>
      </w:pPr>
    </w:p>
    <w:p>
      <w:pPr>
        <w:pStyle w:val="BodyText"/>
        <w:ind w:left="460" w:right="352"/>
        <w:jc w:val="both"/>
      </w:pPr>
      <w:r>
        <w:rPr/>
        <w:t>contradiction to the ﬁndings of Patterson </w:t>
      </w:r>
      <w:r>
        <w:rPr>
          <w:rFonts w:ascii="Arial Narrow Italic" w:hAnsi="Arial Narrow Italic"/>
          <w:i/>
        </w:rPr>
        <w:t>et al </w:t>
      </w:r>
      <w:r>
        <w:rPr/>
        <w:t>(1997), it was revealing that whilst 70 per cent   of the chief executives felt that their business strategy relied a lot on people as a source of competitive advantage, considerably less than half felt that ‘people issues’ were more important than ﬁnancial or marketing issues (Guest </w:t>
      </w:r>
      <w:r>
        <w:rPr>
          <w:rFonts w:ascii="Arial Narrow Italic" w:hAnsi="Arial Narrow Italic"/>
          <w:i/>
        </w:rPr>
        <w:t>et al </w:t>
      </w:r>
      <w:r>
        <w:rPr/>
        <w:t>2000b,</w:t>
      </w:r>
      <w:r>
        <w:rPr>
          <w:spacing w:val="39"/>
        </w:rPr>
        <w:t> </w:t>
      </w:r>
      <w:r>
        <w:rPr/>
        <w:t>p14).</w:t>
      </w:r>
    </w:p>
    <w:p>
      <w:pPr>
        <w:pStyle w:val="BodyText"/>
        <w:spacing w:before="12"/>
        <w:rPr>
          <w:sz w:val="19"/>
        </w:rPr>
      </w:pPr>
    </w:p>
    <w:p>
      <w:pPr>
        <w:pStyle w:val="BodyText"/>
        <w:ind w:left="460" w:right="352"/>
        <w:jc w:val="both"/>
      </w:pPr>
      <w:r>
        <w:rPr/>
        <w:t>A critically important ﬁnding of the study by Guest </w:t>
      </w:r>
      <w:r>
        <w:rPr>
          <w:rFonts w:ascii="Arial Narrow Italic" w:hAnsi="Arial Narrow Italic"/>
          <w:i/>
        </w:rPr>
        <w:t>et al </w:t>
      </w:r>
      <w:r>
        <w:rPr/>
        <w:t>(2000a) is that a very small proportion of organisations actually use more than three quarters of the HR practices outlined. At the other extreme, an equally small proportion use less than a quarter. In general, those organisations in the public sector and with trade union involvement utilise more practices than those in the private sector and non-union ﬁrms, and indeed nearly 60 per cent reported using less than half of the whole list of HR practices. We can see from the data in </w:t>
      </w:r>
      <w:r>
        <w:rPr>
          <w:spacing w:val="-4"/>
        </w:rPr>
        <w:t>Table </w:t>
      </w:r>
      <w:r>
        <w:rPr/>
        <w:t>8 that</w:t>
      </w:r>
      <w:r>
        <w:rPr>
          <w:spacing w:val="45"/>
        </w:rPr>
        <w:t> </w:t>
      </w:r>
      <w:r>
        <w:rPr/>
        <w:t>certain practices are extremely widespread in the public sector – such as a formal grievance procedure, a written equal opportunities policy, and a standard contract. The private sector typically shows lower levels of extensiveness, but the same sorts of HR practices emerge as most widespread apart from the fact that appraisal appears to be used in more organisations. The least extensive HR practices from the list are job security guarantees, the use of quality circles and preference being given to internal candidates when ﬁlling vacancies. What the </w:t>
      </w:r>
      <w:r>
        <w:rPr>
          <w:spacing w:val="45"/>
        </w:rPr>
        <w:t> </w:t>
      </w:r>
      <w:r>
        <w:rPr/>
        <w:t>data is unable to tell us, given that it relies on a straight number count, is whether or not speciﬁc HR practices are essential for the HR bundle to</w:t>
      </w:r>
      <w:r>
        <w:rPr>
          <w:spacing w:val="39"/>
        </w:rPr>
        <w:t> </w:t>
      </w:r>
      <w:r>
        <w:rPr/>
        <w:t>work.</w:t>
      </w:r>
    </w:p>
    <w:p>
      <w:pPr>
        <w:pStyle w:val="BodyText"/>
        <w:spacing w:before="12"/>
        <w:rPr>
          <w:sz w:val="19"/>
        </w:rPr>
      </w:pPr>
    </w:p>
    <w:p>
      <w:pPr>
        <w:pStyle w:val="BodyText"/>
        <w:ind w:left="460" w:right="352"/>
        <w:jc w:val="both"/>
      </w:pPr>
      <w:r>
        <w:rPr/>
        <w:t>Even if organisations employ a wide range of HR practices, this does not mean that they are applied effectively or that they have any impact on workers or managers. For example, while   it is important to know whether or not an employer makes use of regular appraisals or</w:t>
      </w:r>
      <w:r>
        <w:rPr>
          <w:spacing w:val="45"/>
        </w:rPr>
        <w:t> </w:t>
      </w:r>
      <w:r>
        <w:rPr/>
        <w:t>provides information about performance targets, this gives us no clue as to whether the appraisals make any difference or the information is supplied in a meaningful and timely fashion. This is why measures of effectiveness are so useful. In the CIPD survey (Guest </w:t>
      </w:r>
      <w:r>
        <w:rPr>
          <w:rFonts w:ascii="Arial Narrow Italic" w:hAnsi="Arial Narrow Italic"/>
          <w:i/>
        </w:rPr>
        <w:t>et al </w:t>
      </w:r>
      <w:r>
        <w:rPr/>
        <w:t>2000b), Managing Directors and HR professionals were asked to assess the effectiveness of each practice area, and in most cases they were judged to be either slightly  or  highly effective. The results are outlined in </w:t>
      </w:r>
      <w:r>
        <w:rPr>
          <w:spacing w:val="-4"/>
        </w:rPr>
        <w:t>Table </w:t>
      </w:r>
      <w:r>
        <w:rPr/>
        <w:t>10. It can be seen that there are relatively small differences between the respondents, with the HR professionals being slightly more circumspect about the effectiveness of the practices. The most positive responses were in relation to employment security, which is strange bearing in mind the fact that over half of the sample had made compulsory redundancies during the last three years. The HR practices deemed to be least effective were those related to ﬁnancial ﬂexibility, job design and  appraisal, and it is notable that the HR professionals felt they were less effective (Guest </w:t>
      </w:r>
      <w:r>
        <w:rPr>
          <w:rFonts w:ascii="Arial Narrow Italic" w:hAnsi="Arial Narrow Italic"/>
          <w:i/>
        </w:rPr>
        <w:t>et al </w:t>
      </w:r>
      <w:r>
        <w:rPr/>
        <w:t>2000b, pp18–19). HR effectiveness – both of the practices themselves and of the personnel department  –  increases  the  strength  of  the  relationship  between  HRM  and</w:t>
      </w:r>
      <w:r>
        <w:rPr>
          <w:spacing w:val="12"/>
        </w:rPr>
        <w:t> </w:t>
      </w:r>
      <w:r>
        <w:rPr/>
        <w:t>performance,</w:t>
      </w:r>
    </w:p>
    <w:p>
      <w:pPr>
        <w:spacing w:after="0"/>
        <w:jc w:val="both"/>
        <w:sectPr>
          <w:pgSz w:w="10040" w:h="13950"/>
          <w:pgMar w:header="455" w:footer="511" w:top="640" w:bottom="720" w:left="1120" w:right="1240"/>
        </w:sectPr>
      </w:pPr>
    </w:p>
    <w:p>
      <w:pPr>
        <w:pStyle w:val="BodyText"/>
      </w:pPr>
    </w:p>
    <w:p>
      <w:pPr>
        <w:pStyle w:val="BodyText"/>
        <w:spacing w:before="5"/>
        <w:rPr>
          <w:sz w:val="16"/>
        </w:rPr>
      </w:pPr>
    </w:p>
    <w:p>
      <w:pPr>
        <w:spacing w:before="0"/>
        <w:ind w:left="180" w:right="0" w:firstLine="0"/>
        <w:jc w:val="left"/>
        <w:rPr>
          <w:rFonts w:ascii="Arial Narrow Italic"/>
          <w:i/>
          <w:sz w:val="18"/>
        </w:rPr>
      </w:pPr>
      <w:r>
        <w:rPr>
          <w:rFonts w:ascii="Arial Narrow Bold"/>
          <w:b/>
          <w:color w:val="5E792D"/>
          <w:sz w:val="18"/>
        </w:rPr>
        <w:t>Table 10    </w:t>
      </w:r>
      <w:r>
        <w:rPr>
          <w:rFonts w:ascii="Arial Narrow Italic"/>
          <w:i/>
          <w:sz w:val="18"/>
        </w:rPr>
        <w:t>The effectiveness of HR practices according to Managing Directors and HR  professionals</w:t>
      </w:r>
    </w:p>
    <w:p>
      <w:pPr>
        <w:pStyle w:val="BodyText"/>
        <w:spacing w:before="3"/>
        <w:rPr>
          <w:rFonts w:ascii="Arial Narrow Italic"/>
          <w:i/>
          <w:sz w:val="9"/>
        </w:rPr>
      </w:pPr>
    </w:p>
    <w:tbl>
      <w:tblPr>
        <w:tblW w:w="0" w:type="auto"/>
        <w:jc w:val="left"/>
        <w:tblInd w:w="180" w:type="dxa"/>
        <w:tblBorders>
          <w:top w:val="single" w:sz="4" w:space="0" w:color="5E792D"/>
          <w:left w:val="single" w:sz="4" w:space="0" w:color="5E792D"/>
          <w:bottom w:val="single" w:sz="4" w:space="0" w:color="5E792D"/>
          <w:right w:val="single" w:sz="4" w:space="0" w:color="5E792D"/>
          <w:insideH w:val="single" w:sz="4" w:space="0" w:color="5E792D"/>
          <w:insideV w:val="single" w:sz="4" w:space="0" w:color="5E792D"/>
        </w:tblBorders>
        <w:tblLayout w:type="fixed"/>
        <w:tblCellMar>
          <w:top w:w="0" w:type="dxa"/>
          <w:left w:w="0" w:type="dxa"/>
          <w:bottom w:w="0" w:type="dxa"/>
          <w:right w:w="0" w:type="dxa"/>
        </w:tblCellMar>
        <w:tblLook w:val="01E0"/>
      </w:tblPr>
      <w:tblGrid>
        <w:gridCol w:w="3134"/>
        <w:gridCol w:w="956"/>
        <w:gridCol w:w="924"/>
        <w:gridCol w:w="941"/>
        <w:gridCol w:w="924"/>
      </w:tblGrid>
      <w:tr>
        <w:trPr>
          <w:trHeight w:val="455" w:hRule="exact"/>
        </w:trPr>
        <w:tc>
          <w:tcPr>
            <w:tcW w:w="3134" w:type="dxa"/>
            <w:vMerge w:val="restart"/>
            <w:shd w:val="clear" w:color="auto" w:fill="EFF2EA"/>
          </w:tcPr>
          <w:p>
            <w:pPr>
              <w:pStyle w:val="TableParagraph"/>
              <w:spacing w:before="0"/>
              <w:ind w:left="119"/>
              <w:rPr>
                <w:rFonts w:ascii="Arial Narrow Bold"/>
                <w:b/>
                <w:sz w:val="20"/>
              </w:rPr>
            </w:pPr>
            <w:r>
              <w:rPr>
                <w:rFonts w:ascii="Arial Narrow Bold"/>
                <w:b/>
                <w:sz w:val="20"/>
              </w:rPr>
              <w:t>Assessment of HR practice</w:t>
            </w:r>
          </w:p>
        </w:tc>
        <w:tc>
          <w:tcPr>
            <w:tcW w:w="1879" w:type="dxa"/>
            <w:gridSpan w:val="2"/>
            <w:shd w:val="clear" w:color="auto" w:fill="EFF2EA"/>
          </w:tcPr>
          <w:p>
            <w:pPr>
              <w:pStyle w:val="TableParagraph"/>
              <w:ind w:left="119"/>
              <w:rPr>
                <w:rFonts w:ascii="Arial Narrow Bold"/>
                <w:b/>
                <w:sz w:val="20"/>
              </w:rPr>
            </w:pPr>
            <w:r>
              <w:rPr>
                <w:rFonts w:ascii="Arial Narrow Bold"/>
                <w:b/>
                <w:sz w:val="20"/>
              </w:rPr>
              <w:t>Managing Directors</w:t>
            </w:r>
          </w:p>
        </w:tc>
        <w:tc>
          <w:tcPr>
            <w:tcW w:w="1865" w:type="dxa"/>
            <w:gridSpan w:val="2"/>
            <w:shd w:val="clear" w:color="auto" w:fill="EFF2EA"/>
          </w:tcPr>
          <w:p>
            <w:pPr>
              <w:pStyle w:val="TableParagraph"/>
              <w:rPr>
                <w:rFonts w:ascii="Arial Narrow Bold"/>
                <w:b/>
                <w:sz w:val="20"/>
              </w:rPr>
            </w:pPr>
            <w:r>
              <w:rPr>
                <w:rFonts w:ascii="Arial Narrow Bold"/>
                <w:b/>
                <w:sz w:val="20"/>
              </w:rPr>
              <w:t>HR professionals</w:t>
            </w:r>
          </w:p>
        </w:tc>
      </w:tr>
      <w:tr>
        <w:trPr>
          <w:trHeight w:val="678" w:hRule="exact"/>
        </w:trPr>
        <w:tc>
          <w:tcPr>
            <w:tcW w:w="3134" w:type="dxa"/>
            <w:vMerge/>
            <w:shd w:val="clear" w:color="auto" w:fill="EFF2EA"/>
          </w:tcPr>
          <w:p>
            <w:pPr/>
          </w:p>
        </w:tc>
        <w:tc>
          <w:tcPr>
            <w:tcW w:w="956" w:type="dxa"/>
            <w:shd w:val="clear" w:color="auto" w:fill="EFF2EA"/>
          </w:tcPr>
          <w:p>
            <w:pPr>
              <w:pStyle w:val="TableParagraph"/>
              <w:ind w:left="119" w:right="141"/>
              <w:rPr>
                <w:rFonts w:ascii="Arial Narrow Bold"/>
                <w:b/>
                <w:sz w:val="20"/>
              </w:rPr>
            </w:pPr>
            <w:r>
              <w:rPr>
                <w:rFonts w:ascii="Arial Narrow Bold"/>
                <w:b/>
                <w:sz w:val="20"/>
              </w:rPr>
              <w:t>Quite effective</w:t>
            </w:r>
          </w:p>
        </w:tc>
        <w:tc>
          <w:tcPr>
            <w:tcW w:w="924" w:type="dxa"/>
            <w:shd w:val="clear" w:color="auto" w:fill="EFF2EA"/>
          </w:tcPr>
          <w:p>
            <w:pPr>
              <w:pStyle w:val="TableParagraph"/>
              <w:ind w:right="108"/>
              <w:rPr>
                <w:rFonts w:ascii="Arial Narrow Bold"/>
                <w:b/>
                <w:sz w:val="20"/>
              </w:rPr>
            </w:pPr>
            <w:r>
              <w:rPr>
                <w:rFonts w:ascii="Arial Narrow Bold"/>
                <w:b/>
                <w:sz w:val="20"/>
              </w:rPr>
              <w:t>Highly effective</w:t>
            </w:r>
          </w:p>
        </w:tc>
        <w:tc>
          <w:tcPr>
            <w:tcW w:w="941" w:type="dxa"/>
            <w:shd w:val="clear" w:color="auto" w:fill="EFF2EA"/>
          </w:tcPr>
          <w:p>
            <w:pPr>
              <w:pStyle w:val="TableParagraph"/>
              <w:ind w:right="126"/>
              <w:rPr>
                <w:rFonts w:ascii="Arial Narrow Bold"/>
                <w:b/>
                <w:sz w:val="20"/>
              </w:rPr>
            </w:pPr>
            <w:r>
              <w:rPr>
                <w:rFonts w:ascii="Arial Narrow Bold"/>
                <w:b/>
                <w:sz w:val="20"/>
              </w:rPr>
              <w:t>Quite effective</w:t>
            </w:r>
          </w:p>
        </w:tc>
        <w:tc>
          <w:tcPr>
            <w:tcW w:w="924" w:type="dxa"/>
            <w:shd w:val="clear" w:color="auto" w:fill="EFF2EA"/>
          </w:tcPr>
          <w:p>
            <w:pPr>
              <w:pStyle w:val="TableParagraph"/>
              <w:ind w:right="108"/>
              <w:rPr>
                <w:rFonts w:ascii="Arial Narrow Bold"/>
                <w:b/>
                <w:sz w:val="20"/>
              </w:rPr>
            </w:pPr>
            <w:r>
              <w:rPr>
                <w:rFonts w:ascii="Arial Narrow Bold"/>
                <w:b/>
                <w:sz w:val="20"/>
              </w:rPr>
              <w:t>Highly effective</w:t>
            </w:r>
          </w:p>
        </w:tc>
      </w:tr>
      <w:tr>
        <w:trPr>
          <w:trHeight w:val="450" w:hRule="exact"/>
        </w:trPr>
        <w:tc>
          <w:tcPr>
            <w:tcW w:w="3134" w:type="dxa"/>
          </w:tcPr>
          <w:p>
            <w:pPr>
              <w:pStyle w:val="TableParagraph"/>
              <w:ind w:left="119"/>
              <w:rPr>
                <w:sz w:val="20"/>
              </w:rPr>
            </w:pPr>
            <w:r>
              <w:rPr>
                <w:sz w:val="20"/>
              </w:rPr>
              <w:t>Recruitment and selection</w:t>
            </w:r>
          </w:p>
        </w:tc>
        <w:tc>
          <w:tcPr>
            <w:tcW w:w="956" w:type="dxa"/>
          </w:tcPr>
          <w:p>
            <w:pPr>
              <w:pStyle w:val="TableParagraph"/>
              <w:ind w:left="119" w:right="141"/>
              <w:rPr>
                <w:sz w:val="20"/>
              </w:rPr>
            </w:pPr>
            <w:r>
              <w:rPr>
                <w:sz w:val="20"/>
              </w:rPr>
              <w:t>41</w:t>
            </w:r>
          </w:p>
        </w:tc>
        <w:tc>
          <w:tcPr>
            <w:tcW w:w="924" w:type="dxa"/>
          </w:tcPr>
          <w:p>
            <w:pPr>
              <w:pStyle w:val="TableParagraph"/>
              <w:ind w:right="108"/>
              <w:rPr>
                <w:sz w:val="20"/>
              </w:rPr>
            </w:pPr>
            <w:r>
              <w:rPr>
                <w:sz w:val="20"/>
              </w:rPr>
              <w:t>13</w:t>
            </w:r>
          </w:p>
        </w:tc>
        <w:tc>
          <w:tcPr>
            <w:tcW w:w="941" w:type="dxa"/>
          </w:tcPr>
          <w:p>
            <w:pPr>
              <w:pStyle w:val="TableParagraph"/>
              <w:ind w:right="126"/>
              <w:rPr>
                <w:sz w:val="20"/>
              </w:rPr>
            </w:pPr>
            <w:r>
              <w:rPr>
                <w:sz w:val="20"/>
              </w:rPr>
              <w:t>41</w:t>
            </w:r>
          </w:p>
        </w:tc>
        <w:tc>
          <w:tcPr>
            <w:tcW w:w="924" w:type="dxa"/>
          </w:tcPr>
          <w:p>
            <w:pPr>
              <w:pStyle w:val="TableParagraph"/>
              <w:ind w:right="108"/>
              <w:rPr>
                <w:sz w:val="20"/>
              </w:rPr>
            </w:pPr>
            <w:r>
              <w:rPr>
                <w:sz w:val="20"/>
              </w:rPr>
              <w:t>12</w:t>
            </w:r>
          </w:p>
        </w:tc>
      </w:tr>
      <w:tr>
        <w:trPr>
          <w:trHeight w:val="450" w:hRule="exact"/>
        </w:trPr>
        <w:tc>
          <w:tcPr>
            <w:tcW w:w="3134" w:type="dxa"/>
          </w:tcPr>
          <w:p>
            <w:pPr>
              <w:pStyle w:val="TableParagraph"/>
              <w:ind w:left="119"/>
              <w:rPr>
                <w:sz w:val="20"/>
              </w:rPr>
            </w:pPr>
            <w:r>
              <w:rPr>
                <w:sz w:val="20"/>
              </w:rPr>
              <w:t>Training and development</w:t>
            </w:r>
          </w:p>
        </w:tc>
        <w:tc>
          <w:tcPr>
            <w:tcW w:w="956" w:type="dxa"/>
          </w:tcPr>
          <w:p>
            <w:pPr>
              <w:pStyle w:val="TableParagraph"/>
              <w:ind w:left="119" w:right="141"/>
              <w:rPr>
                <w:sz w:val="20"/>
              </w:rPr>
            </w:pPr>
            <w:r>
              <w:rPr>
                <w:sz w:val="20"/>
              </w:rPr>
              <w:t>40</w:t>
            </w:r>
          </w:p>
        </w:tc>
        <w:tc>
          <w:tcPr>
            <w:tcW w:w="924" w:type="dxa"/>
          </w:tcPr>
          <w:p>
            <w:pPr>
              <w:pStyle w:val="TableParagraph"/>
              <w:ind w:right="108"/>
              <w:rPr>
                <w:sz w:val="20"/>
              </w:rPr>
            </w:pPr>
            <w:r>
              <w:rPr>
                <w:sz w:val="20"/>
              </w:rPr>
              <w:t>17</w:t>
            </w:r>
          </w:p>
        </w:tc>
        <w:tc>
          <w:tcPr>
            <w:tcW w:w="941" w:type="dxa"/>
          </w:tcPr>
          <w:p>
            <w:pPr>
              <w:pStyle w:val="TableParagraph"/>
              <w:ind w:right="126"/>
              <w:rPr>
                <w:sz w:val="20"/>
              </w:rPr>
            </w:pPr>
            <w:r>
              <w:rPr>
                <w:sz w:val="20"/>
              </w:rPr>
              <w:t>39</w:t>
            </w:r>
          </w:p>
        </w:tc>
        <w:tc>
          <w:tcPr>
            <w:tcW w:w="924" w:type="dxa"/>
          </w:tcPr>
          <w:p>
            <w:pPr>
              <w:pStyle w:val="TableParagraph"/>
              <w:ind w:right="108"/>
              <w:rPr>
                <w:sz w:val="20"/>
              </w:rPr>
            </w:pPr>
            <w:r>
              <w:rPr>
                <w:sz w:val="20"/>
              </w:rPr>
              <w:t>17</w:t>
            </w:r>
          </w:p>
        </w:tc>
      </w:tr>
      <w:tr>
        <w:trPr>
          <w:trHeight w:val="450" w:hRule="exact"/>
        </w:trPr>
        <w:tc>
          <w:tcPr>
            <w:tcW w:w="3134" w:type="dxa"/>
          </w:tcPr>
          <w:p>
            <w:pPr>
              <w:pStyle w:val="TableParagraph"/>
              <w:ind w:left="119"/>
              <w:rPr>
                <w:sz w:val="20"/>
              </w:rPr>
            </w:pPr>
            <w:r>
              <w:rPr>
                <w:sz w:val="20"/>
              </w:rPr>
              <w:t>Appraisal/performance management</w:t>
            </w:r>
          </w:p>
        </w:tc>
        <w:tc>
          <w:tcPr>
            <w:tcW w:w="956" w:type="dxa"/>
          </w:tcPr>
          <w:p>
            <w:pPr>
              <w:pStyle w:val="TableParagraph"/>
              <w:ind w:left="119" w:right="141"/>
              <w:rPr>
                <w:sz w:val="20"/>
              </w:rPr>
            </w:pPr>
            <w:r>
              <w:rPr>
                <w:sz w:val="20"/>
              </w:rPr>
              <w:t>34</w:t>
            </w:r>
          </w:p>
        </w:tc>
        <w:tc>
          <w:tcPr>
            <w:tcW w:w="924" w:type="dxa"/>
          </w:tcPr>
          <w:p>
            <w:pPr>
              <w:pStyle w:val="TableParagraph"/>
              <w:ind w:right="108"/>
              <w:rPr>
                <w:sz w:val="20"/>
              </w:rPr>
            </w:pPr>
            <w:r>
              <w:rPr>
                <w:sz w:val="20"/>
              </w:rPr>
              <w:t>14</w:t>
            </w:r>
          </w:p>
        </w:tc>
        <w:tc>
          <w:tcPr>
            <w:tcW w:w="941" w:type="dxa"/>
          </w:tcPr>
          <w:p>
            <w:pPr>
              <w:pStyle w:val="TableParagraph"/>
              <w:ind w:right="126"/>
              <w:rPr>
                <w:sz w:val="20"/>
              </w:rPr>
            </w:pPr>
            <w:r>
              <w:rPr>
                <w:sz w:val="20"/>
              </w:rPr>
              <w:t>27</w:t>
            </w:r>
          </w:p>
        </w:tc>
        <w:tc>
          <w:tcPr>
            <w:tcW w:w="924" w:type="dxa"/>
          </w:tcPr>
          <w:p>
            <w:pPr>
              <w:pStyle w:val="TableParagraph"/>
              <w:ind w:right="108"/>
              <w:rPr>
                <w:sz w:val="20"/>
              </w:rPr>
            </w:pPr>
            <w:r>
              <w:rPr>
                <w:sz w:val="20"/>
              </w:rPr>
              <w:t>11</w:t>
            </w:r>
          </w:p>
        </w:tc>
      </w:tr>
      <w:tr>
        <w:trPr>
          <w:trHeight w:val="450" w:hRule="exact"/>
        </w:trPr>
        <w:tc>
          <w:tcPr>
            <w:tcW w:w="3134" w:type="dxa"/>
          </w:tcPr>
          <w:p>
            <w:pPr>
              <w:pStyle w:val="TableParagraph"/>
              <w:ind w:left="119"/>
              <w:rPr>
                <w:sz w:val="20"/>
              </w:rPr>
            </w:pPr>
            <w:r>
              <w:rPr>
                <w:sz w:val="20"/>
              </w:rPr>
              <w:t>Job design</w:t>
            </w:r>
          </w:p>
        </w:tc>
        <w:tc>
          <w:tcPr>
            <w:tcW w:w="956" w:type="dxa"/>
          </w:tcPr>
          <w:p>
            <w:pPr>
              <w:pStyle w:val="TableParagraph"/>
              <w:ind w:left="119" w:right="141"/>
              <w:rPr>
                <w:sz w:val="20"/>
              </w:rPr>
            </w:pPr>
            <w:r>
              <w:rPr>
                <w:sz w:val="20"/>
              </w:rPr>
              <w:t>31</w:t>
            </w:r>
          </w:p>
        </w:tc>
        <w:tc>
          <w:tcPr>
            <w:tcW w:w="924" w:type="dxa"/>
          </w:tcPr>
          <w:p>
            <w:pPr>
              <w:pStyle w:val="TableParagraph"/>
              <w:ind w:left="211"/>
              <w:rPr>
                <w:sz w:val="20"/>
              </w:rPr>
            </w:pPr>
            <w:r>
              <w:rPr>
                <w:sz w:val="20"/>
              </w:rPr>
              <w:t>7</w:t>
            </w:r>
          </w:p>
        </w:tc>
        <w:tc>
          <w:tcPr>
            <w:tcW w:w="941" w:type="dxa"/>
          </w:tcPr>
          <w:p>
            <w:pPr>
              <w:pStyle w:val="TableParagraph"/>
              <w:ind w:right="126"/>
              <w:rPr>
                <w:sz w:val="20"/>
              </w:rPr>
            </w:pPr>
            <w:r>
              <w:rPr>
                <w:sz w:val="20"/>
              </w:rPr>
              <w:t>27</w:t>
            </w:r>
          </w:p>
        </w:tc>
        <w:tc>
          <w:tcPr>
            <w:tcW w:w="924" w:type="dxa"/>
          </w:tcPr>
          <w:p>
            <w:pPr>
              <w:pStyle w:val="TableParagraph"/>
              <w:ind w:left="211"/>
              <w:rPr>
                <w:sz w:val="20"/>
              </w:rPr>
            </w:pPr>
            <w:r>
              <w:rPr>
                <w:sz w:val="20"/>
              </w:rPr>
              <w:t>4</w:t>
            </w:r>
          </w:p>
        </w:tc>
      </w:tr>
      <w:tr>
        <w:trPr>
          <w:trHeight w:val="450" w:hRule="exact"/>
        </w:trPr>
        <w:tc>
          <w:tcPr>
            <w:tcW w:w="3134" w:type="dxa"/>
          </w:tcPr>
          <w:p>
            <w:pPr>
              <w:pStyle w:val="TableParagraph"/>
              <w:ind w:left="119"/>
              <w:rPr>
                <w:sz w:val="20"/>
              </w:rPr>
            </w:pPr>
            <w:r>
              <w:rPr>
                <w:sz w:val="20"/>
              </w:rPr>
              <w:t>Communication, consultation, EI</w:t>
            </w:r>
          </w:p>
        </w:tc>
        <w:tc>
          <w:tcPr>
            <w:tcW w:w="956" w:type="dxa"/>
          </w:tcPr>
          <w:p>
            <w:pPr>
              <w:pStyle w:val="TableParagraph"/>
              <w:ind w:left="119" w:right="141"/>
              <w:rPr>
                <w:sz w:val="20"/>
              </w:rPr>
            </w:pPr>
            <w:r>
              <w:rPr>
                <w:sz w:val="20"/>
              </w:rPr>
              <w:t>43</w:t>
            </w:r>
          </w:p>
        </w:tc>
        <w:tc>
          <w:tcPr>
            <w:tcW w:w="924" w:type="dxa"/>
          </w:tcPr>
          <w:p>
            <w:pPr>
              <w:pStyle w:val="TableParagraph"/>
              <w:ind w:right="108"/>
              <w:rPr>
                <w:sz w:val="20"/>
              </w:rPr>
            </w:pPr>
            <w:r>
              <w:rPr>
                <w:sz w:val="20"/>
              </w:rPr>
              <w:t>23</w:t>
            </w:r>
          </w:p>
        </w:tc>
        <w:tc>
          <w:tcPr>
            <w:tcW w:w="941" w:type="dxa"/>
          </w:tcPr>
          <w:p>
            <w:pPr>
              <w:pStyle w:val="TableParagraph"/>
              <w:ind w:right="126"/>
              <w:rPr>
                <w:sz w:val="20"/>
              </w:rPr>
            </w:pPr>
            <w:r>
              <w:rPr>
                <w:sz w:val="20"/>
              </w:rPr>
              <w:t>39</w:t>
            </w:r>
          </w:p>
        </w:tc>
        <w:tc>
          <w:tcPr>
            <w:tcW w:w="924" w:type="dxa"/>
          </w:tcPr>
          <w:p>
            <w:pPr>
              <w:pStyle w:val="TableParagraph"/>
              <w:ind w:right="108"/>
              <w:rPr>
                <w:sz w:val="20"/>
              </w:rPr>
            </w:pPr>
            <w:r>
              <w:rPr>
                <w:sz w:val="20"/>
              </w:rPr>
              <w:t>12</w:t>
            </w:r>
          </w:p>
        </w:tc>
      </w:tr>
      <w:tr>
        <w:trPr>
          <w:trHeight w:val="450" w:hRule="exact"/>
        </w:trPr>
        <w:tc>
          <w:tcPr>
            <w:tcW w:w="3134" w:type="dxa"/>
          </w:tcPr>
          <w:p>
            <w:pPr>
              <w:pStyle w:val="TableParagraph"/>
              <w:ind w:left="119"/>
              <w:rPr>
                <w:sz w:val="20"/>
              </w:rPr>
            </w:pPr>
            <w:r>
              <w:rPr>
                <w:sz w:val="20"/>
              </w:rPr>
              <w:t>Financial ﬂexibility</w:t>
            </w:r>
          </w:p>
        </w:tc>
        <w:tc>
          <w:tcPr>
            <w:tcW w:w="956" w:type="dxa"/>
          </w:tcPr>
          <w:p>
            <w:pPr>
              <w:pStyle w:val="TableParagraph"/>
              <w:ind w:left="119" w:right="141"/>
              <w:rPr>
                <w:sz w:val="20"/>
              </w:rPr>
            </w:pPr>
            <w:r>
              <w:rPr>
                <w:sz w:val="20"/>
              </w:rPr>
              <w:t>24</w:t>
            </w:r>
          </w:p>
        </w:tc>
        <w:tc>
          <w:tcPr>
            <w:tcW w:w="924" w:type="dxa"/>
          </w:tcPr>
          <w:p>
            <w:pPr>
              <w:pStyle w:val="TableParagraph"/>
              <w:ind w:left="211"/>
              <w:rPr>
                <w:sz w:val="20"/>
              </w:rPr>
            </w:pPr>
            <w:r>
              <w:rPr>
                <w:sz w:val="20"/>
              </w:rPr>
              <w:t>9</w:t>
            </w:r>
          </w:p>
        </w:tc>
        <w:tc>
          <w:tcPr>
            <w:tcW w:w="941" w:type="dxa"/>
          </w:tcPr>
          <w:p>
            <w:pPr>
              <w:pStyle w:val="TableParagraph"/>
              <w:ind w:right="126"/>
              <w:rPr>
                <w:sz w:val="20"/>
              </w:rPr>
            </w:pPr>
            <w:r>
              <w:rPr>
                <w:sz w:val="20"/>
              </w:rPr>
              <w:t>22</w:t>
            </w:r>
          </w:p>
        </w:tc>
        <w:tc>
          <w:tcPr>
            <w:tcW w:w="924" w:type="dxa"/>
          </w:tcPr>
          <w:p>
            <w:pPr>
              <w:pStyle w:val="TableParagraph"/>
              <w:ind w:left="211"/>
              <w:rPr>
                <w:sz w:val="20"/>
              </w:rPr>
            </w:pPr>
            <w:r>
              <w:rPr>
                <w:sz w:val="20"/>
              </w:rPr>
              <w:t>6</w:t>
            </w:r>
          </w:p>
        </w:tc>
      </w:tr>
      <w:tr>
        <w:trPr>
          <w:trHeight w:val="450" w:hRule="exact"/>
        </w:trPr>
        <w:tc>
          <w:tcPr>
            <w:tcW w:w="3134" w:type="dxa"/>
          </w:tcPr>
          <w:p>
            <w:pPr>
              <w:pStyle w:val="TableParagraph"/>
              <w:ind w:left="119"/>
              <w:rPr>
                <w:sz w:val="20"/>
              </w:rPr>
            </w:pPr>
            <w:r>
              <w:rPr>
                <w:sz w:val="20"/>
              </w:rPr>
              <w:t>Harmonisation</w:t>
            </w:r>
          </w:p>
        </w:tc>
        <w:tc>
          <w:tcPr>
            <w:tcW w:w="956" w:type="dxa"/>
          </w:tcPr>
          <w:p>
            <w:pPr>
              <w:pStyle w:val="TableParagraph"/>
              <w:ind w:left="119" w:right="141"/>
              <w:rPr>
                <w:sz w:val="20"/>
              </w:rPr>
            </w:pPr>
            <w:r>
              <w:rPr>
                <w:sz w:val="20"/>
              </w:rPr>
              <w:t>32</w:t>
            </w:r>
          </w:p>
        </w:tc>
        <w:tc>
          <w:tcPr>
            <w:tcW w:w="924" w:type="dxa"/>
          </w:tcPr>
          <w:p>
            <w:pPr>
              <w:pStyle w:val="TableParagraph"/>
              <w:ind w:right="108"/>
              <w:rPr>
                <w:sz w:val="20"/>
              </w:rPr>
            </w:pPr>
            <w:r>
              <w:rPr>
                <w:sz w:val="20"/>
              </w:rPr>
              <w:t>20</w:t>
            </w:r>
          </w:p>
        </w:tc>
        <w:tc>
          <w:tcPr>
            <w:tcW w:w="941" w:type="dxa"/>
          </w:tcPr>
          <w:p>
            <w:pPr>
              <w:pStyle w:val="TableParagraph"/>
              <w:ind w:right="126"/>
              <w:rPr>
                <w:sz w:val="20"/>
              </w:rPr>
            </w:pPr>
            <w:r>
              <w:rPr>
                <w:sz w:val="20"/>
              </w:rPr>
              <w:t>34</w:t>
            </w:r>
          </w:p>
        </w:tc>
        <w:tc>
          <w:tcPr>
            <w:tcW w:w="924" w:type="dxa"/>
          </w:tcPr>
          <w:p>
            <w:pPr>
              <w:pStyle w:val="TableParagraph"/>
              <w:ind w:right="108"/>
              <w:rPr>
                <w:sz w:val="20"/>
              </w:rPr>
            </w:pPr>
            <w:r>
              <w:rPr>
                <w:sz w:val="20"/>
              </w:rPr>
              <w:t>17</w:t>
            </w:r>
          </w:p>
        </w:tc>
      </w:tr>
      <w:tr>
        <w:trPr>
          <w:trHeight w:val="721" w:hRule="exact"/>
        </w:trPr>
        <w:tc>
          <w:tcPr>
            <w:tcW w:w="3134" w:type="dxa"/>
          </w:tcPr>
          <w:p>
            <w:pPr>
              <w:pStyle w:val="TableParagraph"/>
              <w:ind w:left="119" w:right="415"/>
              <w:rPr>
                <w:sz w:val="20"/>
              </w:rPr>
            </w:pPr>
            <w:r>
              <w:rPr>
                <w:sz w:val="20"/>
              </w:rPr>
              <w:t>Employment security/labour market practices</w:t>
            </w:r>
          </w:p>
        </w:tc>
        <w:tc>
          <w:tcPr>
            <w:tcW w:w="956" w:type="dxa"/>
          </w:tcPr>
          <w:p>
            <w:pPr>
              <w:pStyle w:val="TableParagraph"/>
              <w:ind w:left="119" w:right="141"/>
              <w:rPr>
                <w:sz w:val="20"/>
              </w:rPr>
            </w:pPr>
            <w:r>
              <w:rPr>
                <w:sz w:val="20"/>
              </w:rPr>
              <w:t>39</w:t>
            </w:r>
          </w:p>
        </w:tc>
        <w:tc>
          <w:tcPr>
            <w:tcW w:w="924" w:type="dxa"/>
          </w:tcPr>
          <w:p>
            <w:pPr>
              <w:pStyle w:val="TableParagraph"/>
              <w:ind w:right="108"/>
              <w:rPr>
                <w:sz w:val="20"/>
              </w:rPr>
            </w:pPr>
            <w:r>
              <w:rPr>
                <w:sz w:val="20"/>
              </w:rPr>
              <w:t>23</w:t>
            </w:r>
          </w:p>
        </w:tc>
        <w:tc>
          <w:tcPr>
            <w:tcW w:w="941" w:type="dxa"/>
          </w:tcPr>
          <w:p>
            <w:pPr>
              <w:pStyle w:val="TableParagraph"/>
              <w:ind w:right="126"/>
              <w:rPr>
                <w:sz w:val="20"/>
              </w:rPr>
            </w:pPr>
            <w:r>
              <w:rPr>
                <w:sz w:val="20"/>
              </w:rPr>
              <w:t>45</w:t>
            </w:r>
          </w:p>
        </w:tc>
        <w:tc>
          <w:tcPr>
            <w:tcW w:w="924" w:type="dxa"/>
          </w:tcPr>
          <w:p>
            <w:pPr>
              <w:pStyle w:val="TableParagraph"/>
              <w:ind w:right="108"/>
              <w:rPr>
                <w:sz w:val="20"/>
              </w:rPr>
            </w:pPr>
            <w:r>
              <w:rPr>
                <w:sz w:val="20"/>
              </w:rPr>
              <w:t>26</w:t>
            </w:r>
          </w:p>
        </w:tc>
      </w:tr>
    </w:tbl>
    <w:p>
      <w:pPr>
        <w:spacing w:before="67"/>
        <w:ind w:left="180" w:right="0" w:firstLine="0"/>
        <w:jc w:val="both"/>
        <w:rPr>
          <w:rFonts w:ascii="Arial Narrow Italic"/>
          <w:i/>
          <w:sz w:val="18"/>
        </w:rPr>
      </w:pPr>
      <w:r>
        <w:rPr>
          <w:rFonts w:ascii="Arial Narrow Italic"/>
          <w:i/>
          <w:sz w:val="18"/>
        </w:rPr>
        <w:t>Source</w:t>
      </w:r>
      <w:r>
        <w:rPr>
          <w:sz w:val="18"/>
        </w:rPr>
        <w:t>: Guest D., Michie J., Sheehan M., Conway N. and Metochi M. </w:t>
      </w:r>
      <w:r>
        <w:rPr>
          <w:rFonts w:ascii="Arial Narrow Italic"/>
          <w:i/>
          <w:sz w:val="18"/>
        </w:rPr>
        <w:t>Effective People  Management:</w:t>
      </w:r>
    </w:p>
    <w:p>
      <w:pPr>
        <w:spacing w:before="4"/>
        <w:ind w:left="180" w:right="0" w:firstLine="0"/>
        <w:jc w:val="both"/>
        <w:rPr>
          <w:sz w:val="18"/>
        </w:rPr>
      </w:pPr>
      <w:r>
        <w:rPr>
          <w:rFonts w:ascii="Arial Narrow Italic" w:hAnsi="Arial Narrow Italic"/>
          <w:i/>
          <w:sz w:val="18"/>
        </w:rPr>
        <w:t>Initial ﬁndings of the Future of Work study</w:t>
      </w:r>
      <w:r>
        <w:rPr>
          <w:sz w:val="18"/>
        </w:rPr>
        <w:t>. London: CIPD. 2000b.  p19</w:t>
      </w:r>
    </w:p>
    <w:p>
      <w:pPr>
        <w:pStyle w:val="BodyText"/>
        <w:spacing w:before="147"/>
        <w:ind w:left="180" w:right="452"/>
        <w:jc w:val="both"/>
      </w:pPr>
      <w:r>
        <w:rPr/>
        <w:t>again because of its impact on employee commitment, contribution and ﬂexibility (Guest </w:t>
      </w:r>
      <w:r>
        <w:rPr>
          <w:rFonts w:ascii="Arial Narrow Italic" w:hAnsi="Arial Narrow Italic"/>
          <w:i/>
        </w:rPr>
        <w:t>et al </w:t>
      </w:r>
      <w:r>
        <w:rPr/>
        <w:t>2000b, p31). In short, the more HR practices that are used, and the more effectively they appear to be used in enhancing organisational performance.</w:t>
      </w:r>
    </w:p>
    <w:p>
      <w:pPr>
        <w:pStyle w:val="BodyText"/>
        <w:spacing w:before="12"/>
        <w:rPr>
          <w:sz w:val="19"/>
        </w:rPr>
      </w:pPr>
    </w:p>
    <w:p>
      <w:pPr>
        <w:pStyle w:val="BodyText"/>
        <w:ind w:left="180" w:right="452"/>
        <w:jc w:val="both"/>
      </w:pPr>
      <w:r>
        <w:rPr/>
        <w:t>The research by West </w:t>
      </w:r>
      <w:r>
        <w:rPr>
          <w:rFonts w:ascii="Arial Narrow Italic" w:hAnsi="Arial Narrow Italic"/>
          <w:i/>
        </w:rPr>
        <w:t>et al </w:t>
      </w:r>
      <w:r>
        <w:rPr/>
        <w:t>(2002) investigated the links between particular HR practices and performance in the NHS, based on interviews/questionnaires with HR managers in 61  separate Trusts. They found that three particular HR practices – training, teamworking and appraisal – had a particularly strong impact on performance. A number of measures were</w:t>
      </w:r>
      <w:r>
        <w:rPr>
          <w:spacing w:val="45"/>
        </w:rPr>
        <w:t> </w:t>
      </w:r>
      <w:r>
        <w:rPr/>
        <w:t>used to assess these practices as we have already indicated earlier in the chapter. Measures of performance included information about mortality rates, waiting times, complaints and ﬁnancial outcomes. This data was gathered by different researchers so as to prevent any possibility of conscious or subconscious inﬂuence on the conclusions. The analysis ‘reveals a strong relationship between HRM practices and mortality’ (2002, p1305), with  appraisal  having the strongest inﬂuence of all. These results have been widely quoted because of the massive potential impact on policy but also because of the ﬁnding that ‘better’ HRM might </w:t>
      </w:r>
      <w:r>
        <w:rPr>
          <w:spacing w:val="45"/>
        </w:rPr>
        <w:t> </w:t>
      </w:r>
      <w:r>
        <w:rPr/>
        <w:t>lead to lower mortality rates. Drawing on this and other research, West </w:t>
      </w:r>
      <w:r>
        <w:rPr>
          <w:rFonts w:ascii="Arial Narrow Italic" w:hAnsi="Arial Narrow Italic"/>
          <w:i/>
        </w:rPr>
        <w:t>et al </w:t>
      </w:r>
      <w:r>
        <w:rPr/>
        <w:t>(2002, p1309) suggest that ‘it may be possible to inﬂuence hospital performance signiﬁcantly  by implementing sophisticated and extensive training and appraisal systems, and encouraging a high percentage of employees to work in teams’. However, the authors do urge caution in assuming any direction of causality, and agree that it could be argued there is less pressure  on staff when the hospital is already achieving low mortality rates – and so more time can be devoted to investments in high commitment HRM (West </w:t>
      </w:r>
      <w:r>
        <w:rPr>
          <w:rFonts w:ascii="Arial Narrow Italic" w:hAnsi="Arial Narrow Italic"/>
          <w:i/>
        </w:rPr>
        <w:t>et al </w:t>
      </w:r>
      <w:r>
        <w:rPr/>
        <w:t>2002,</w:t>
      </w:r>
      <w:r>
        <w:rPr>
          <w:spacing w:val="40"/>
        </w:rPr>
        <w:t> </w:t>
      </w:r>
      <w:r>
        <w:rPr/>
        <w:t>p1308).</w:t>
      </w:r>
    </w:p>
    <w:p>
      <w:pPr>
        <w:pStyle w:val="BodyText"/>
        <w:spacing w:before="12"/>
        <w:rPr>
          <w:sz w:val="19"/>
        </w:rPr>
      </w:pPr>
    </w:p>
    <w:p>
      <w:pPr>
        <w:pStyle w:val="BodyText"/>
        <w:ind w:left="180" w:right="452"/>
        <w:jc w:val="both"/>
      </w:pPr>
      <w:r>
        <w:rPr/>
        <w:t>Subsequent work by David Guest and his colleagues has provided a further twist to the</w:t>
      </w:r>
      <w:r>
        <w:rPr>
          <w:spacing w:val="45"/>
        </w:rPr>
        <w:t> </w:t>
      </w:r>
      <w:r>
        <w:rPr/>
        <w:t>debate</w:t>
      </w:r>
      <w:r>
        <w:rPr>
          <w:spacing w:val="39"/>
        </w:rPr>
        <w:t> </w:t>
      </w:r>
      <w:r>
        <w:rPr/>
        <w:t>(Guest</w:t>
      </w:r>
      <w:r>
        <w:rPr>
          <w:spacing w:val="39"/>
        </w:rPr>
        <w:t> </w:t>
      </w:r>
      <w:r>
        <w:rPr>
          <w:rFonts w:ascii="Arial Narrow Italic"/>
          <w:i/>
        </w:rPr>
        <w:t>et</w:t>
      </w:r>
      <w:r>
        <w:rPr>
          <w:rFonts w:ascii="Arial Narrow Italic"/>
          <w:i/>
          <w:spacing w:val="39"/>
        </w:rPr>
        <w:t> </w:t>
      </w:r>
      <w:r>
        <w:rPr>
          <w:rFonts w:ascii="Arial Narrow Italic"/>
          <w:i/>
        </w:rPr>
        <w:t>al</w:t>
      </w:r>
      <w:r>
        <w:rPr>
          <w:rFonts w:ascii="Arial Narrow Italic"/>
          <w:i/>
          <w:spacing w:val="39"/>
        </w:rPr>
        <w:t> </w:t>
      </w:r>
      <w:r>
        <w:rPr/>
        <w:t>2003).</w:t>
      </w:r>
      <w:r>
        <w:rPr>
          <w:spacing w:val="39"/>
        </w:rPr>
        <w:t> </w:t>
      </w:r>
      <w:r>
        <w:rPr/>
        <w:t>We</w:t>
      </w:r>
      <w:r>
        <w:rPr>
          <w:spacing w:val="39"/>
        </w:rPr>
        <w:t> </w:t>
      </w:r>
      <w:r>
        <w:rPr/>
        <w:t>have</w:t>
      </w:r>
      <w:r>
        <w:rPr>
          <w:spacing w:val="39"/>
        </w:rPr>
        <w:t> </w:t>
      </w:r>
      <w:r>
        <w:rPr/>
        <w:t>already</w:t>
      </w:r>
      <w:r>
        <w:rPr>
          <w:spacing w:val="39"/>
        </w:rPr>
        <w:t> </w:t>
      </w:r>
      <w:r>
        <w:rPr/>
        <w:t>described</w:t>
      </w:r>
      <w:r>
        <w:rPr>
          <w:spacing w:val="39"/>
        </w:rPr>
        <w:t> </w:t>
      </w:r>
      <w:r>
        <w:rPr/>
        <w:t>the</w:t>
      </w:r>
      <w:r>
        <w:rPr>
          <w:spacing w:val="39"/>
        </w:rPr>
        <w:t> </w:t>
      </w:r>
      <w:r>
        <w:rPr/>
        <w:t>data</w:t>
      </w:r>
      <w:r>
        <w:rPr>
          <w:spacing w:val="39"/>
        </w:rPr>
        <w:t> </w:t>
      </w:r>
      <w:r>
        <w:rPr/>
        <w:t>(both</w:t>
      </w:r>
      <w:r>
        <w:rPr>
          <w:spacing w:val="39"/>
        </w:rPr>
        <w:t> </w:t>
      </w:r>
      <w:r>
        <w:rPr/>
        <w:t>HR</w:t>
      </w:r>
      <w:r>
        <w:rPr>
          <w:spacing w:val="39"/>
        </w:rPr>
        <w:t> </w:t>
      </w:r>
      <w:r>
        <w:rPr/>
        <w:t>practices</w:t>
      </w:r>
      <w:r>
        <w:rPr>
          <w:spacing w:val="39"/>
        </w:rPr>
        <w:t> </w:t>
      </w:r>
      <w:r>
        <w:rPr/>
        <w:t>and</w:t>
      </w:r>
    </w:p>
    <w:p>
      <w:pPr>
        <w:spacing w:after="0"/>
        <w:jc w:val="both"/>
        <w:sectPr>
          <w:pgSz w:w="10040" w:h="13950"/>
          <w:pgMar w:header="455" w:footer="527" w:top="640" w:bottom="720" w:left="1400" w:right="1140"/>
        </w:sectPr>
      </w:pPr>
    </w:p>
    <w:p>
      <w:pPr>
        <w:pStyle w:val="BodyText"/>
      </w:pPr>
    </w:p>
    <w:p>
      <w:pPr>
        <w:pStyle w:val="BodyText"/>
        <w:rPr>
          <w:sz w:val="16"/>
        </w:rPr>
      </w:pPr>
    </w:p>
    <w:p>
      <w:pPr>
        <w:pStyle w:val="BodyText"/>
        <w:spacing w:before="1"/>
        <w:ind w:left="460" w:right="192"/>
        <w:jc w:val="both"/>
      </w:pPr>
      <w:r>
        <w:rPr/>
        <w:t>performance measures) on which this research is based earlier in this chapter. The major conclusion (2003, p307) is that ‘the results are very mixed and on balance predominantly negative. The tests of association show a positive relationship between the use of more HR practices and lower labour turnover and higher proﬁtability, but show no association between HR and productivity. The test of whether the presence of more HR practices results in a change in performance shows no signiﬁcant results.’ Moreover, they conclude (Guest </w:t>
      </w:r>
      <w:r>
        <w:rPr>
          <w:rFonts w:ascii="Arial Narrow Italic" w:hAnsi="Arial Narrow Italic"/>
          <w:i/>
        </w:rPr>
        <w:t>et al </w:t>
      </w:r>
      <w:r>
        <w:rPr/>
        <w:t>2003, </w:t>
      </w:r>
      <w:r>
        <w:rPr>
          <w:spacing w:val="-3"/>
        </w:rPr>
        <w:t>p311) </w:t>
      </w:r>
      <w:r>
        <w:rPr/>
        <w:t>that despite showing some strong evidence there are links between high commitment HRM and performance, their study ‘fails to provide any convincing indication that greater application of HRM is likely to result in improved corporate performance’. The key</w:t>
      </w:r>
      <w:r>
        <w:rPr>
          <w:spacing w:val="45"/>
        </w:rPr>
        <w:t> </w:t>
      </w:r>
      <w:r>
        <w:rPr/>
        <w:t>point is that the methods used have a major impact on the results. When subjective performance measures are used, there is a consistently positive message, whereas the associations are less strong and consistent if objective measures of performance are employed. This leads them to suggest, contrary to some of their earlier conclusions, that reverse causality is actually quite likely; that is, rather than seeing HRM as leading to better performance, it could be that proﬁtable organisations have the scope to introduce more high commitment HR policies than their less successful counterparts – a point to which we return later in the</w:t>
      </w:r>
      <w:r>
        <w:rPr>
          <w:spacing w:val="2"/>
        </w:rPr>
        <w:t> </w:t>
      </w:r>
      <w:r>
        <w:rPr/>
        <w:t>chapter.</w:t>
      </w:r>
    </w:p>
    <w:p>
      <w:pPr>
        <w:pStyle w:val="BodyText"/>
        <w:spacing w:before="12"/>
        <w:rPr>
          <w:sz w:val="19"/>
        </w:rPr>
      </w:pPr>
    </w:p>
    <w:p>
      <w:pPr>
        <w:pStyle w:val="BodyText"/>
        <w:ind w:left="460" w:right="192"/>
        <w:jc w:val="both"/>
      </w:pPr>
      <w:r>
        <w:rPr/>
        <w:t>One of the problems with survey research is that, while it may be possible to demonstrate </w:t>
      </w:r>
      <w:r>
        <w:rPr>
          <w:spacing w:val="45"/>
        </w:rPr>
        <w:t> </w:t>
      </w:r>
      <w:r>
        <w:rPr/>
        <w:t>links between HRM and performance, it is unable to explain in any detail why this might happen. Research by John Purcell and his colleagues (Hutchinson and Purcell 2003; Purcell  </w:t>
      </w:r>
      <w:r>
        <w:rPr>
          <w:rFonts w:ascii="Arial Narrow Italic" w:hAnsi="Arial Narrow Italic"/>
          <w:i/>
        </w:rPr>
        <w:t>et al </w:t>
      </w:r>
      <w:r>
        <w:rPr/>
        <w:t>2003) has sought to open up this ‘black box’, and we brieﬂy review some of the major ﬁndings here that relate to high commitment HRM and performance; discussion on the role of line managers is covered more extensively in Chapter 5. The Purcell study was undertaken over a 30-month period in 10 organisations drawn from different sectors and comprising quite  a wide range of employment contexts; the sample included household names such as </w:t>
      </w:r>
      <w:r>
        <w:rPr>
          <w:spacing w:val="-4"/>
        </w:rPr>
        <w:t>Tesco, </w:t>
      </w:r>
      <w:r>
        <w:rPr/>
        <w:t>PricewaterhouseCoopers, Selfridges, Jaguar, Siemens and the Royal United Hospital at Bath. Interviews were conducted with HR and line managers, as well as non-managerial staff, in these organisations, generally on two separate occasions during the research period. The research also involved close liaison with these</w:t>
      </w:r>
      <w:r>
        <w:rPr>
          <w:spacing w:val="27"/>
        </w:rPr>
        <w:t> </w:t>
      </w:r>
      <w:r>
        <w:rPr/>
        <w:t>organisations.</w:t>
      </w:r>
    </w:p>
    <w:p>
      <w:pPr>
        <w:pStyle w:val="BodyText"/>
        <w:spacing w:before="12"/>
        <w:rPr>
          <w:sz w:val="19"/>
        </w:rPr>
      </w:pPr>
    </w:p>
    <w:p>
      <w:pPr>
        <w:pStyle w:val="BodyText"/>
        <w:ind w:left="460" w:right="192"/>
        <w:jc w:val="both"/>
      </w:pPr>
      <w:r>
        <w:rPr/>
        <w:t>There are a number of signiﬁcant ﬁndings that conﬁrm, overturn or extend previous work investigating the links between high commitment HRM and performance.  First,  the researchers used the AMO model, which argues that in order for people to perform better,</w:t>
      </w:r>
      <w:r>
        <w:rPr>
          <w:spacing w:val="45"/>
        </w:rPr>
        <w:t> </w:t>
      </w:r>
      <w:r>
        <w:rPr/>
        <w:t>they</w:t>
      </w:r>
      <w:r>
        <w:rPr>
          <w:spacing w:val="4"/>
        </w:rPr>
        <w:t> </w:t>
      </w:r>
      <w:r>
        <w:rPr/>
        <w:t>must:</w:t>
      </w:r>
    </w:p>
    <w:p>
      <w:pPr>
        <w:pStyle w:val="BodyText"/>
        <w:spacing w:before="12"/>
        <w:rPr>
          <w:sz w:val="19"/>
        </w:rPr>
      </w:pPr>
    </w:p>
    <w:p>
      <w:pPr>
        <w:pStyle w:val="ListParagraph"/>
        <w:numPr>
          <w:ilvl w:val="1"/>
          <w:numId w:val="1"/>
        </w:numPr>
        <w:tabs>
          <w:tab w:pos="1034" w:val="left" w:leader="none"/>
        </w:tabs>
        <w:spacing w:line="240" w:lineRule="auto" w:before="0" w:after="0"/>
        <w:ind w:left="1033" w:right="192" w:hanging="281"/>
        <w:jc w:val="left"/>
        <w:rPr>
          <w:sz w:val="20"/>
        </w:rPr>
      </w:pPr>
      <w:r>
        <w:rPr>
          <w:sz w:val="20"/>
        </w:rPr>
        <w:t>have the </w:t>
      </w:r>
      <w:r>
        <w:rPr>
          <w:rFonts w:ascii="Arial Narrow Italic"/>
          <w:i/>
          <w:sz w:val="20"/>
        </w:rPr>
        <w:t>ability </w:t>
      </w:r>
      <w:r>
        <w:rPr>
          <w:sz w:val="20"/>
        </w:rPr>
        <w:t>and necessary knowledge and skills, including how to work with other people</w:t>
      </w:r>
      <w:r>
        <w:rPr>
          <w:spacing w:val="4"/>
          <w:sz w:val="20"/>
        </w:rPr>
        <w:t> </w:t>
      </w:r>
      <w:r>
        <w:rPr>
          <w:sz w:val="20"/>
        </w:rPr>
        <w:t>(A)</w:t>
      </w:r>
    </w:p>
    <w:p>
      <w:pPr>
        <w:pStyle w:val="ListParagraph"/>
        <w:numPr>
          <w:ilvl w:val="1"/>
          <w:numId w:val="1"/>
        </w:numPr>
        <w:tabs>
          <w:tab w:pos="1034" w:val="left" w:leader="none"/>
        </w:tabs>
        <w:spacing w:line="240" w:lineRule="auto" w:before="56" w:after="0"/>
        <w:ind w:left="1033" w:right="0" w:hanging="281"/>
        <w:jc w:val="left"/>
        <w:rPr>
          <w:sz w:val="20"/>
        </w:rPr>
      </w:pPr>
      <w:r>
        <w:rPr>
          <w:sz w:val="20"/>
        </w:rPr>
        <w:t>be </w:t>
      </w:r>
      <w:r>
        <w:rPr>
          <w:rFonts w:ascii="Arial Narrow Italic"/>
          <w:i/>
          <w:sz w:val="20"/>
        </w:rPr>
        <w:t>motivated </w:t>
      </w:r>
      <w:r>
        <w:rPr>
          <w:sz w:val="20"/>
        </w:rPr>
        <w:t>to work and want to do it well</w:t>
      </w:r>
      <w:r>
        <w:rPr>
          <w:spacing w:val="39"/>
          <w:sz w:val="20"/>
        </w:rPr>
        <w:t> </w:t>
      </w:r>
      <w:r>
        <w:rPr>
          <w:sz w:val="20"/>
        </w:rPr>
        <w:t>(M)</w:t>
      </w:r>
    </w:p>
    <w:p>
      <w:pPr>
        <w:pStyle w:val="ListParagraph"/>
        <w:numPr>
          <w:ilvl w:val="1"/>
          <w:numId w:val="1"/>
        </w:numPr>
        <w:tabs>
          <w:tab w:pos="1034" w:val="left" w:leader="none"/>
        </w:tabs>
        <w:spacing w:line="240" w:lineRule="auto" w:before="56" w:after="0"/>
        <w:ind w:left="1033" w:right="192" w:hanging="281"/>
        <w:jc w:val="left"/>
        <w:rPr>
          <w:sz w:val="20"/>
        </w:rPr>
      </w:pPr>
      <w:r>
        <w:rPr>
          <w:sz w:val="20"/>
        </w:rPr>
        <w:t>be given the </w:t>
      </w:r>
      <w:r>
        <w:rPr>
          <w:rFonts w:ascii="Arial Narrow Italic"/>
          <w:i/>
          <w:sz w:val="20"/>
        </w:rPr>
        <w:t>opportunity </w:t>
      </w:r>
      <w:r>
        <w:rPr>
          <w:sz w:val="20"/>
        </w:rPr>
        <w:t>to deploy their skills both in the job and more broadly contributing to work group and organisational success</w:t>
      </w:r>
      <w:r>
        <w:rPr>
          <w:spacing w:val="27"/>
          <w:sz w:val="20"/>
        </w:rPr>
        <w:t> </w:t>
      </w:r>
      <w:r>
        <w:rPr>
          <w:sz w:val="20"/>
        </w:rPr>
        <w:t>(O).</w:t>
      </w:r>
    </w:p>
    <w:p>
      <w:pPr>
        <w:pStyle w:val="BodyText"/>
        <w:spacing w:before="12"/>
        <w:rPr>
          <w:sz w:val="19"/>
        </w:rPr>
      </w:pPr>
    </w:p>
    <w:p>
      <w:pPr>
        <w:pStyle w:val="BodyText"/>
        <w:ind w:left="460" w:right="192"/>
        <w:jc w:val="both"/>
      </w:pPr>
      <w:r>
        <w:rPr/>
        <w:t>Second, each of the case study organisations was recognised to be operating with a ‘big</w:t>
      </w:r>
      <w:r>
        <w:rPr>
          <w:spacing w:val="45"/>
        </w:rPr>
        <w:t> </w:t>
      </w:r>
      <w:r>
        <w:rPr/>
        <w:t>idea’, a feature or way of working that served to glue together all the different attempts to</w:t>
      </w:r>
      <w:r>
        <w:rPr>
          <w:spacing w:val="45"/>
        </w:rPr>
        <w:t> </w:t>
      </w:r>
      <w:r>
        <w:rPr/>
        <w:t>make the organisation successful. The ‘big idea’ was embedded within the organisation connecting together different activities, it was seen as enduring, and it was  collectively  shared. Moreover, one way or another, performance against or progress towards the big idea was measured and managed in an ongoing basis (p13). Third, line managers were identiﬁed as critically important for the achievement of high performance working as they provide the principal</w:t>
      </w:r>
      <w:r>
        <w:rPr>
          <w:spacing w:val="19"/>
        </w:rPr>
        <w:t> </w:t>
      </w:r>
      <w:r>
        <w:rPr/>
        <w:t>point</w:t>
      </w:r>
      <w:r>
        <w:rPr>
          <w:spacing w:val="19"/>
        </w:rPr>
        <w:t> </w:t>
      </w:r>
      <w:r>
        <w:rPr/>
        <w:t>of</w:t>
      </w:r>
      <w:r>
        <w:rPr>
          <w:spacing w:val="19"/>
        </w:rPr>
        <w:t> </w:t>
      </w:r>
      <w:r>
        <w:rPr/>
        <w:t>contact</w:t>
      </w:r>
      <w:r>
        <w:rPr>
          <w:spacing w:val="19"/>
        </w:rPr>
        <w:t> </w:t>
      </w:r>
      <w:r>
        <w:rPr/>
        <w:t>with</w:t>
      </w:r>
      <w:r>
        <w:rPr>
          <w:spacing w:val="19"/>
        </w:rPr>
        <w:t> </w:t>
      </w:r>
      <w:r>
        <w:rPr/>
        <w:t>non-managerial</w:t>
      </w:r>
      <w:r>
        <w:rPr>
          <w:spacing w:val="19"/>
        </w:rPr>
        <w:t> </w:t>
      </w:r>
      <w:r>
        <w:rPr/>
        <w:t>staff</w:t>
      </w:r>
      <w:r>
        <w:rPr>
          <w:spacing w:val="19"/>
        </w:rPr>
        <w:t> </w:t>
      </w:r>
      <w:r>
        <w:rPr/>
        <w:t>and</w:t>
      </w:r>
      <w:r>
        <w:rPr>
          <w:spacing w:val="19"/>
        </w:rPr>
        <w:t> </w:t>
      </w:r>
      <w:r>
        <w:rPr/>
        <w:t>they</w:t>
      </w:r>
      <w:r>
        <w:rPr>
          <w:spacing w:val="19"/>
        </w:rPr>
        <w:t> </w:t>
      </w:r>
      <w:r>
        <w:rPr/>
        <w:t>are</w:t>
      </w:r>
      <w:r>
        <w:rPr>
          <w:spacing w:val="19"/>
        </w:rPr>
        <w:t> </w:t>
      </w:r>
      <w:r>
        <w:rPr/>
        <w:t>in</w:t>
      </w:r>
      <w:r>
        <w:rPr>
          <w:spacing w:val="19"/>
        </w:rPr>
        <w:t> </w:t>
      </w:r>
      <w:r>
        <w:rPr/>
        <w:t>a</w:t>
      </w:r>
      <w:r>
        <w:rPr>
          <w:spacing w:val="19"/>
        </w:rPr>
        <w:t> </w:t>
      </w:r>
      <w:r>
        <w:rPr/>
        <w:t>position</w:t>
      </w:r>
      <w:r>
        <w:rPr>
          <w:spacing w:val="19"/>
        </w:rPr>
        <w:t> </w:t>
      </w:r>
      <w:r>
        <w:rPr/>
        <w:t>to</w:t>
      </w:r>
      <w:r>
        <w:rPr>
          <w:spacing w:val="19"/>
        </w:rPr>
        <w:t> </w:t>
      </w:r>
      <w:r>
        <w:rPr/>
        <w:t>strengthen,</w:t>
      </w:r>
    </w:p>
    <w:p>
      <w:pPr>
        <w:spacing w:after="0"/>
        <w:jc w:val="both"/>
        <w:sectPr>
          <w:pgSz w:w="10040" w:h="13950"/>
          <w:pgMar w:header="455" w:footer="511" w:top="640" w:bottom="700" w:left="1120" w:right="1400"/>
        </w:sectPr>
      </w:pPr>
    </w:p>
    <w:p>
      <w:pPr>
        <w:pStyle w:val="BodyText"/>
      </w:pPr>
    </w:p>
    <w:p>
      <w:pPr>
        <w:pStyle w:val="BodyText"/>
        <w:rPr>
          <w:sz w:val="16"/>
        </w:rPr>
      </w:pPr>
    </w:p>
    <w:p>
      <w:pPr>
        <w:pStyle w:val="BodyText"/>
        <w:ind w:left="180" w:right="452"/>
        <w:jc w:val="both"/>
      </w:pPr>
      <w:r>
        <w:rPr/>
        <w:t>ignore or even undermine the messages conveyed through the big idea. Finally, measures of performance were adapted so they were particularly relevant for the organisation concerned; for example, at </w:t>
      </w:r>
      <w:r>
        <w:rPr>
          <w:spacing w:val="-4"/>
        </w:rPr>
        <w:t>Tesco </w:t>
      </w:r>
      <w:r>
        <w:rPr/>
        <w:t>these included data on queue lengths, stock availability, theft and stock errors as well as ﬁnancial data relating to the store (pp53–54). The decision to collect this </w:t>
      </w:r>
      <w:r>
        <w:rPr>
          <w:spacing w:val="45"/>
        </w:rPr>
        <w:t> </w:t>
      </w:r>
      <w:r>
        <w:rPr/>
        <w:t>data at unit level makes considerable sense, and it is a much more meaningful measure of how workers might be able to contribute to improved performance than some distant measure of proﬁtability over which most workers have little inﬂuence. Indeed, it could be argued that it also makes sense to vary the measures of high commitment HRM depending on the  workplace because workers are likely to stress different practices depending on their occupational status, age or gender for</w:t>
      </w:r>
      <w:r>
        <w:rPr>
          <w:spacing w:val="23"/>
        </w:rPr>
        <w:t> </w:t>
      </w:r>
      <w:r>
        <w:rPr/>
        <w:t>example.</w:t>
      </w:r>
    </w:p>
    <w:p>
      <w:pPr>
        <w:pStyle w:val="BodyText"/>
        <w:spacing w:before="3"/>
        <w:rPr>
          <w:sz w:val="13"/>
        </w:rPr>
      </w:pPr>
      <w:r>
        <w:rPr/>
        <w:pict>
          <v:group style="position:absolute;margin-left:79.004013pt;margin-top:9.926342pt;width:343pt;height:52.15pt;mso-position-horizontal-relative:page;mso-position-vertical-relative:paragraph;z-index:1696;mso-wrap-distance-left:0;mso-wrap-distance-right:0" coordorigin="1580,199" coordsize="6860,1043">
            <v:rect style="position:absolute;left:1670;top:309;width:6765;height:928" filled="true" fillcolor="#5e792d" stroked="false">
              <v:fill type="solid"/>
            </v:rect>
            <v:rect style="position:absolute;left:1670;top:309;width:6765;height:928" filled="false" stroked="true" strokeweight=".5pt" strokecolor="#5e792d"/>
            <v:shape style="position:absolute;left:1580;top:199;width:6775;height:958" type="#_x0000_t202" filled="true" fillcolor="#eff2ea" stroked="false">
              <v:textbox inset="0,0,0,0">
                <w:txbxContent>
                  <w:p>
                    <w:pPr>
                      <w:spacing w:before="107"/>
                      <w:ind w:left="159" w:right="158" w:firstLine="0"/>
                      <w:jc w:val="both"/>
                      <w:rPr>
                        <w:sz w:val="20"/>
                      </w:rPr>
                    </w:pPr>
                    <w:r>
                      <w:rPr>
                        <w:sz w:val="20"/>
                      </w:rPr>
                      <w:t>Find a copy of one or more these surveys – or any others that are available – and analyse the links between high commitment HRM and performance. Prepare a presentation on the beneﬁts that can be gained from investing in high commitment HRM.</w:t>
                    </w:r>
                  </w:p>
                </w:txbxContent>
              </v:textbox>
              <v:fill type="solid"/>
              <w10:wrap type="none"/>
            </v:shape>
            <w10:wrap type="topAndBottom"/>
          </v:group>
        </w:pict>
      </w:r>
    </w:p>
    <w:p>
      <w:pPr>
        <w:pStyle w:val="BodyText"/>
        <w:spacing w:before="7"/>
        <w:rPr>
          <w:sz w:val="9"/>
        </w:rPr>
      </w:pPr>
    </w:p>
    <w:p>
      <w:pPr>
        <w:pStyle w:val="Heading1"/>
        <w:spacing w:line="240" w:lineRule="exact" w:before="102"/>
        <w:jc w:val="left"/>
      </w:pPr>
      <w:r>
        <w:rPr>
          <w:color w:val="5E792D"/>
        </w:rPr>
        <w:t>RAISING QUESTIONS ABOUT THE HRM–PERFORMANCE LINK </w:t>
      </w:r>
    </w:p>
    <w:p>
      <w:pPr>
        <w:pStyle w:val="BodyText"/>
        <w:spacing w:before="81"/>
        <w:ind w:left="180" w:right="452"/>
        <w:jc w:val="both"/>
      </w:pPr>
      <w:r>
        <w:rPr/>
        <w:t>Persuasive as they might appear, and attractive as they might be to HR professionals, studies that argue high commitment HRM leads to improved levels of performance have not escaped criticism, including – as we have seen – some by the authors themselves. Drawing on a number of sources (eg Holman </w:t>
      </w:r>
      <w:r>
        <w:rPr>
          <w:rFonts w:ascii="Arial Narrow Italic" w:hAnsi="Arial Narrow Italic"/>
          <w:i/>
        </w:rPr>
        <w:t>et al </w:t>
      </w:r>
      <w:r>
        <w:rPr/>
        <w:t>2003: Wright and Gardner, 2003; Godard, 2004), some   of the major concerns are outlined</w:t>
      </w:r>
      <w:r>
        <w:rPr>
          <w:spacing w:val="14"/>
        </w:rPr>
        <w:t> </w:t>
      </w:r>
      <w:r>
        <w:rPr/>
        <w:t>below.</w:t>
      </w:r>
    </w:p>
    <w:p>
      <w:pPr>
        <w:pStyle w:val="BodyText"/>
        <w:spacing w:before="8"/>
        <w:rPr>
          <w:sz w:val="16"/>
        </w:rPr>
      </w:pPr>
    </w:p>
    <w:p>
      <w:pPr>
        <w:pStyle w:val="Heading1"/>
      </w:pPr>
      <w:r>
        <w:rPr>
          <w:color w:val="5E792D"/>
        </w:rPr>
        <w:t>Questions about the direction of causality and the ‘black box’</w:t>
      </w:r>
    </w:p>
    <w:p>
      <w:pPr>
        <w:pStyle w:val="BodyText"/>
        <w:spacing w:before="48"/>
        <w:ind w:left="180" w:right="452"/>
        <w:jc w:val="both"/>
      </w:pPr>
      <w:r>
        <w:rPr/>
        <w:t>It will be apparent from the earlier discussion that this is a major issue, and much depends on the theoretical framework adopted by the researcher. Conceptually, it is equally likely that the use of a strong bundle of high commitment HR practices could lead to improved performance, at least at workplace level, as it is that high commitment HRM is made possible and paid for  by high levels of organisational performance. As we saw earlier in the chapter, questions will remain until there is more longitudinal research and greater efforts have been made to open  up the ‘black box’ by tracking organisational changes via case</w:t>
      </w:r>
      <w:r>
        <w:rPr>
          <w:spacing w:val="33"/>
        </w:rPr>
        <w:t> </w:t>
      </w:r>
      <w:r>
        <w:rPr/>
        <w:t>studies.</w:t>
      </w:r>
    </w:p>
    <w:p>
      <w:pPr>
        <w:pStyle w:val="BodyText"/>
        <w:spacing w:before="8"/>
        <w:rPr>
          <w:sz w:val="16"/>
        </w:rPr>
      </w:pPr>
    </w:p>
    <w:p>
      <w:pPr>
        <w:pStyle w:val="Heading1"/>
      </w:pPr>
      <w:r>
        <w:rPr>
          <w:color w:val="5E792D"/>
        </w:rPr>
        <w:t>Little consistency in the HR practices included in the bundle</w:t>
      </w:r>
    </w:p>
    <w:p>
      <w:pPr>
        <w:pStyle w:val="BodyText"/>
        <w:spacing w:before="48"/>
        <w:ind w:left="180" w:right="452"/>
        <w:jc w:val="both"/>
      </w:pPr>
      <w:r>
        <w:rPr/>
        <w:t>The number of HR practices in each of the lists varies substantially (from as few as six or seven to twenty or more) as does the inclusion or exclusion of speciﬁc techniques. For example, despite the importance attached to employment security by Pfeffer, this is not included in several of the lists (eg Delaney and Huselid 1996; Patterson </w:t>
      </w:r>
      <w:r>
        <w:rPr>
          <w:rFonts w:ascii="Arial Narrow Italic" w:hAnsi="Arial Narrow Italic"/>
          <w:i/>
        </w:rPr>
        <w:t>et al </w:t>
      </w:r>
      <w:r>
        <w:rPr/>
        <w:t>1997; Wood  </w:t>
      </w:r>
      <w:r>
        <w:rPr>
          <w:spacing w:val="45"/>
        </w:rPr>
        <w:t> </w:t>
      </w:r>
      <w:r>
        <w:rPr/>
        <w:t>and de Menezes 1998). Similarly, while some authors include measures of employee voice other than that achieved through self-managed teams and employee involvement, Pfeffer</w:t>
      </w:r>
      <w:r>
        <w:rPr>
          <w:spacing w:val="45"/>
        </w:rPr>
        <w:t> </w:t>
      </w:r>
      <w:r>
        <w:rPr/>
        <w:t>does not. Perhaps this does not matter if we are clear as to why certain HR practices should  be included, but that does not seem to be the case. As Wood (2003, p280) argues, it is much more important to focus on an underlying orientation for integrated management or high commitment HRM that may be reﬂected in slightly different types of practice rather than spending time trying to identify a set of practices that might be appropriate across all workplaces. However, far too often, the lists seem to be developed on the basis of individual preference, by looking at what other researchers have used or by constructing groupings of practices on the basis of factor analysis, and then attempting to impose some theoretical justiﬁcation</w:t>
      </w:r>
      <w:r>
        <w:rPr>
          <w:spacing w:val="13"/>
        </w:rPr>
        <w:t> </w:t>
      </w:r>
      <w:r>
        <w:rPr/>
        <w:t>for</w:t>
      </w:r>
      <w:r>
        <w:rPr>
          <w:spacing w:val="13"/>
        </w:rPr>
        <w:t> </w:t>
      </w:r>
      <w:r>
        <w:rPr/>
        <w:t>this</w:t>
      </w:r>
      <w:r>
        <w:rPr>
          <w:spacing w:val="13"/>
        </w:rPr>
        <w:t> </w:t>
      </w:r>
      <w:r>
        <w:rPr/>
        <w:t>ex-post</w:t>
      </w:r>
      <w:r>
        <w:rPr>
          <w:spacing w:val="13"/>
        </w:rPr>
        <w:t> </w:t>
      </w:r>
      <w:r>
        <w:rPr/>
        <w:t>facto.</w:t>
      </w:r>
      <w:r>
        <w:rPr>
          <w:spacing w:val="13"/>
        </w:rPr>
        <w:t> </w:t>
      </w:r>
      <w:r>
        <w:rPr/>
        <w:t>Of</w:t>
      </w:r>
      <w:r>
        <w:rPr>
          <w:spacing w:val="13"/>
        </w:rPr>
        <w:t> </w:t>
      </w:r>
      <w:r>
        <w:rPr/>
        <w:t>those</w:t>
      </w:r>
      <w:r>
        <w:rPr>
          <w:spacing w:val="13"/>
        </w:rPr>
        <w:t> </w:t>
      </w:r>
      <w:r>
        <w:rPr/>
        <w:t>that</w:t>
      </w:r>
      <w:r>
        <w:rPr>
          <w:spacing w:val="13"/>
        </w:rPr>
        <w:t> </w:t>
      </w:r>
      <w:r>
        <w:rPr/>
        <w:t>do</w:t>
      </w:r>
      <w:r>
        <w:rPr>
          <w:spacing w:val="13"/>
        </w:rPr>
        <w:t> </w:t>
      </w:r>
      <w:r>
        <w:rPr/>
        <w:t>have</w:t>
      </w:r>
      <w:r>
        <w:rPr>
          <w:spacing w:val="13"/>
        </w:rPr>
        <w:t> </w:t>
      </w:r>
      <w:r>
        <w:rPr/>
        <w:t>a</w:t>
      </w:r>
      <w:r>
        <w:rPr>
          <w:spacing w:val="13"/>
        </w:rPr>
        <w:t> </w:t>
      </w:r>
      <w:r>
        <w:rPr/>
        <w:t>theoretical</w:t>
      </w:r>
      <w:r>
        <w:rPr>
          <w:spacing w:val="13"/>
        </w:rPr>
        <w:t> </w:t>
      </w:r>
      <w:r>
        <w:rPr/>
        <w:t>model</w:t>
      </w:r>
      <w:r>
        <w:rPr>
          <w:spacing w:val="13"/>
        </w:rPr>
        <w:t> </w:t>
      </w:r>
      <w:r>
        <w:rPr/>
        <w:t>to</w:t>
      </w:r>
      <w:r>
        <w:rPr>
          <w:spacing w:val="13"/>
        </w:rPr>
        <w:t> </w:t>
      </w:r>
      <w:r>
        <w:rPr/>
        <w:t>underpin</w:t>
      </w:r>
      <w:r>
        <w:rPr>
          <w:spacing w:val="13"/>
        </w:rPr>
        <w:t> </w:t>
      </w:r>
      <w:r>
        <w:rPr/>
        <w:t>their</w:t>
      </w:r>
    </w:p>
    <w:p>
      <w:pPr>
        <w:spacing w:after="0"/>
        <w:jc w:val="both"/>
        <w:sectPr>
          <w:pgSz w:w="10040" w:h="13950"/>
          <w:pgMar w:header="455" w:footer="527" w:top="640" w:bottom="720" w:left="1400" w:right="1140"/>
        </w:sectPr>
      </w:pPr>
    </w:p>
    <w:p>
      <w:pPr>
        <w:pStyle w:val="BodyText"/>
      </w:pPr>
    </w:p>
    <w:p>
      <w:pPr>
        <w:pStyle w:val="BodyText"/>
        <w:rPr>
          <w:sz w:val="16"/>
        </w:rPr>
      </w:pPr>
    </w:p>
    <w:p>
      <w:pPr>
        <w:pStyle w:val="BodyText"/>
        <w:spacing w:before="1"/>
        <w:ind w:left="460" w:right="192"/>
        <w:jc w:val="both"/>
      </w:pPr>
      <w:r>
        <w:rPr/>
        <w:t>approach, even then it is not always clear why certain practices are included and others are not. For example, Huselid (1995, pp645–647) uses two groups of practices,  entitled</w:t>
      </w:r>
      <w:r>
        <w:rPr>
          <w:spacing w:val="45"/>
        </w:rPr>
        <w:t> </w:t>
      </w:r>
      <w:r>
        <w:rPr/>
        <w:t>‘employee skills and organisational structures’ – which includes job design, enhanced selectivity, formal training, various forms of participation, and proﬁt sharing – and ‘employee motivation’ – which comprises performance appraisal linked to compensation and a focus on merit in promotion decisions. It seems strange that participation and proﬁt sharing should be   in the ﬁrst grouping rather than the second given the supposed importance of these as techniques that enhance employee motivation. Patterson </w:t>
      </w:r>
      <w:r>
        <w:rPr>
          <w:rFonts w:ascii="Arial Narrow Italic" w:hAnsi="Arial Narrow Italic"/>
          <w:i/>
        </w:rPr>
        <w:t>et al </w:t>
      </w:r>
      <w:r>
        <w:rPr/>
        <w:t>(1997) also emerge with two groups of practices, subtitled ‘acquisition and development of employee skills’ and  ‘job  design’, and on this occasion, participation and teamworking ﬁnd their way into the second grouping rather than the ﬁrst. In short, a simple count of how many HR practices are used</w:t>
      </w:r>
      <w:r>
        <w:rPr>
          <w:spacing w:val="45"/>
        </w:rPr>
        <w:t> </w:t>
      </w:r>
      <w:r>
        <w:rPr/>
        <w:t>tells us little of any theoretical</w:t>
      </w:r>
      <w:r>
        <w:rPr>
          <w:spacing w:val="23"/>
        </w:rPr>
        <w:t> </w:t>
      </w:r>
      <w:r>
        <w:rPr/>
        <w:t>value.</w:t>
      </w:r>
    </w:p>
    <w:p>
      <w:pPr>
        <w:pStyle w:val="BodyText"/>
        <w:spacing w:before="8"/>
        <w:rPr>
          <w:sz w:val="16"/>
        </w:rPr>
      </w:pPr>
    </w:p>
    <w:p>
      <w:pPr>
        <w:pStyle w:val="Heading1"/>
        <w:ind w:left="460"/>
      </w:pPr>
      <w:r>
        <w:rPr>
          <w:color w:val="5E792D"/>
        </w:rPr>
        <w:t>Variations in the proxies used to measure high commitment HRM</w:t>
      </w:r>
    </w:p>
    <w:p>
      <w:pPr>
        <w:pStyle w:val="BodyText"/>
        <w:spacing w:before="48"/>
        <w:ind w:left="460" w:right="192"/>
        <w:jc w:val="both"/>
      </w:pPr>
      <w:r>
        <w:rPr/>
        <w:t>The studies use a range of different proxies for the same HR practice. For example, some  </w:t>
      </w:r>
      <w:r>
        <w:rPr>
          <w:spacing w:val="45"/>
        </w:rPr>
        <w:t> </w:t>
      </w:r>
      <w:r>
        <w:rPr/>
        <w:t>are straight yes/no or absence/presence type measures whereas others ask for the</w:t>
      </w:r>
      <w:r>
        <w:rPr>
          <w:spacing w:val="45"/>
        </w:rPr>
        <w:t> </w:t>
      </w:r>
      <w:r>
        <w:rPr/>
        <w:t>percentage of the workforce covered by a particular aspect of HRM – such as performance- related </w:t>
      </w:r>
      <w:r>
        <w:rPr>
          <w:spacing w:val="-3"/>
        </w:rPr>
        <w:t>pay. </w:t>
      </w:r>
      <w:r>
        <w:rPr/>
        <w:t>In some cases, the proportions vary between studies with, say 25 per cent in one and 90 per cent in another. Worse still, they can vary within a particular study between</w:t>
      </w:r>
      <w:r>
        <w:rPr>
          <w:spacing w:val="45"/>
        </w:rPr>
        <w:t> </w:t>
      </w:r>
      <w:r>
        <w:rPr/>
        <w:t>different items. Differences in the way in which practices are counted as present or absent have a major effect on the construction of the overall bundle, and it is rare for there to be an explicit discussion as to why certain levels have been set. Notably, Guest </w:t>
      </w:r>
      <w:r>
        <w:rPr>
          <w:rFonts w:ascii="Arial Narrow Italic" w:hAnsi="Arial Narrow Italic"/>
          <w:i/>
        </w:rPr>
        <w:t>et al </w:t>
      </w:r>
      <w:r>
        <w:rPr/>
        <w:t>(2000b) do openly explain why they went for a ﬁgure of 90 per cent in some of their questions. More seriously, the mere absence or presence of a practice is irrelevant because what matters is how this is used and what impact it has on the people employed and on organisational performance. </w:t>
      </w:r>
      <w:r>
        <w:rPr>
          <w:spacing w:val="-5"/>
        </w:rPr>
        <w:t>Take </w:t>
      </w:r>
      <w:r>
        <w:rPr/>
        <w:t>the example of grievance procedures; these are almost universally employed in organisations, so a proxy based around absence or presence tells us nothing about how people take up grievances, how many they take up, and whether they regard the processes as open and reasonable – arguably more important as a differentiator. A similar point arises in relation to days spent on training. Knowing that the typical employee is trained for about ﬁve days per annum is hardly evidence of high commitment HRM if they are trained merely in how to conform to strict rules and procedures – as sometimes happens in call centres (Sturdy </w:t>
      </w:r>
      <w:r>
        <w:rPr>
          <w:rFonts w:ascii="Arial Narrow Italic" w:hAnsi="Arial Narrow Italic"/>
          <w:i/>
        </w:rPr>
        <w:t>et al </w:t>
      </w:r>
      <w:r>
        <w:rPr/>
        <w:t>2001). Moreover, potential problems also arise when compiling scores of high commitment HRM in deciding whether or not each practice should be weighted equally. This is clearly a problem where there are more measures of a particular item than others, for example as often occurs with EI. It is possible in this situation that the overall measure gives too much weight to one factor compared with others. Moreover, what happens when, as in  </w:t>
      </w:r>
      <w:r>
        <w:rPr>
          <w:spacing w:val="45"/>
        </w:rPr>
        <w:t> </w:t>
      </w:r>
      <w:r>
        <w:rPr/>
        <w:t>the WERS analysis, one practice is widely used – such as a formal statement on equal opportunities – and another, such as job security, is rarely provided? Do these deserve to be equally weighted or is the use of a relatively rare practice something that differentiates organisations from their</w:t>
      </w:r>
      <w:r>
        <w:rPr>
          <w:spacing w:val="11"/>
        </w:rPr>
        <w:t> </w:t>
      </w:r>
      <w:r>
        <w:rPr/>
        <w:t>competitors.</w:t>
      </w:r>
    </w:p>
    <w:p>
      <w:pPr>
        <w:pStyle w:val="BodyText"/>
        <w:spacing w:before="8"/>
        <w:rPr>
          <w:sz w:val="16"/>
        </w:rPr>
      </w:pPr>
    </w:p>
    <w:p>
      <w:pPr>
        <w:pStyle w:val="Heading1"/>
        <w:ind w:left="460"/>
      </w:pPr>
      <w:r>
        <w:rPr>
          <w:color w:val="5E792D"/>
        </w:rPr>
        <w:t>Variations in the proxies used to measure performance</w:t>
      </w:r>
    </w:p>
    <w:p>
      <w:pPr>
        <w:pStyle w:val="BodyText"/>
        <w:spacing w:before="48"/>
        <w:ind w:left="460" w:right="192"/>
        <w:jc w:val="both"/>
      </w:pPr>
      <w:r>
        <w:rPr/>
        <w:t>One of the major problems is the different types of performance measure that are used, in particular whether they are based on objective or subjective assessments. Many of  the studies have focused on the former, using measures of organisational performance such as proﬁtability that have very little obvious linkage with the efforts of individual workers, even though ultimately this is what matters to organisations. This is clearly problematic in multiplant organisations within the same industry, and even more complicated in conglomerates that operate across a range of sectors and countries, as well as in public–private partnerships </w:t>
      </w:r>
      <w:r>
        <w:rPr>
          <w:spacing w:val="24"/>
        </w:rPr>
        <w:t> </w:t>
      </w:r>
      <w:r>
        <w:rPr/>
        <w:t>and</w:t>
      </w:r>
    </w:p>
    <w:p>
      <w:pPr>
        <w:spacing w:after="0"/>
        <w:jc w:val="both"/>
        <w:sectPr>
          <w:pgSz w:w="10040" w:h="13950"/>
          <w:pgMar w:header="455" w:footer="511" w:top="640" w:bottom="700" w:left="1120" w:right="1400"/>
        </w:sectPr>
      </w:pPr>
    </w:p>
    <w:p>
      <w:pPr>
        <w:pStyle w:val="BodyText"/>
      </w:pPr>
    </w:p>
    <w:p>
      <w:pPr>
        <w:pStyle w:val="BodyText"/>
        <w:rPr>
          <w:sz w:val="16"/>
        </w:rPr>
      </w:pPr>
    </w:p>
    <w:p>
      <w:pPr>
        <w:pStyle w:val="BodyText"/>
        <w:ind w:left="180" w:right="452"/>
        <w:jc w:val="both"/>
      </w:pPr>
      <w:r>
        <w:rPr/>
        <w:t>interorganisational networks where it is hard to establish identiﬁable boundaries between</w:t>
      </w:r>
      <w:r>
        <w:rPr>
          <w:spacing w:val="45"/>
        </w:rPr>
        <w:t> </w:t>
      </w:r>
      <w:r>
        <w:rPr/>
        <w:t>them. Questions can also be raised about the appropriateness of the measures used to</w:t>
      </w:r>
      <w:r>
        <w:rPr>
          <w:spacing w:val="45"/>
        </w:rPr>
        <w:t> </w:t>
      </w:r>
      <w:r>
        <w:rPr/>
        <w:t>assess performance; in the West </w:t>
      </w:r>
      <w:r>
        <w:rPr>
          <w:rFonts w:ascii="Arial Narrow Italic" w:hAnsi="Arial Narrow Italic"/>
          <w:i/>
        </w:rPr>
        <w:t>et al </w:t>
      </w:r>
      <w:r>
        <w:rPr/>
        <w:t>(2002) study, for example, one measure was the number of deaths following hip surgery. Clearly, death during surgery is a major problem – </w:t>
      </w:r>
      <w:r>
        <w:rPr>
          <w:spacing w:val="45"/>
        </w:rPr>
        <w:t> </w:t>
      </w:r>
      <w:r>
        <w:rPr/>
        <w:t>not least to the patient – but a more appropriate measure of success could be how well the person felt a few months later or whether the new hip actually provided them with a better quality of life. Other studies have asked HR managers or managing directors to estimate how well their organisation is performing compared with others in the same sector. Although there is some research that shows consistency between objective and subjective assessments </w:t>
      </w:r>
      <w:r>
        <w:rPr>
          <w:spacing w:val="45"/>
        </w:rPr>
        <w:t> </w:t>
      </w:r>
      <w:r>
        <w:rPr/>
        <w:t>(Wall </w:t>
      </w:r>
      <w:r>
        <w:rPr>
          <w:rFonts w:ascii="Arial Narrow Italic" w:hAnsi="Arial Narrow Italic"/>
          <w:i/>
        </w:rPr>
        <w:t>et al </w:t>
      </w:r>
      <w:r>
        <w:rPr/>
        <w:t>2004), others are less convinced, and indeed Guest </w:t>
      </w:r>
      <w:r>
        <w:rPr>
          <w:rFonts w:ascii="Arial Narrow Italic" w:hAnsi="Arial Narrow Italic"/>
          <w:i/>
        </w:rPr>
        <w:t>et al </w:t>
      </w:r>
      <w:r>
        <w:rPr/>
        <w:t>(2003) found no association between them. Analysis of some of the WERS data shows that managers consistently overestimate the performance of their organisation in relation to competitors. Some of the intermediate employee outcome measures are simple to quantify but less easy   to interpret. For example, it may be important for an organisation to have low labour turnover  or absence levels compared with the average for the industry as a whole, but there are questions about whether or not a zero ﬁgure is actually indicative of good employment relations. In the case of labour turnover, work may be so pleasant and relaxed that very few people ever want to leave but if productivity levels are poor, then this is hardly evidence of effective HRM. Similarly, absence levels may be low because people are scared to take a day off for fear of reprisal or because they have so much work to do they feel that it is impossible  to stay at home even when they are ill. Clearly, what appears initially as technical measurement problems actually obscure rather more serious conceptual</w:t>
      </w:r>
      <w:r>
        <w:rPr>
          <w:spacing w:val="31"/>
        </w:rPr>
        <w:t> </w:t>
      </w:r>
      <w:r>
        <w:rPr/>
        <w:t>weaknesses.</w:t>
      </w:r>
    </w:p>
    <w:p>
      <w:pPr>
        <w:pStyle w:val="BodyText"/>
        <w:spacing w:before="8"/>
        <w:rPr>
          <w:sz w:val="16"/>
        </w:rPr>
      </w:pPr>
    </w:p>
    <w:p>
      <w:pPr>
        <w:pStyle w:val="Heading1"/>
      </w:pPr>
      <w:r>
        <w:rPr>
          <w:color w:val="5E792D"/>
        </w:rPr>
        <w:t>Dangers in relying on self-report scores from HR managers</w:t>
      </w:r>
    </w:p>
    <w:p>
      <w:pPr>
        <w:pStyle w:val="BodyText"/>
        <w:spacing w:before="48"/>
        <w:ind w:left="180" w:right="452"/>
        <w:jc w:val="both"/>
      </w:pPr>
      <w:r>
        <w:rPr/>
        <w:t>Differences can arise depending on the expertise of the person who completes the questionnaire for an organisation. For obvious reasons, questions used in telephone surveys tend to be those that are capable of an immediate answer that can be coded easily. As </w:t>
      </w:r>
      <w:r>
        <w:rPr>
          <w:spacing w:val="45"/>
        </w:rPr>
        <w:t> </w:t>
      </w:r>
      <w:r>
        <w:rPr/>
        <w:t>Purcell (1999) notes, this may not get us very far in establishing what factors really make a difference to employee commitment or organisational performance. Further problems arise because personnel specialists, who are often the respondents in these surveys, often lack detailed knowledge about the competitive strategies utilised by their organisations and the proportion of sales derived from these strategies. At least the Guest </w:t>
      </w:r>
      <w:r>
        <w:rPr>
          <w:rFonts w:ascii="Arial Narrow Italic" w:hAnsi="Arial Narrow Italic"/>
          <w:i/>
        </w:rPr>
        <w:t>et al </w:t>
      </w:r>
      <w:r>
        <w:rPr/>
        <w:t>study did overcome  a number of these shortcomings by including managing directors and HR professionals in </w:t>
      </w:r>
      <w:r>
        <w:rPr>
          <w:spacing w:val="45"/>
        </w:rPr>
        <w:t> </w:t>
      </w:r>
      <w:r>
        <w:rPr/>
        <w:t>their sample, but they were unable to get opinions from employees themselves. This is particularly problematic if worker perceptions are not even included in studies when the focus is on ‘objective’ measures of performance. Anxieties such as these mean that considerable caution is needed when interpreting conclusions from these quantitative studies, and one suggestion (Wall </w:t>
      </w:r>
      <w:r>
        <w:rPr>
          <w:rFonts w:ascii="Arial Narrow Italic" w:hAnsi="Arial Narrow Italic"/>
          <w:i/>
        </w:rPr>
        <w:t>et al </w:t>
      </w:r>
      <w:r>
        <w:rPr/>
        <w:t>2004) is that a team of independent experts could  assess  how  schemes were working rather than relying on internal evaluations alone. For example, someone with a deep knowledge of EI could compare and contrast how these schemes were working across a range of different</w:t>
      </w:r>
      <w:r>
        <w:rPr>
          <w:spacing w:val="20"/>
        </w:rPr>
        <w:t> </w:t>
      </w:r>
      <w:r>
        <w:rPr/>
        <w:t>organisations.</w:t>
      </w:r>
    </w:p>
    <w:p>
      <w:pPr>
        <w:pStyle w:val="BodyText"/>
        <w:spacing w:before="3"/>
      </w:pPr>
    </w:p>
    <w:p>
      <w:pPr>
        <w:pStyle w:val="Heading1"/>
        <w:spacing w:line="240" w:lineRule="exact" w:before="0"/>
        <w:ind w:right="362"/>
        <w:jc w:val="left"/>
      </w:pPr>
      <w:r>
        <w:rPr>
          <w:color w:val="5E792D"/>
        </w:rPr>
        <w:t>Doubts about how much autonomy organisations have in decision- making</w:t>
      </w:r>
    </w:p>
    <w:p>
      <w:pPr>
        <w:pStyle w:val="BodyText"/>
        <w:spacing w:before="53"/>
        <w:ind w:left="180" w:right="452"/>
        <w:jc w:val="both"/>
      </w:pPr>
      <w:r>
        <w:rPr/>
        <w:t>It is implicitly assumed that organisations are free agents that are able to choose precisely which HR practices they wish to employ without considering any forces beyond their own organisational boundaries. As we have seen from Chapter 2, any organisation is subject to forces that shape its HR policies, in terms of legal and institutional arrangements or through the pressure exerted by clients or industry bodies. This is most apparent in how the high commitment HRM package might be applied in different countries, and we should not </w:t>
      </w:r>
      <w:r>
        <w:rPr>
          <w:spacing w:val="16"/>
        </w:rPr>
        <w:t> </w:t>
      </w:r>
      <w:r>
        <w:rPr/>
        <w:t>assume</w:t>
      </w:r>
    </w:p>
    <w:p>
      <w:pPr>
        <w:spacing w:after="0"/>
        <w:jc w:val="both"/>
        <w:sectPr>
          <w:pgSz w:w="10040" w:h="13950"/>
          <w:pgMar w:header="455" w:footer="527" w:top="640" w:bottom="700" w:left="1400" w:right="1140"/>
        </w:sectPr>
      </w:pPr>
    </w:p>
    <w:p>
      <w:pPr>
        <w:pStyle w:val="BodyText"/>
      </w:pPr>
    </w:p>
    <w:p>
      <w:pPr>
        <w:pStyle w:val="BodyText"/>
        <w:rPr>
          <w:sz w:val="16"/>
        </w:rPr>
      </w:pPr>
    </w:p>
    <w:p>
      <w:pPr>
        <w:pStyle w:val="BodyText"/>
        <w:spacing w:before="1"/>
        <w:ind w:left="460" w:right="192"/>
        <w:jc w:val="both"/>
      </w:pPr>
      <w:r>
        <w:rPr/>
        <w:t>the Anglo-Saxon model (based principally on North American and UK research) is easily applicable to other countries. Boselie </w:t>
      </w:r>
      <w:r>
        <w:rPr>
          <w:rFonts w:ascii="Arial Narrow Italic" w:hAnsi="Arial Narrow Italic"/>
          <w:i/>
        </w:rPr>
        <w:t>et al </w:t>
      </w:r>
      <w:r>
        <w:rPr/>
        <w:t>(2001, p1122) make it clear that 12 out of Pfeffer’s original list of 16 practices are common in the Netherlands, whereas very few UK organisations could boast anything like this </w:t>
      </w:r>
      <w:r>
        <w:rPr>
          <w:spacing w:val="-3"/>
        </w:rPr>
        <w:t>many. </w:t>
      </w:r>
      <w:r>
        <w:rPr/>
        <w:t>Because of the legal, political and social infrastructure, certain HR practices are deemed necessary there. However, the same situation could occur within certain industries in the UK whereby Codes of Practice or industry norms are regarded as part of the ‘way we do things around here’. Moreover there are also assumptions that, once the link is proven, all employers will see the beneﬁt of adopting the high commitment paradigm as opposed to a low-cost or bleak house philosophy, and this is   far from assured. For companies that are competing against cheap foreign imports or have no interest in having committed, enthusiastic workers who wish to exercise their discretion to improve performance, the high commitment model offers few advantages. Indeed, even amongst those organisations that adopt the high commitment model in relation to their own employees, higher proﬁts may be made at the expense of subcontractors whose low proﬁt margins mean there is little chance to invest in best practice HRM even if they wanted to (Marchington </w:t>
      </w:r>
      <w:r>
        <w:rPr>
          <w:rFonts w:ascii="Arial Narrow Italic" w:hAnsi="Arial Narrow Italic"/>
          <w:i/>
        </w:rPr>
        <w:t>et al</w:t>
      </w:r>
      <w:r>
        <w:rPr>
          <w:rFonts w:ascii="Arial Narrow Italic" w:hAnsi="Arial Narrow Italic"/>
          <w:i/>
          <w:spacing w:val="11"/>
        </w:rPr>
        <w:t> </w:t>
      </w:r>
      <w:r>
        <w:rPr/>
        <w:t>2004c)</w:t>
      </w:r>
    </w:p>
    <w:p>
      <w:pPr>
        <w:pStyle w:val="BodyText"/>
        <w:spacing w:before="12"/>
        <w:rPr>
          <w:sz w:val="19"/>
        </w:rPr>
      </w:pPr>
    </w:p>
    <w:p>
      <w:pPr>
        <w:pStyle w:val="BodyText"/>
        <w:ind w:left="460" w:right="192"/>
        <w:jc w:val="both"/>
      </w:pPr>
      <w:r>
        <w:rPr/>
        <w:t>In addition to the points made above, there is also a more radical critique that questions whether or not the ﬁndings actually support a link between high commitment practices and performance, as the interpretation of this material takes for granted. Ramsay </w:t>
      </w:r>
      <w:r>
        <w:rPr>
          <w:rFonts w:ascii="Arial Narrow Italic" w:hAnsi="Arial Narrow Italic"/>
          <w:i/>
        </w:rPr>
        <w:t>et al </w:t>
      </w:r>
      <w:r>
        <w:rPr/>
        <w:t>(2000) propose an alternative, labour process explanation that suggests that higher levels of organisational performance are achieved not through ‘progressive’ employment practices but instead through work intensiﬁcation. Basically, both the high commitment and the labour process versions agree that a distinctive set of HR practices may well contribute to improved levels of organisational performance. However, as Ramsay </w:t>
      </w:r>
      <w:r>
        <w:rPr>
          <w:rFonts w:ascii="Arial Narrow Italic" w:hAnsi="Arial Narrow Italic"/>
          <w:i/>
        </w:rPr>
        <w:t>et al </w:t>
      </w:r>
      <w:r>
        <w:rPr/>
        <w:t>(p505) argue, ‘it is at this</w:t>
      </w:r>
      <w:r>
        <w:rPr>
          <w:spacing w:val="45"/>
        </w:rPr>
        <w:t> </w:t>
      </w:r>
      <w:r>
        <w:rPr/>
        <w:t>point that the two approaches part company. The labour process critique holds that, while </w:t>
      </w:r>
      <w:r>
        <w:rPr>
          <w:spacing w:val="45"/>
        </w:rPr>
        <w:t> </w:t>
      </w:r>
      <w:r>
        <w:rPr/>
        <w:t>high performance work systems practices may provide enhancements in discretion, these come to employees at the expense of stress, work intensiﬁcation and job strain, the latter</w:t>
      </w:r>
      <w:r>
        <w:rPr>
          <w:spacing w:val="45"/>
        </w:rPr>
        <w:t> </w:t>
      </w:r>
      <w:r>
        <w:rPr/>
        <w:t>being a key explanatory factor in improved organisational performance’. This interpretation is quite different therefore, mirroring the discussion about competing versions of</w:t>
      </w:r>
      <w:r>
        <w:rPr>
          <w:spacing w:val="36"/>
        </w:rPr>
        <w:t> </w:t>
      </w:r>
      <w:r>
        <w:rPr/>
        <w:t>teamworking.</w:t>
      </w:r>
    </w:p>
    <w:p>
      <w:pPr>
        <w:pStyle w:val="BodyText"/>
        <w:spacing w:before="12"/>
        <w:rPr>
          <w:sz w:val="19"/>
        </w:rPr>
      </w:pPr>
    </w:p>
    <w:p>
      <w:pPr>
        <w:pStyle w:val="BodyText"/>
        <w:ind w:left="460" w:right="192"/>
        <w:jc w:val="both"/>
      </w:pPr>
      <w:r>
        <w:rPr/>
        <w:pict>
          <v:group style="position:absolute;margin-left:79.004013pt;margin-top:185.802292pt;width:343pt;height:39.950pt;mso-position-horizontal-relative:page;mso-position-vertical-relative:paragraph;z-index:1744;mso-wrap-distance-left:0;mso-wrap-distance-right:0" coordorigin="1580,3716" coordsize="6860,799">
            <v:rect style="position:absolute;left:1670;top:3798;width:6765;height:711" filled="true" fillcolor="#5e792d" stroked="false">
              <v:fill type="solid"/>
            </v:rect>
            <v:rect style="position:absolute;left:1670;top:3798;width:6765;height:711" filled="false" stroked="true" strokeweight=".5pt" strokecolor="#5e792d"/>
            <v:shape style="position:absolute;left:1580;top:3716;width:6775;height:714" type="#_x0000_t202" filled="true" fillcolor="#eff2ea" stroked="false">
              <v:textbox inset="0,0,0,0">
                <w:txbxContent>
                  <w:p>
                    <w:pPr>
                      <w:spacing w:before="107"/>
                      <w:ind w:left="159" w:right="99" w:firstLine="0"/>
                      <w:jc w:val="left"/>
                      <w:rPr>
                        <w:sz w:val="20"/>
                      </w:rPr>
                    </w:pPr>
                    <w:r>
                      <w:rPr>
                        <w:sz w:val="20"/>
                      </w:rPr>
                      <w:t>What do you think workers want from their employment, and does this equate with the high commitment bundle of practices considered here?</w:t>
                    </w:r>
                  </w:p>
                </w:txbxContent>
              </v:textbox>
              <v:fill type="solid"/>
              <w10:wrap type="none"/>
            </v:shape>
            <w10:wrap type="topAndBottom"/>
          </v:group>
        </w:pict>
      </w:r>
      <w:r>
        <w:rPr/>
        <w:t>In order to test their proposition, Ramsay </w:t>
      </w:r>
      <w:r>
        <w:rPr>
          <w:rFonts w:ascii="Arial Narrow Italic" w:hAnsi="Arial Narrow Italic"/>
          <w:i/>
        </w:rPr>
        <w:t>et al </w:t>
      </w:r>
      <w:r>
        <w:rPr/>
        <w:t>(2000) used the 1998 WERS survey material, focusing in particular on employee outcomes. They also included other factors in  their  analysis related to job strain and work intensiﬁcation – measured by questions about the lack of time to complete work, worrying about work outside working hours, and changes in productivity (p527). Their conclusions are at odds with those of the high commitment school,  in the sense that they ﬁnd little support for the notion that positive performance outcomes ﬂow from positive employee outcomes. They suggest that the high commitment approach has </w:t>
      </w:r>
      <w:r>
        <w:rPr>
          <w:spacing w:val="45"/>
        </w:rPr>
        <w:t> </w:t>
      </w:r>
      <w:r>
        <w:rPr/>
        <w:t>been adopted without sufﬁcient analysis of whether or not employees really do prefer such regimes. At the same time, however, they ﬁnd little support for the labour process</w:t>
      </w:r>
      <w:r>
        <w:rPr>
          <w:spacing w:val="45"/>
        </w:rPr>
        <w:t> </w:t>
      </w:r>
      <w:r>
        <w:rPr/>
        <w:t>interpretation either. While acknowledging that lack of support for either model may be due to problems with the methodology, they conclude instead that neither bears much resemblance  to reality. This is due to the inability of senior managers to implement strategic thinking – </w:t>
      </w:r>
      <w:r>
        <w:rPr>
          <w:spacing w:val="45"/>
        </w:rPr>
        <w:t> </w:t>
      </w:r>
      <w:r>
        <w:rPr/>
        <w:t>either to treat workers as resourceful humans or as costs to be minimised (p522). This conclusion leads Godard (2004, p350) to conclude that state support is probably required to ensure the high commitment paradigm takes</w:t>
      </w:r>
      <w:r>
        <w:rPr>
          <w:spacing w:val="23"/>
        </w:rPr>
        <w:t> </w:t>
      </w:r>
      <w:r>
        <w:rPr/>
        <w:t>root.</w:t>
      </w:r>
    </w:p>
    <w:p>
      <w:pPr>
        <w:spacing w:after="0"/>
        <w:jc w:val="both"/>
        <w:sectPr>
          <w:pgSz w:w="10040" w:h="13950"/>
          <w:pgMar w:header="455" w:footer="511" w:top="640" w:bottom="720" w:left="1120" w:right="1400"/>
        </w:sectPr>
      </w:pPr>
    </w:p>
    <w:p>
      <w:pPr>
        <w:pStyle w:val="BodyText"/>
      </w:pPr>
    </w:p>
    <w:p>
      <w:pPr>
        <w:pStyle w:val="Heading1"/>
        <w:spacing w:before="182"/>
      </w:pPr>
      <w:r>
        <w:rPr>
          <w:color w:val="5E792D"/>
        </w:rPr>
        <w:t>THE  UNIVERSAL APPLICATION OF  BEST  PRACTICE HRM </w:t>
      </w:r>
    </w:p>
    <w:p>
      <w:pPr>
        <w:pStyle w:val="BodyText"/>
        <w:spacing w:before="76"/>
        <w:ind w:left="180" w:right="452"/>
        <w:jc w:val="both"/>
      </w:pPr>
      <w:r>
        <w:rPr/>
        <w:t>One key aspect of the celebratory literature is that ‘best practice’ HRM is capable of being used in any organisation, irrespective of product market situation, industry, or workforce. Pfeffer (1998, pp33–34) produces evidence from many industries and studies  which  he  claims demonstrates the case for ‘putting people ﬁrst’. These include ‘relatively low</w:t>
      </w:r>
      <w:r>
        <w:rPr>
          <w:spacing w:val="45"/>
        </w:rPr>
        <w:t> </w:t>
      </w:r>
      <w:r>
        <w:rPr/>
        <w:t>technology settings such as apparel manufacture to very high technology manufacturing processes. The results seem to hold for manufacturing and for service ﬁrms. Nothing in the available evidence suggests that the results are country-speciﬁc. The effects of high performance management practices are real, economically signiﬁcant, and general – and </w:t>
      </w:r>
      <w:r>
        <w:rPr>
          <w:spacing w:val="45"/>
        </w:rPr>
        <w:t> </w:t>
      </w:r>
      <w:r>
        <w:rPr/>
        <w:t>thus should be adopted by your organisation.’ Support for this argument comes from several other studies. For example, Huselid (1995, p644) states that ‘all else being equal, the use of High Performance Work Practices and good internal ﬁt should lead to positive outcomes for   all types of ﬁrms’. Delery and Doty (1996, p828) ﬁnd ‘relatively strong support’ for the universalistic argument and some support for other perspectives, and suggest that ‘some human resource practices </w:t>
      </w:r>
      <w:r>
        <w:rPr>
          <w:rFonts w:ascii="Arial Narrow Italic" w:hAnsi="Arial Narrow Italic"/>
          <w:i/>
        </w:rPr>
        <w:t>always </w:t>
      </w:r>
      <w:r>
        <w:rPr/>
        <w:t>[our emphasis] have a positive effect on performance’;</w:t>
      </w:r>
      <w:r>
        <w:rPr>
          <w:spacing w:val="45"/>
        </w:rPr>
        <w:t> </w:t>
      </w:r>
      <w:r>
        <w:rPr/>
        <w:t>these were proﬁt sharing, results-oriented appraisals and employment security. There is support from a non-US study as well, with Wood and Albanese (1995, p242) agreeing that certain HR practices have a universal</w:t>
      </w:r>
      <w:r>
        <w:rPr>
          <w:spacing w:val="20"/>
        </w:rPr>
        <w:t> </w:t>
      </w:r>
      <w:r>
        <w:rPr/>
        <w:t>effect.</w:t>
      </w:r>
    </w:p>
    <w:p>
      <w:pPr>
        <w:pStyle w:val="BodyText"/>
        <w:spacing w:before="12"/>
        <w:rPr>
          <w:sz w:val="19"/>
        </w:rPr>
      </w:pPr>
    </w:p>
    <w:p>
      <w:pPr>
        <w:pStyle w:val="BodyText"/>
        <w:ind w:left="180" w:right="452"/>
        <w:jc w:val="both"/>
      </w:pPr>
      <w:r>
        <w:rPr/>
        <w:t>There are criticisms of this view, ranging from minor adjustments through to downright rejection of the case that ‘progressive’ HR practices can always provide sustained competitive advantage. </w:t>
      </w:r>
      <w:r>
        <w:rPr>
          <w:spacing w:val="-3"/>
        </w:rPr>
        <w:t>Youndt </w:t>
      </w:r>
      <w:r>
        <w:rPr>
          <w:rFonts w:ascii="Arial Narrow Italic" w:hAnsi="Arial Narrow Italic"/>
          <w:i/>
        </w:rPr>
        <w:t>et al </w:t>
      </w:r>
      <w:r>
        <w:rPr/>
        <w:t>(1996, p837) suggest that ‘the universal approach helps researchers  to document the beneﬁts of HR across all contexts, ceteris paribus, [while] the contingency perspective helps us to look more deeply into organisational phenomena to derive more situationally-speciﬁc theories and prescriptions for management practice’. Purcell (1999, p36) is particularly sceptical of the claims for universalism, which lead us, he argues, ‘down a utopian cul-de-sac’. He stresses the need to identify ‘the circumstances of where and when it [high commitment management; HCM] is applied, why some organisations do and some do  not adopt HCM, and how some ﬁrms seem to have more appropriate human  resource systems than</w:t>
      </w:r>
      <w:r>
        <w:rPr>
          <w:spacing w:val="7"/>
        </w:rPr>
        <w:t> </w:t>
      </w:r>
      <w:r>
        <w:rPr/>
        <w:t>others’.</w:t>
      </w:r>
    </w:p>
    <w:p>
      <w:pPr>
        <w:pStyle w:val="BodyText"/>
        <w:spacing w:before="12"/>
        <w:rPr>
          <w:sz w:val="19"/>
        </w:rPr>
      </w:pPr>
    </w:p>
    <w:p>
      <w:pPr>
        <w:pStyle w:val="BodyText"/>
        <w:ind w:left="180" w:right="452"/>
        <w:jc w:val="both"/>
      </w:pPr>
      <w:r>
        <w:rPr/>
        <w:t>At a conceptual and empirical level, however, there are a number of reasons to doubt that</w:t>
      </w:r>
      <w:r>
        <w:rPr>
          <w:spacing w:val="45"/>
        </w:rPr>
        <w:t> </w:t>
      </w:r>
      <w:r>
        <w:rPr/>
        <w:t>high commitment HRM is universally applicable (Marchington and Grugulis 2000). First, it is apparent that the ‘best practice’ works on the assumption that employers have the luxury of taking a long-term perspective or that, with a bit of foresight, they could do so. For example, they are encouraged to hire during the lean times when labour markets are less tight rather than seek to recruit when they have a pressing demand for staff and it is harder to attract the type of applicant desired (and desirable). Similarly, employers are advised to invest in employees with non-speciﬁc skills that will offer most over the longer term rather than seek to ﬁll posts with staff who can solve immediate needs. It is suggested that employees should be retained during downturns because it will only cost more to rehire them when the market improves, a practice that also ties in with employment security guarantees. Similarly, instead  of cutting back on training when times get tough or cash is in short supply, employers are urged to spend more money on training during the lean times because it is easier to release employees from other duties when production schedules are less tight. There are good economic and labour market reasons for employers to do all of these things, but they all depend, to a greater or lesser extent, upon the luxury of a long-term perspective and the prospect of future market growth. Of course, institutional forces beyond the level of the organisation</w:t>
      </w:r>
      <w:r>
        <w:rPr>
          <w:spacing w:val="21"/>
        </w:rPr>
        <w:t> </w:t>
      </w:r>
      <w:r>
        <w:rPr/>
        <w:t>may</w:t>
      </w:r>
      <w:r>
        <w:rPr>
          <w:spacing w:val="21"/>
        </w:rPr>
        <w:t> </w:t>
      </w:r>
      <w:r>
        <w:rPr/>
        <w:t>serve</w:t>
      </w:r>
      <w:r>
        <w:rPr>
          <w:spacing w:val="21"/>
        </w:rPr>
        <w:t> </w:t>
      </w:r>
      <w:r>
        <w:rPr/>
        <w:t>to</w:t>
      </w:r>
      <w:r>
        <w:rPr>
          <w:spacing w:val="21"/>
        </w:rPr>
        <w:t> </w:t>
      </w:r>
      <w:r>
        <w:rPr/>
        <w:t>shape</w:t>
      </w:r>
      <w:r>
        <w:rPr>
          <w:spacing w:val="21"/>
        </w:rPr>
        <w:t> </w:t>
      </w:r>
      <w:r>
        <w:rPr/>
        <w:t>HRM</w:t>
      </w:r>
      <w:r>
        <w:rPr>
          <w:spacing w:val="21"/>
        </w:rPr>
        <w:t> </w:t>
      </w:r>
      <w:r>
        <w:rPr/>
        <w:t>more</w:t>
      </w:r>
      <w:r>
        <w:rPr>
          <w:spacing w:val="21"/>
        </w:rPr>
        <w:t> </w:t>
      </w:r>
      <w:r>
        <w:rPr/>
        <w:t>signiﬁcantly</w:t>
      </w:r>
      <w:r>
        <w:rPr>
          <w:spacing w:val="21"/>
        </w:rPr>
        <w:t> </w:t>
      </w:r>
      <w:r>
        <w:rPr/>
        <w:t>in</w:t>
      </w:r>
      <w:r>
        <w:rPr>
          <w:spacing w:val="21"/>
        </w:rPr>
        <w:t> </w:t>
      </w:r>
      <w:r>
        <w:rPr/>
        <w:t>some</w:t>
      </w:r>
      <w:r>
        <w:rPr>
          <w:spacing w:val="21"/>
        </w:rPr>
        <w:t> </w:t>
      </w:r>
      <w:r>
        <w:rPr/>
        <w:t>countries</w:t>
      </w:r>
      <w:r>
        <w:rPr>
          <w:spacing w:val="21"/>
        </w:rPr>
        <w:t> </w:t>
      </w:r>
      <w:r>
        <w:rPr/>
        <w:t>than</w:t>
      </w:r>
      <w:r>
        <w:rPr>
          <w:spacing w:val="21"/>
        </w:rPr>
        <w:t> </w:t>
      </w:r>
      <w:r>
        <w:rPr/>
        <w:t>they</w:t>
      </w:r>
      <w:r>
        <w:rPr>
          <w:spacing w:val="21"/>
        </w:rPr>
        <w:t> </w:t>
      </w:r>
      <w:r>
        <w:rPr/>
        <w:t>do</w:t>
      </w:r>
      <w:r>
        <w:rPr>
          <w:spacing w:val="21"/>
        </w:rPr>
        <w:t> </w:t>
      </w:r>
      <w:r>
        <w:rPr/>
        <w:t>in</w:t>
      </w:r>
    </w:p>
    <w:p>
      <w:pPr>
        <w:spacing w:after="0"/>
        <w:jc w:val="both"/>
        <w:sectPr>
          <w:pgSz w:w="10040" w:h="13950"/>
          <w:pgMar w:header="455" w:footer="527" w:top="640" w:bottom="720" w:left="1400" w:right="1140"/>
        </w:sectPr>
      </w:pPr>
    </w:p>
    <w:p>
      <w:pPr>
        <w:pStyle w:val="BodyText"/>
      </w:pPr>
    </w:p>
    <w:p>
      <w:pPr>
        <w:pStyle w:val="BodyText"/>
        <w:rPr>
          <w:sz w:val="16"/>
        </w:rPr>
      </w:pPr>
    </w:p>
    <w:p>
      <w:pPr>
        <w:pStyle w:val="BodyText"/>
        <w:spacing w:before="1"/>
        <w:ind w:left="460" w:right="192"/>
        <w:jc w:val="both"/>
      </w:pPr>
      <w:r>
        <w:rPr/>
        <w:t>others. As Boselie </w:t>
      </w:r>
      <w:r>
        <w:rPr>
          <w:rFonts w:ascii="Arial Narrow Italic" w:hAnsi="Arial Narrow Italic"/>
          <w:i/>
        </w:rPr>
        <w:t>et al </w:t>
      </w:r>
      <w:r>
        <w:rPr/>
        <w:t>(2003) note, employers in some countries may take for granted what  in the UK is seen as ‘best practice’ offered by just a few</w:t>
      </w:r>
      <w:r>
        <w:rPr>
          <w:spacing w:val="42"/>
        </w:rPr>
        <w:t> </w:t>
      </w:r>
      <w:r>
        <w:rPr/>
        <w:t>organisations.</w:t>
      </w:r>
    </w:p>
    <w:p>
      <w:pPr>
        <w:pStyle w:val="BodyText"/>
        <w:spacing w:before="12"/>
        <w:rPr>
          <w:sz w:val="19"/>
        </w:rPr>
      </w:pPr>
    </w:p>
    <w:p>
      <w:pPr>
        <w:pStyle w:val="BodyText"/>
        <w:ind w:left="460" w:right="192"/>
        <w:jc w:val="both"/>
      </w:pPr>
      <w:r>
        <w:rPr/>
        <w:t>Second, it is rather easier to engage in high commitment HRM when labour costs form a low proportion of controllable costs. In capital intensive operations, it makes little sense to cut</w:t>
      </w:r>
      <w:r>
        <w:rPr>
          <w:spacing w:val="45"/>
        </w:rPr>
        <w:t> </w:t>
      </w:r>
      <w:r>
        <w:rPr/>
        <w:t>back on essential staff who have highly speciﬁc and much-needed skills – </w:t>
      </w:r>
      <w:r>
        <w:rPr>
          <w:spacing w:val="-3"/>
        </w:rPr>
        <w:t>say, </w:t>
      </w:r>
      <w:r>
        <w:rPr/>
        <w:t>in a pharmaceutical or chemical plant or with research scientists. When labour costs represent a major cost compared with other factors, as in many service sector organisations for example,  it is much more difﬁcult for managers persuade ﬁnanciers that there are long-term beneﬁts from investments in human capital. It is unlikely, given their previous behaviour, that bankers and lenders in Britain will perceive the beneﬁts of taking a strategic perspective on human resources and sacriﬁce short-term gains for longer term accumulation. In contrast, it is immensely difﬁcult to persuade employers to adopt a ‘best practice’ approach if they operate  in situations where labour costs are sizeable, and where it is difﬁcult to increase pay rates or offer training when resources are constrained. Moreover, it is unlikely that customers or users will accept inferior levels of service even if it is helping to develop talent over the longer term (eg in the health service, pubs and restaurants). Furthermore, given an emphasis on contracting and recontracting up and down the supply chain, there is often little incentive for employers to invest in high commitment HRM if their contracts are of limited length and they are expected to compete on the basis of reduced costs (Marchington </w:t>
      </w:r>
      <w:r>
        <w:rPr>
          <w:rFonts w:ascii="Arial Narrow Italic" w:hAnsi="Arial Narrow Italic"/>
          <w:i/>
        </w:rPr>
        <w:t>et al </w:t>
      </w:r>
      <w:r>
        <w:rPr/>
        <w:t>2004c). Cappelli</w:t>
      </w:r>
      <w:r>
        <w:rPr>
          <w:spacing w:val="45"/>
        </w:rPr>
        <w:t> </w:t>
      </w:r>
      <w:r>
        <w:rPr/>
        <w:t>and Neumark (2001) report that, while high commitment HRM actually does increase worker output, it also raises labour costs and employee rewards. This leads Godard (2004, p355) to argue that the proponents of high commitment HRM ‘overestimate the positive effects of high levels of adoption of these practices, but also underestimate the costs’. The end result is </w:t>
      </w:r>
      <w:r>
        <w:rPr>
          <w:spacing w:val="45"/>
        </w:rPr>
        <w:t> </w:t>
      </w:r>
      <w:r>
        <w:rPr/>
        <w:t>likely to be little overall gain in</w:t>
      </w:r>
      <w:r>
        <w:rPr>
          <w:spacing w:val="15"/>
        </w:rPr>
        <w:t> </w:t>
      </w:r>
      <w:r>
        <w:rPr/>
        <w:t>productivity.</w:t>
      </w:r>
    </w:p>
    <w:p>
      <w:pPr>
        <w:pStyle w:val="BodyText"/>
        <w:spacing w:before="7"/>
        <w:rPr>
          <w:sz w:val="11"/>
        </w:rPr>
      </w:pPr>
      <w:r>
        <w:rPr/>
        <w:pict>
          <v:group style="position:absolute;margin-left:79.004013pt;margin-top:8.926434pt;width:343pt;height:63.15pt;mso-position-horizontal-relative:page;mso-position-vertical-relative:paragraph;z-index:1792;mso-wrap-distance-left:0;mso-wrap-distance-right:0" coordorigin="1580,179" coordsize="6860,1263">
            <v:rect style="position:absolute;left:1670;top:274;width:6765;height:1163" filled="true" fillcolor="#5e792d" stroked="false">
              <v:fill type="solid"/>
            </v:rect>
            <v:rect style="position:absolute;left:1670;top:274;width:6765;height:1163" filled="false" stroked="true" strokeweight=".5pt" strokecolor="#5e792d"/>
            <v:shape style="position:absolute;left:1580;top:179;width:6775;height:1178" type="#_x0000_t202" filled="true" fillcolor="#eff2ea" stroked="false">
              <v:textbox inset="0,0,0,0">
                <w:txbxContent>
                  <w:p>
                    <w:pPr>
                      <w:spacing w:before="107"/>
                      <w:ind w:left="159" w:right="158" w:firstLine="0"/>
                      <w:jc w:val="both"/>
                      <w:rPr>
                        <w:sz w:val="20"/>
                      </w:rPr>
                    </w:pPr>
                    <w:r>
                      <w:rPr>
                        <w:sz w:val="20"/>
                      </w:rPr>
                      <w:t>Bearing in mind some of the recent furore about contracting out manufacturing or call centres to low wage economies, discuss whether or not customers really do gain from ‘best practice’ HRM or whether they would prefer to buy cheaper goods no matter how they are produced.</w:t>
                    </w:r>
                  </w:p>
                </w:txbxContent>
              </v:textbox>
              <v:fill type="solid"/>
              <w10:wrap type="none"/>
            </v:shape>
            <w10:wrap type="topAndBottom"/>
          </v:group>
        </w:pict>
      </w:r>
    </w:p>
    <w:p>
      <w:pPr>
        <w:pStyle w:val="BodyText"/>
        <w:spacing w:before="87"/>
        <w:ind w:left="460" w:right="192"/>
        <w:jc w:val="both"/>
      </w:pPr>
      <w:r>
        <w:rPr/>
        <w:t>Third, so much depends upon which categories of staff employers are trying to recruit. MacDufﬁe (1995, p199) is often quoted as someone whose research is supportive of the universality argument, but it is apparent from his studies that high commitment HRM may actually be situationally speciﬁc. He suggests:</w:t>
      </w:r>
    </w:p>
    <w:p>
      <w:pPr>
        <w:pStyle w:val="BodyText"/>
        <w:rPr>
          <w:sz w:val="12"/>
        </w:rPr>
      </w:pPr>
      <w:r>
        <w:rPr/>
        <w:pict>
          <v:group style="position:absolute;margin-left:79.004013pt;margin-top:9.193178pt;width:343pt;height:109.85pt;mso-position-horizontal-relative:page;mso-position-vertical-relative:paragraph;z-index:1888;mso-wrap-distance-left:0;mso-wrap-distance-right:0" coordorigin="1580,184" coordsize="6860,2197">
            <v:rect style="position:absolute;left:1580;top:184;width:6860;height:2196" filled="true" fillcolor="#cfd7c0" stroked="false">
              <v:fill type="solid"/>
            </v:rect>
            <v:shape style="position:absolute;left:1750;top:192;width:109;height:600" type="#_x0000_t202" filled="false" stroked="false">
              <v:textbox inset="0,0,0,0">
                <w:txbxContent>
                  <w:p>
                    <w:pPr>
                      <w:spacing w:line="600" w:lineRule="exact" w:before="0"/>
                      <w:ind w:left="0" w:right="0" w:firstLine="0"/>
                      <w:jc w:val="left"/>
                      <w:rPr>
                        <w:rFonts w:ascii="Arial Black" w:hAnsi="Arial Black"/>
                        <w:b/>
                        <w:sz w:val="60"/>
                      </w:rPr>
                    </w:pPr>
                    <w:r>
                      <w:rPr>
                        <w:rFonts w:ascii="Arial Black" w:hAnsi="Arial Black"/>
                        <w:b/>
                        <w:color w:val="656565"/>
                        <w:w w:val="65"/>
                        <w:sz w:val="60"/>
                      </w:rPr>
                      <w:t>‘</w:t>
                    </w:r>
                  </w:p>
                </w:txbxContent>
              </v:textbox>
              <w10:wrap type="none"/>
            </v:shape>
            <v:shape style="position:absolute;left:1996;top:244;width:6025;height:2000" type="#_x0000_t202" filled="false" stroked="false">
              <v:textbox inset="0,0,0,0">
                <w:txbxContent>
                  <w:p>
                    <w:pPr>
                      <w:spacing w:line="226" w:lineRule="exact" w:before="0"/>
                      <w:ind w:left="0" w:right="0" w:firstLine="0"/>
                      <w:jc w:val="both"/>
                      <w:rPr>
                        <w:rFonts w:ascii="Arial Black"/>
                        <w:b/>
                        <w:sz w:val="20"/>
                      </w:rPr>
                    </w:pPr>
                    <w:r>
                      <w:rPr>
                        <w:rFonts w:ascii="Arial Black"/>
                        <w:b/>
                        <w:w w:val="90"/>
                        <w:sz w:val="20"/>
                      </w:rPr>
                      <w:t>Innovative</w:t>
                    </w:r>
                    <w:r>
                      <w:rPr>
                        <w:rFonts w:ascii="Arial Black"/>
                        <w:b/>
                        <w:spacing w:val="-28"/>
                        <w:w w:val="90"/>
                        <w:sz w:val="20"/>
                      </w:rPr>
                      <w:t> </w:t>
                    </w:r>
                    <w:r>
                      <w:rPr>
                        <w:rFonts w:ascii="Arial Black"/>
                        <w:b/>
                        <w:w w:val="90"/>
                        <w:sz w:val="20"/>
                      </w:rPr>
                      <w:t>human</w:t>
                    </w:r>
                    <w:r>
                      <w:rPr>
                        <w:rFonts w:ascii="Arial Black"/>
                        <w:b/>
                        <w:spacing w:val="-28"/>
                        <w:w w:val="90"/>
                        <w:sz w:val="20"/>
                      </w:rPr>
                      <w:t> </w:t>
                    </w:r>
                    <w:r>
                      <w:rPr>
                        <w:rFonts w:ascii="Arial Black"/>
                        <w:b/>
                        <w:w w:val="90"/>
                        <w:sz w:val="20"/>
                      </w:rPr>
                      <w:t>resource</w:t>
                    </w:r>
                    <w:r>
                      <w:rPr>
                        <w:rFonts w:ascii="Arial Black"/>
                        <w:b/>
                        <w:spacing w:val="-28"/>
                        <w:w w:val="90"/>
                        <w:sz w:val="20"/>
                      </w:rPr>
                      <w:t> </w:t>
                    </w:r>
                    <w:r>
                      <w:rPr>
                        <w:rFonts w:ascii="Arial Black"/>
                        <w:b/>
                        <w:w w:val="90"/>
                        <w:sz w:val="20"/>
                      </w:rPr>
                      <w:t>practices</w:t>
                    </w:r>
                    <w:r>
                      <w:rPr>
                        <w:rFonts w:ascii="Arial Black"/>
                        <w:b/>
                        <w:spacing w:val="-28"/>
                        <w:w w:val="90"/>
                        <w:sz w:val="20"/>
                      </w:rPr>
                      <w:t> </w:t>
                    </w:r>
                    <w:r>
                      <w:rPr>
                        <w:rFonts w:ascii="Arial Black"/>
                        <w:b/>
                        <w:w w:val="90"/>
                        <w:sz w:val="20"/>
                      </w:rPr>
                      <w:t>are</w:t>
                    </w:r>
                    <w:r>
                      <w:rPr>
                        <w:rFonts w:ascii="Arial Black"/>
                        <w:b/>
                        <w:spacing w:val="-28"/>
                        <w:w w:val="90"/>
                        <w:sz w:val="20"/>
                      </w:rPr>
                      <w:t> </w:t>
                    </w:r>
                    <w:r>
                      <w:rPr>
                        <w:rFonts w:ascii="Arial Black"/>
                        <w:b/>
                        <w:w w:val="90"/>
                        <w:sz w:val="20"/>
                      </w:rPr>
                      <w:t>likely</w:t>
                    </w:r>
                    <w:r>
                      <w:rPr>
                        <w:rFonts w:ascii="Arial Black"/>
                        <w:b/>
                        <w:spacing w:val="-28"/>
                        <w:w w:val="90"/>
                        <w:sz w:val="20"/>
                      </w:rPr>
                      <w:t> </w:t>
                    </w:r>
                    <w:r>
                      <w:rPr>
                        <w:rFonts w:ascii="Arial Black"/>
                        <w:b/>
                        <w:w w:val="90"/>
                        <w:sz w:val="20"/>
                      </w:rPr>
                      <w:t>to</w:t>
                    </w:r>
                    <w:r>
                      <w:rPr>
                        <w:rFonts w:ascii="Arial Black"/>
                        <w:b/>
                        <w:spacing w:val="-28"/>
                        <w:w w:val="90"/>
                        <w:sz w:val="20"/>
                      </w:rPr>
                      <w:t> </w:t>
                    </w:r>
                    <w:r>
                      <w:rPr>
                        <w:rFonts w:ascii="Arial Black"/>
                        <w:b/>
                        <w:w w:val="90"/>
                        <w:sz w:val="20"/>
                      </w:rPr>
                      <w:t>contribute</w:t>
                    </w:r>
                    <w:r>
                      <w:rPr>
                        <w:rFonts w:ascii="Arial Black"/>
                        <w:b/>
                        <w:spacing w:val="-28"/>
                        <w:w w:val="90"/>
                        <w:sz w:val="20"/>
                      </w:rPr>
                      <w:t> </w:t>
                    </w:r>
                    <w:r>
                      <w:rPr>
                        <w:rFonts w:ascii="Arial Black"/>
                        <w:b/>
                        <w:w w:val="90"/>
                        <w:sz w:val="20"/>
                      </w:rPr>
                      <w:t>to</w:t>
                    </w:r>
                  </w:p>
                  <w:p>
                    <w:pPr>
                      <w:spacing w:line="300" w:lineRule="atLeast" w:before="0"/>
                      <w:ind w:left="0" w:right="0" w:firstLine="0"/>
                      <w:jc w:val="both"/>
                      <w:rPr>
                        <w:rFonts w:ascii="Arial Black" w:hAnsi="Arial Black"/>
                        <w:b/>
                        <w:sz w:val="20"/>
                      </w:rPr>
                    </w:pPr>
                    <w:r>
                      <w:rPr>
                        <w:rFonts w:ascii="Arial Black" w:hAnsi="Arial Black"/>
                        <w:b/>
                        <w:w w:val="90"/>
                        <w:sz w:val="20"/>
                      </w:rPr>
                      <w:t>improved economic performance </w:t>
                    </w:r>
                    <w:r>
                      <w:rPr>
                        <w:rFonts w:ascii="Verdana" w:hAnsi="Verdana"/>
                        <w:b/>
                        <w:i/>
                        <w:w w:val="90"/>
                        <w:sz w:val="20"/>
                      </w:rPr>
                      <w:t>only when</w:t>
                    </w:r>
                    <w:r>
                      <w:rPr>
                        <w:rFonts w:ascii="Verdana" w:hAnsi="Verdana"/>
                        <w:b/>
                        <w:i/>
                        <w:spacing w:val="7"/>
                        <w:w w:val="90"/>
                        <w:sz w:val="20"/>
                      </w:rPr>
                      <w:t> </w:t>
                    </w:r>
                    <w:r>
                      <w:rPr>
                        <w:rFonts w:ascii="Arial Black" w:hAnsi="Arial Black"/>
                        <w:b/>
                        <w:w w:val="90"/>
                        <w:sz w:val="20"/>
                      </w:rPr>
                      <w:t>[our</w:t>
                    </w:r>
                    <w:r>
                      <w:rPr>
                        <w:rFonts w:ascii="Arial Black" w:hAnsi="Arial Black"/>
                        <w:b/>
                        <w:spacing w:val="26"/>
                        <w:w w:val="90"/>
                        <w:sz w:val="20"/>
                      </w:rPr>
                      <w:t> </w:t>
                    </w:r>
                    <w:r>
                      <w:rPr>
                        <w:rFonts w:ascii="Arial Black" w:hAnsi="Arial Black"/>
                        <w:b/>
                        <w:w w:val="90"/>
                        <w:sz w:val="20"/>
                      </w:rPr>
                      <w:t>emphasis]</w:t>
                    </w:r>
                    <w:r>
                      <w:rPr>
                        <w:rFonts w:ascii="Arial Black" w:hAnsi="Arial Black"/>
                        <w:b/>
                        <w:w w:val="85"/>
                        <w:sz w:val="20"/>
                      </w:rPr>
                      <w:t> </w:t>
                    </w:r>
                    <w:r>
                      <w:rPr>
                        <w:rFonts w:ascii="Arial Black" w:hAnsi="Arial Black"/>
                        <w:b/>
                        <w:w w:val="90"/>
                        <w:sz w:val="20"/>
                      </w:rPr>
                      <w:t>three</w:t>
                    </w:r>
                    <w:r>
                      <w:rPr>
                        <w:rFonts w:ascii="Arial Black" w:hAnsi="Arial Black"/>
                        <w:b/>
                        <w:spacing w:val="-24"/>
                        <w:w w:val="90"/>
                        <w:sz w:val="20"/>
                      </w:rPr>
                      <w:t> </w:t>
                    </w:r>
                    <w:r>
                      <w:rPr>
                        <w:rFonts w:ascii="Arial Black" w:hAnsi="Arial Black"/>
                        <w:b/>
                        <w:w w:val="90"/>
                        <w:sz w:val="20"/>
                      </w:rPr>
                      <w:t>conditions</w:t>
                    </w:r>
                    <w:r>
                      <w:rPr>
                        <w:rFonts w:ascii="Arial Black" w:hAnsi="Arial Black"/>
                        <w:b/>
                        <w:spacing w:val="-24"/>
                        <w:w w:val="90"/>
                        <w:sz w:val="20"/>
                      </w:rPr>
                      <w:t> </w:t>
                    </w:r>
                    <w:r>
                      <w:rPr>
                        <w:rFonts w:ascii="Arial Black" w:hAnsi="Arial Black"/>
                        <w:b/>
                        <w:w w:val="90"/>
                        <w:sz w:val="20"/>
                      </w:rPr>
                      <w:t>are</w:t>
                    </w:r>
                    <w:r>
                      <w:rPr>
                        <w:rFonts w:ascii="Arial Black" w:hAnsi="Arial Black"/>
                        <w:b/>
                        <w:spacing w:val="-24"/>
                        <w:w w:val="90"/>
                        <w:sz w:val="20"/>
                      </w:rPr>
                      <w:t> </w:t>
                    </w:r>
                    <w:r>
                      <w:rPr>
                        <w:rFonts w:ascii="Arial Black" w:hAnsi="Arial Black"/>
                        <w:b/>
                        <w:w w:val="90"/>
                        <w:sz w:val="20"/>
                      </w:rPr>
                      <w:t>met:</w:t>
                    </w:r>
                    <w:r>
                      <w:rPr>
                        <w:rFonts w:ascii="Arial Black" w:hAnsi="Arial Black"/>
                        <w:b/>
                        <w:spacing w:val="-24"/>
                        <w:w w:val="90"/>
                        <w:sz w:val="20"/>
                      </w:rPr>
                      <w:t> </w:t>
                    </w:r>
                    <w:r>
                      <w:rPr>
                        <w:rFonts w:ascii="Arial Black" w:hAnsi="Arial Black"/>
                        <w:b/>
                        <w:w w:val="90"/>
                        <w:sz w:val="20"/>
                      </w:rPr>
                      <w:t>when</w:t>
                    </w:r>
                    <w:r>
                      <w:rPr>
                        <w:rFonts w:ascii="Arial Black" w:hAnsi="Arial Black"/>
                        <w:b/>
                        <w:spacing w:val="-24"/>
                        <w:w w:val="90"/>
                        <w:sz w:val="20"/>
                      </w:rPr>
                      <w:t> </w:t>
                    </w:r>
                    <w:r>
                      <w:rPr>
                        <w:rFonts w:ascii="Arial Black" w:hAnsi="Arial Black"/>
                        <w:b/>
                        <w:w w:val="90"/>
                        <w:sz w:val="20"/>
                      </w:rPr>
                      <w:t>employees</w:t>
                    </w:r>
                    <w:r>
                      <w:rPr>
                        <w:rFonts w:ascii="Arial Black" w:hAnsi="Arial Black"/>
                        <w:b/>
                        <w:spacing w:val="-24"/>
                        <w:w w:val="90"/>
                        <w:sz w:val="20"/>
                      </w:rPr>
                      <w:t> </w:t>
                    </w:r>
                    <w:r>
                      <w:rPr>
                        <w:rFonts w:ascii="Arial Black" w:hAnsi="Arial Black"/>
                        <w:b/>
                        <w:w w:val="90"/>
                        <w:sz w:val="20"/>
                      </w:rPr>
                      <w:t>possess</w:t>
                    </w:r>
                    <w:r>
                      <w:rPr>
                        <w:rFonts w:ascii="Arial Black" w:hAnsi="Arial Black"/>
                        <w:b/>
                        <w:spacing w:val="-24"/>
                        <w:w w:val="90"/>
                        <w:sz w:val="20"/>
                      </w:rPr>
                      <w:t> </w:t>
                    </w:r>
                    <w:r>
                      <w:rPr>
                        <w:rFonts w:ascii="Arial Black" w:hAnsi="Arial Black"/>
                        <w:b/>
                        <w:w w:val="90"/>
                        <w:sz w:val="20"/>
                      </w:rPr>
                      <w:t>knowledge</w:t>
                    </w:r>
                    <w:r>
                      <w:rPr>
                        <w:rFonts w:ascii="Arial Black" w:hAnsi="Arial Black"/>
                        <w:b/>
                        <w:w w:val="85"/>
                        <w:sz w:val="20"/>
                      </w:rPr>
                      <w:t> </w:t>
                    </w:r>
                    <w:r>
                      <w:rPr>
                        <w:rFonts w:ascii="Arial Black" w:hAnsi="Arial Black"/>
                        <w:b/>
                        <w:w w:val="90"/>
                        <w:sz w:val="20"/>
                      </w:rPr>
                      <w:t>and</w:t>
                    </w:r>
                    <w:r>
                      <w:rPr>
                        <w:rFonts w:ascii="Arial Black" w:hAnsi="Arial Black"/>
                        <w:b/>
                        <w:spacing w:val="-12"/>
                        <w:w w:val="90"/>
                        <w:sz w:val="20"/>
                      </w:rPr>
                      <w:t> </w:t>
                    </w:r>
                    <w:r>
                      <w:rPr>
                        <w:rFonts w:ascii="Arial Black" w:hAnsi="Arial Black"/>
                        <w:b/>
                        <w:w w:val="90"/>
                        <w:sz w:val="20"/>
                      </w:rPr>
                      <w:t>skills</w:t>
                    </w:r>
                    <w:r>
                      <w:rPr>
                        <w:rFonts w:ascii="Arial Black" w:hAnsi="Arial Black"/>
                        <w:b/>
                        <w:spacing w:val="-12"/>
                        <w:w w:val="90"/>
                        <w:sz w:val="20"/>
                      </w:rPr>
                      <w:t> </w:t>
                    </w:r>
                    <w:r>
                      <w:rPr>
                        <w:rFonts w:ascii="Arial Black" w:hAnsi="Arial Black"/>
                        <w:b/>
                        <w:w w:val="90"/>
                        <w:sz w:val="20"/>
                      </w:rPr>
                      <w:t>that</w:t>
                    </w:r>
                    <w:r>
                      <w:rPr>
                        <w:rFonts w:ascii="Arial Black" w:hAnsi="Arial Black"/>
                        <w:b/>
                        <w:spacing w:val="-12"/>
                        <w:w w:val="90"/>
                        <w:sz w:val="20"/>
                      </w:rPr>
                      <w:t> </w:t>
                    </w:r>
                    <w:r>
                      <w:rPr>
                        <w:rFonts w:ascii="Arial Black" w:hAnsi="Arial Black"/>
                        <w:b/>
                        <w:w w:val="90"/>
                        <w:sz w:val="20"/>
                      </w:rPr>
                      <w:t>managers</w:t>
                    </w:r>
                    <w:r>
                      <w:rPr>
                        <w:rFonts w:ascii="Arial Black" w:hAnsi="Arial Black"/>
                        <w:b/>
                        <w:spacing w:val="-12"/>
                        <w:w w:val="90"/>
                        <w:sz w:val="20"/>
                      </w:rPr>
                      <w:t> </w:t>
                    </w:r>
                    <w:r>
                      <w:rPr>
                        <w:rFonts w:ascii="Arial Black" w:hAnsi="Arial Black"/>
                        <w:b/>
                        <w:w w:val="90"/>
                        <w:sz w:val="20"/>
                      </w:rPr>
                      <w:t>lack;</w:t>
                    </w:r>
                    <w:r>
                      <w:rPr>
                        <w:rFonts w:ascii="Arial Black" w:hAnsi="Arial Black"/>
                        <w:b/>
                        <w:spacing w:val="-12"/>
                        <w:w w:val="90"/>
                        <w:sz w:val="20"/>
                      </w:rPr>
                      <w:t> </w:t>
                    </w:r>
                    <w:r>
                      <w:rPr>
                        <w:rFonts w:ascii="Arial Black" w:hAnsi="Arial Black"/>
                        <w:b/>
                        <w:w w:val="90"/>
                        <w:sz w:val="20"/>
                      </w:rPr>
                      <w:t>when</w:t>
                    </w:r>
                    <w:r>
                      <w:rPr>
                        <w:rFonts w:ascii="Arial Black" w:hAnsi="Arial Black"/>
                        <w:b/>
                        <w:spacing w:val="-12"/>
                        <w:w w:val="90"/>
                        <w:sz w:val="20"/>
                      </w:rPr>
                      <w:t> </w:t>
                    </w:r>
                    <w:r>
                      <w:rPr>
                        <w:rFonts w:ascii="Arial Black" w:hAnsi="Arial Black"/>
                        <w:b/>
                        <w:w w:val="90"/>
                        <w:sz w:val="20"/>
                      </w:rPr>
                      <w:t>employees</w:t>
                    </w:r>
                    <w:r>
                      <w:rPr>
                        <w:rFonts w:ascii="Arial Black" w:hAnsi="Arial Black"/>
                        <w:b/>
                        <w:spacing w:val="-12"/>
                        <w:w w:val="90"/>
                        <w:sz w:val="20"/>
                      </w:rPr>
                      <w:t> </w:t>
                    </w:r>
                    <w:r>
                      <w:rPr>
                        <w:rFonts w:ascii="Arial Black" w:hAnsi="Arial Black"/>
                        <w:b/>
                        <w:w w:val="90"/>
                        <w:sz w:val="20"/>
                      </w:rPr>
                      <w:t>are</w:t>
                    </w:r>
                    <w:r>
                      <w:rPr>
                        <w:rFonts w:ascii="Arial Black" w:hAnsi="Arial Black"/>
                        <w:b/>
                        <w:spacing w:val="-12"/>
                        <w:w w:val="90"/>
                        <w:sz w:val="20"/>
                      </w:rPr>
                      <w:t> </w:t>
                    </w:r>
                    <w:r>
                      <w:rPr>
                        <w:rFonts w:ascii="Arial Black" w:hAnsi="Arial Black"/>
                        <w:b/>
                        <w:w w:val="90"/>
                        <w:sz w:val="20"/>
                      </w:rPr>
                      <w:t>motivated to</w:t>
                    </w:r>
                    <w:r>
                      <w:rPr>
                        <w:rFonts w:ascii="Arial Black" w:hAnsi="Arial Black"/>
                        <w:b/>
                        <w:spacing w:val="-8"/>
                        <w:w w:val="90"/>
                        <w:sz w:val="20"/>
                      </w:rPr>
                      <w:t> </w:t>
                    </w:r>
                    <w:r>
                      <w:rPr>
                        <w:rFonts w:ascii="Arial Black" w:hAnsi="Arial Black"/>
                        <w:b/>
                        <w:w w:val="90"/>
                        <w:sz w:val="20"/>
                      </w:rPr>
                      <w:t>apply</w:t>
                    </w:r>
                    <w:r>
                      <w:rPr>
                        <w:rFonts w:ascii="Arial Black" w:hAnsi="Arial Black"/>
                        <w:b/>
                        <w:spacing w:val="-8"/>
                        <w:w w:val="90"/>
                        <w:sz w:val="20"/>
                      </w:rPr>
                      <w:t> </w:t>
                    </w:r>
                    <w:r>
                      <w:rPr>
                        <w:rFonts w:ascii="Arial Black" w:hAnsi="Arial Black"/>
                        <w:b/>
                        <w:w w:val="90"/>
                        <w:sz w:val="20"/>
                      </w:rPr>
                      <w:t>this</w:t>
                    </w:r>
                    <w:r>
                      <w:rPr>
                        <w:rFonts w:ascii="Arial Black" w:hAnsi="Arial Black"/>
                        <w:b/>
                        <w:spacing w:val="-8"/>
                        <w:w w:val="90"/>
                        <w:sz w:val="20"/>
                      </w:rPr>
                      <w:t> </w:t>
                    </w:r>
                    <w:r>
                      <w:rPr>
                        <w:rFonts w:ascii="Arial Black" w:hAnsi="Arial Black"/>
                        <w:b/>
                        <w:w w:val="90"/>
                        <w:sz w:val="20"/>
                      </w:rPr>
                      <w:t>skill</w:t>
                    </w:r>
                    <w:r>
                      <w:rPr>
                        <w:rFonts w:ascii="Arial Black" w:hAnsi="Arial Black"/>
                        <w:b/>
                        <w:spacing w:val="-8"/>
                        <w:w w:val="90"/>
                        <w:sz w:val="20"/>
                      </w:rPr>
                      <w:t> </w:t>
                    </w:r>
                    <w:r>
                      <w:rPr>
                        <w:rFonts w:ascii="Arial Black" w:hAnsi="Arial Black"/>
                        <w:b/>
                        <w:w w:val="90"/>
                        <w:sz w:val="20"/>
                      </w:rPr>
                      <w:t>and</w:t>
                    </w:r>
                    <w:r>
                      <w:rPr>
                        <w:rFonts w:ascii="Arial Black" w:hAnsi="Arial Black"/>
                        <w:b/>
                        <w:spacing w:val="-8"/>
                        <w:w w:val="90"/>
                        <w:sz w:val="20"/>
                      </w:rPr>
                      <w:t> </w:t>
                    </w:r>
                    <w:r>
                      <w:rPr>
                        <w:rFonts w:ascii="Arial Black" w:hAnsi="Arial Black"/>
                        <w:b/>
                        <w:w w:val="90"/>
                        <w:sz w:val="20"/>
                      </w:rPr>
                      <w:t>knowledge</w:t>
                    </w:r>
                    <w:r>
                      <w:rPr>
                        <w:rFonts w:ascii="Arial Black" w:hAnsi="Arial Black"/>
                        <w:b/>
                        <w:spacing w:val="-8"/>
                        <w:w w:val="90"/>
                        <w:sz w:val="20"/>
                      </w:rPr>
                      <w:t> </w:t>
                    </w:r>
                    <w:r>
                      <w:rPr>
                        <w:rFonts w:ascii="Arial Black" w:hAnsi="Arial Black"/>
                        <w:b/>
                        <w:w w:val="90"/>
                        <w:sz w:val="20"/>
                      </w:rPr>
                      <w:t>through</w:t>
                    </w:r>
                    <w:r>
                      <w:rPr>
                        <w:rFonts w:ascii="Arial Black" w:hAnsi="Arial Black"/>
                        <w:b/>
                        <w:spacing w:val="-8"/>
                        <w:w w:val="90"/>
                        <w:sz w:val="20"/>
                      </w:rPr>
                      <w:t> </w:t>
                    </w:r>
                    <w:r>
                      <w:rPr>
                        <w:rFonts w:ascii="Arial Black" w:hAnsi="Arial Black"/>
                        <w:b/>
                        <w:w w:val="90"/>
                        <w:sz w:val="20"/>
                      </w:rPr>
                      <w:t>discretionary</w:t>
                    </w:r>
                    <w:r>
                      <w:rPr>
                        <w:rFonts w:ascii="Arial Black" w:hAnsi="Arial Black"/>
                        <w:b/>
                        <w:spacing w:val="-8"/>
                        <w:w w:val="90"/>
                        <w:sz w:val="20"/>
                      </w:rPr>
                      <w:t> </w:t>
                    </w:r>
                    <w:r>
                      <w:rPr>
                        <w:rFonts w:ascii="Arial Black" w:hAnsi="Arial Black"/>
                        <w:b/>
                        <w:w w:val="90"/>
                        <w:sz w:val="20"/>
                      </w:rPr>
                      <w:t>effort;</w:t>
                    </w:r>
                    <w:r>
                      <w:rPr>
                        <w:rFonts w:ascii="Arial Black" w:hAnsi="Arial Black"/>
                        <w:b/>
                        <w:w w:val="84"/>
                        <w:sz w:val="20"/>
                      </w:rPr>
                      <w:t> </w:t>
                    </w:r>
                    <w:r>
                      <w:rPr>
                        <w:rFonts w:ascii="Arial Black" w:hAnsi="Arial Black"/>
                        <w:b/>
                        <w:w w:val="90"/>
                        <w:sz w:val="20"/>
                      </w:rPr>
                      <w:t>and</w:t>
                    </w:r>
                    <w:r>
                      <w:rPr>
                        <w:rFonts w:ascii="Arial Black" w:hAnsi="Arial Black"/>
                        <w:b/>
                        <w:spacing w:val="-29"/>
                        <w:w w:val="90"/>
                        <w:sz w:val="20"/>
                      </w:rPr>
                      <w:t> </w:t>
                    </w:r>
                    <w:r>
                      <w:rPr>
                        <w:rFonts w:ascii="Arial Black" w:hAnsi="Arial Black"/>
                        <w:b/>
                        <w:w w:val="90"/>
                        <w:sz w:val="20"/>
                      </w:rPr>
                      <w:t>when</w:t>
                    </w:r>
                    <w:r>
                      <w:rPr>
                        <w:rFonts w:ascii="Arial Black" w:hAnsi="Arial Black"/>
                        <w:b/>
                        <w:spacing w:val="-29"/>
                        <w:w w:val="90"/>
                        <w:sz w:val="20"/>
                      </w:rPr>
                      <w:t> </w:t>
                    </w:r>
                    <w:r>
                      <w:rPr>
                        <w:rFonts w:ascii="Arial Black" w:hAnsi="Arial Black"/>
                        <w:b/>
                        <w:w w:val="90"/>
                        <w:sz w:val="20"/>
                      </w:rPr>
                      <w:t>the</w:t>
                    </w:r>
                    <w:r>
                      <w:rPr>
                        <w:rFonts w:ascii="Arial Black" w:hAnsi="Arial Black"/>
                        <w:b/>
                        <w:spacing w:val="-29"/>
                        <w:w w:val="90"/>
                        <w:sz w:val="20"/>
                      </w:rPr>
                      <w:t> </w:t>
                    </w:r>
                    <w:r>
                      <w:rPr>
                        <w:rFonts w:ascii="Arial Black" w:hAnsi="Arial Black"/>
                        <w:b/>
                        <w:w w:val="90"/>
                        <w:sz w:val="20"/>
                      </w:rPr>
                      <w:t>ﬁrm’s</w:t>
                    </w:r>
                    <w:r>
                      <w:rPr>
                        <w:rFonts w:ascii="Arial Black" w:hAnsi="Arial Black"/>
                        <w:b/>
                        <w:spacing w:val="-29"/>
                        <w:w w:val="90"/>
                        <w:sz w:val="20"/>
                      </w:rPr>
                      <w:t> </w:t>
                    </w:r>
                    <w:r>
                      <w:rPr>
                        <w:rFonts w:ascii="Arial Black" w:hAnsi="Arial Black"/>
                        <w:b/>
                        <w:w w:val="90"/>
                        <w:sz w:val="20"/>
                      </w:rPr>
                      <w:t>business</w:t>
                    </w:r>
                    <w:r>
                      <w:rPr>
                        <w:rFonts w:ascii="Arial Black" w:hAnsi="Arial Black"/>
                        <w:b/>
                        <w:spacing w:val="-29"/>
                        <w:w w:val="90"/>
                        <w:sz w:val="20"/>
                      </w:rPr>
                      <w:t> </w:t>
                    </w:r>
                    <w:r>
                      <w:rPr>
                        <w:rFonts w:ascii="Arial Black" w:hAnsi="Arial Black"/>
                        <w:b/>
                        <w:w w:val="90"/>
                        <w:sz w:val="20"/>
                      </w:rPr>
                      <w:t>or</w:t>
                    </w:r>
                    <w:r>
                      <w:rPr>
                        <w:rFonts w:ascii="Arial Black" w:hAnsi="Arial Black"/>
                        <w:b/>
                        <w:spacing w:val="-29"/>
                        <w:w w:val="90"/>
                        <w:sz w:val="20"/>
                      </w:rPr>
                      <w:t> </w:t>
                    </w:r>
                    <w:r>
                      <w:rPr>
                        <w:rFonts w:ascii="Arial Black" w:hAnsi="Arial Black"/>
                        <w:b/>
                        <w:w w:val="90"/>
                        <w:sz w:val="20"/>
                      </w:rPr>
                      <w:t>production</w:t>
                    </w:r>
                    <w:r>
                      <w:rPr>
                        <w:rFonts w:ascii="Arial Black" w:hAnsi="Arial Black"/>
                        <w:b/>
                        <w:spacing w:val="-29"/>
                        <w:w w:val="90"/>
                        <w:sz w:val="20"/>
                      </w:rPr>
                      <w:t> </w:t>
                    </w:r>
                    <w:r>
                      <w:rPr>
                        <w:rFonts w:ascii="Arial Black" w:hAnsi="Arial Black"/>
                        <w:b/>
                        <w:w w:val="90"/>
                        <w:sz w:val="20"/>
                      </w:rPr>
                      <w:t>strategy</w:t>
                    </w:r>
                    <w:r>
                      <w:rPr>
                        <w:rFonts w:ascii="Arial Black" w:hAnsi="Arial Black"/>
                        <w:b/>
                        <w:spacing w:val="-29"/>
                        <w:w w:val="90"/>
                        <w:sz w:val="20"/>
                      </w:rPr>
                      <w:t> </w:t>
                    </w:r>
                    <w:r>
                      <w:rPr>
                        <w:rFonts w:ascii="Arial Black" w:hAnsi="Arial Black"/>
                        <w:b/>
                        <w:w w:val="90"/>
                        <w:sz w:val="20"/>
                      </w:rPr>
                      <w:t>can</w:t>
                    </w:r>
                    <w:r>
                      <w:rPr>
                        <w:rFonts w:ascii="Arial Black" w:hAnsi="Arial Black"/>
                        <w:b/>
                        <w:spacing w:val="-29"/>
                        <w:w w:val="90"/>
                        <w:sz w:val="20"/>
                      </w:rPr>
                      <w:t> </w:t>
                    </w:r>
                    <w:r>
                      <w:rPr>
                        <w:rFonts w:ascii="Arial Black" w:hAnsi="Arial Black"/>
                        <w:b/>
                        <w:w w:val="90"/>
                        <w:sz w:val="20"/>
                      </w:rPr>
                      <w:t>only</w:t>
                    </w:r>
                    <w:r>
                      <w:rPr>
                        <w:rFonts w:ascii="Arial Black" w:hAnsi="Arial Black"/>
                        <w:b/>
                        <w:spacing w:val="-29"/>
                        <w:w w:val="90"/>
                        <w:sz w:val="20"/>
                      </w:rPr>
                      <w:t> </w:t>
                    </w:r>
                    <w:r>
                      <w:rPr>
                        <w:rFonts w:ascii="Arial Black" w:hAnsi="Arial Black"/>
                        <w:b/>
                        <w:w w:val="90"/>
                        <w:sz w:val="20"/>
                      </w:rPr>
                      <w:t>be </w:t>
                    </w:r>
                    <w:r>
                      <w:rPr>
                        <w:rFonts w:ascii="Arial Black" w:hAnsi="Arial Black"/>
                        <w:b/>
                        <w:w w:val="85"/>
                        <w:sz w:val="20"/>
                      </w:rPr>
                      <w:t>achieved when employees contribute such discretionary</w:t>
                    </w:r>
                    <w:r>
                      <w:rPr>
                        <w:rFonts w:ascii="Arial Black" w:hAnsi="Arial Black"/>
                        <w:b/>
                        <w:spacing w:val="30"/>
                        <w:w w:val="85"/>
                        <w:sz w:val="20"/>
                      </w:rPr>
                      <w:t> </w:t>
                    </w:r>
                    <w:r>
                      <w:rPr>
                        <w:rFonts w:ascii="Arial Black" w:hAnsi="Arial Black"/>
                        <w:b/>
                        <w:w w:val="85"/>
                        <w:sz w:val="20"/>
                      </w:rPr>
                      <w:t>effort.</w:t>
                    </w:r>
                  </w:p>
                </w:txbxContent>
              </v:textbox>
              <w10:wrap type="none"/>
            </v:shape>
            <v:shape style="position:absolute;left:8144;top:1658;width:131;height:600" type="#_x0000_t202" filled="false" stroked="false">
              <v:textbox inset="0,0,0,0">
                <w:txbxContent>
                  <w:p>
                    <w:pPr>
                      <w:spacing w:line="600" w:lineRule="exact" w:before="0"/>
                      <w:ind w:left="0" w:right="0" w:firstLine="0"/>
                      <w:jc w:val="left"/>
                      <w:rPr>
                        <w:rFonts w:ascii="Arial Black"/>
                        <w:b/>
                        <w:sz w:val="60"/>
                      </w:rPr>
                    </w:pPr>
                    <w:r>
                      <w:rPr>
                        <w:rFonts w:ascii="Arial Black"/>
                        <w:b/>
                        <w:color w:val="656565"/>
                        <w:w w:val="65"/>
                        <w:sz w:val="60"/>
                      </w:rPr>
                      <w:t>,</w:t>
                    </w:r>
                  </w:p>
                </w:txbxContent>
              </v:textbox>
              <w10:wrap type="none"/>
            </v:shape>
            <w10:wrap type="topAndBottom"/>
          </v:group>
        </w:pict>
      </w:r>
    </w:p>
    <w:p>
      <w:pPr>
        <w:pStyle w:val="BodyText"/>
        <w:spacing w:before="119"/>
        <w:ind w:left="460" w:right="192"/>
        <w:jc w:val="both"/>
      </w:pPr>
      <w:r>
        <w:rPr/>
        <w:t>This seems to indicate clearly that the circumstances under which ‘best practice’ HRM will make a difference are quite speciﬁc. For example, it makes sense for the employer to encourage discretionary behaviour in order to achieve organisational goals – such as in high technology  industries  where  work  systems  and  processes  can  not  be  easily  codiﬁed   or</w:t>
      </w:r>
    </w:p>
    <w:p>
      <w:pPr>
        <w:spacing w:after="0"/>
        <w:jc w:val="both"/>
        <w:sectPr>
          <w:pgSz w:w="10040" w:h="13950"/>
          <w:pgMar w:header="455" w:footer="511" w:top="640" w:bottom="720" w:left="1120" w:right="1400"/>
        </w:sectPr>
      </w:pPr>
    </w:p>
    <w:p>
      <w:pPr>
        <w:pStyle w:val="BodyText"/>
      </w:pPr>
    </w:p>
    <w:p>
      <w:pPr>
        <w:pStyle w:val="BodyText"/>
        <w:rPr>
          <w:sz w:val="16"/>
        </w:rPr>
      </w:pPr>
    </w:p>
    <w:p>
      <w:pPr>
        <w:pStyle w:val="BodyText"/>
        <w:ind w:left="180" w:right="452"/>
        <w:jc w:val="both"/>
      </w:pPr>
      <w:r>
        <w:rPr/>
        <w:t>overseen by managers, and qualiﬁed workers are in short supply and there may be strong arguments for hoarding labour. In many other situations, the time taken to train new staff is relatively short, work performance can be assessed simply and speedily, and there is a </w:t>
      </w:r>
      <w:r>
        <w:rPr>
          <w:spacing w:val="45"/>
        </w:rPr>
        <w:t> </w:t>
      </w:r>
      <w:r>
        <w:rPr/>
        <w:t>supply of substitutable labour readily available. The rationale for employers adopting the high commitment paradigm in these circumstances is hard to sustain. In addition, some jobs are   so boring or unpleasant that it is inconceivable that many people would see employment security, basic training or information sharing – for example – as any kind of beneﬁt. On the contrary, these workers would probably resent being expected to take an interest in their organisation beyond routine work performance, and ﬁnd it stressful and intrusive. In short, the best practice model may not be attractive or appropriate for all groups of workers or employers.</w:t>
      </w:r>
    </w:p>
    <w:p>
      <w:pPr>
        <w:pStyle w:val="BodyText"/>
        <w:spacing w:before="12"/>
        <w:rPr>
          <w:sz w:val="19"/>
        </w:rPr>
      </w:pPr>
    </w:p>
    <w:p>
      <w:pPr>
        <w:pStyle w:val="BodyText"/>
        <w:ind w:left="180" w:right="452"/>
        <w:jc w:val="both"/>
      </w:pPr>
      <w:r>
        <w:rPr/>
        <w:t>Finally, the growth in ‘non-standard’ contracts has led many commentators to question if ‘ﬂexible’ employment is compatible with ‘best practice’ HRM, and whether or not the latter can be applied to all employees in an organisation irrespective of their occupational status or labour market value (Kinnie </w:t>
      </w:r>
      <w:r>
        <w:rPr>
          <w:rFonts w:ascii="Arial Narrow Italic" w:hAnsi="Arial Narrow Italic"/>
          <w:i/>
        </w:rPr>
        <w:t>et al </w:t>
      </w:r>
      <w:r>
        <w:rPr/>
        <w:t>2004). As we saw in Chapter 2, the changing nature of the psychological contract has led to worries that employment insecurity is now widespread, and evidence shows that between the 1970s and the 1990s, the proportion of people who had experienced a spell of unemployment almost trebled from 7 per cent to approximately 20 per cent of the population (Gallie </w:t>
      </w:r>
      <w:r>
        <w:rPr>
          <w:rFonts w:ascii="Arial Narrow Italic" w:hAnsi="Arial Narrow Italic"/>
          <w:i/>
        </w:rPr>
        <w:t>et al </w:t>
      </w:r>
      <w:r>
        <w:rPr/>
        <w:t>1998, p124). Other data reinforces case study and anecdotal evidence that employees now feel rather more insecure than they did 20 years  </w:t>
      </w:r>
      <w:r>
        <w:rPr>
          <w:spacing w:val="45"/>
        </w:rPr>
        <w:t> </w:t>
      </w:r>
      <w:r>
        <w:rPr/>
        <w:t>ago. However, some groups of employees appear to be gaining more from ‘best practice’</w:t>
      </w:r>
      <w:r>
        <w:rPr>
          <w:spacing w:val="45"/>
        </w:rPr>
        <w:t> </w:t>
      </w:r>
      <w:r>
        <w:rPr/>
        <w:t>HRM than others, especially those who remain working for the same employer for many</w:t>
      </w:r>
      <w:r>
        <w:rPr>
          <w:spacing w:val="45"/>
        </w:rPr>
        <w:t> </w:t>
      </w:r>
      <w:r>
        <w:rPr/>
        <w:t>years. This suggests distinctions could be arising between long-serving workers, whom employers might wish to nurture, and short-term contract staff or subcontracted workers (Purcell</w:t>
      </w:r>
      <w:r>
        <w:rPr>
          <w:spacing w:val="4"/>
        </w:rPr>
        <w:t> </w:t>
      </w:r>
      <w:r>
        <w:rPr/>
        <w:t>1999).</w:t>
      </w:r>
    </w:p>
    <w:p>
      <w:pPr>
        <w:pStyle w:val="BodyText"/>
        <w:spacing w:before="9"/>
        <w:rPr>
          <w:sz w:val="23"/>
        </w:rPr>
      </w:pPr>
    </w:p>
    <w:p>
      <w:pPr>
        <w:pStyle w:val="Heading1"/>
      </w:pPr>
      <w:r>
        <w:rPr>
          <w:color w:val="5E792D"/>
        </w:rPr>
        <w:t>CONCLUSIONS </w:t>
      </w:r>
    </w:p>
    <w:p>
      <w:pPr>
        <w:pStyle w:val="BodyText"/>
        <w:spacing w:before="76"/>
        <w:ind w:left="180" w:right="452"/>
        <w:jc w:val="both"/>
      </w:pPr>
      <w:r>
        <w:rPr/>
        <w:t>The focus in this chapter has been on high commitment HRM, and we have examined the</w:t>
      </w:r>
      <w:r>
        <w:rPr>
          <w:spacing w:val="45"/>
        </w:rPr>
        <w:t> </w:t>
      </w:r>
      <w:r>
        <w:rPr/>
        <w:t>way in which HR policies and practices may be used to provide coherent and comprehensive human resource bundles. This has led to suggestions that there is one best way in which </w:t>
      </w:r>
      <w:r>
        <w:rPr>
          <w:spacing w:val="45"/>
        </w:rPr>
        <w:t> </w:t>
      </w:r>
      <w:r>
        <w:rPr/>
        <w:t>HRM should be delivered, and moreover that this has a positive impact on organisational performance. There is currently a good deal of interest in the high commitment HRM–performance link, and to ideas that a speciﬁc bundle of human resource policies and practices is inherently superior and capable of making a major contribution to organisational success in all workplaces. There is also policy interest in this approach through the notion of HCM reporting. We have reviewed this argument in the chapter, pointing to alternative and competing interpretations of the research ﬁndings, as well as calling for greater reﬂection on whether or not best practice HRM really can make a difference to bottom line performance in all workplaces. Holman </w:t>
      </w:r>
      <w:r>
        <w:rPr>
          <w:rFonts w:ascii="Arial Narrow Italic" w:hAnsi="Arial Narrow Italic"/>
          <w:i/>
        </w:rPr>
        <w:t>et al </w:t>
      </w:r>
      <w:r>
        <w:rPr/>
        <w:t>(2003, pp422–424) summarise the scale of the research task </w:t>
      </w:r>
      <w:r>
        <w:rPr>
          <w:spacing w:val="45"/>
        </w:rPr>
        <w:t> </w:t>
      </w:r>
      <w:r>
        <w:rPr/>
        <w:t>that is needed to move the debate on, and include many of the points that have been raised   in this chapter. The high commitment model is appealing as it supports the case for implementing ‘good’ people management practices on business grounds. However, there is also a strong theoretical and empirical basis for arguing that high commitment models cannot be – and are not being – applied in all workplaces and to all groups of staff. Having  considered the ‘best practice’ perspective in this chapter, we are now in a position to analyse the alternative – ‘best ﬁt’ – scenario in Chapter</w:t>
      </w:r>
      <w:r>
        <w:rPr>
          <w:spacing w:val="29"/>
        </w:rPr>
        <w:t> </w:t>
      </w:r>
      <w:r>
        <w:rPr/>
        <w:t>4.</w:t>
      </w:r>
    </w:p>
    <w:p>
      <w:pPr>
        <w:spacing w:after="0"/>
        <w:jc w:val="both"/>
        <w:sectPr>
          <w:pgSz w:w="10040" w:h="13950"/>
          <w:pgMar w:header="455" w:footer="527" w:top="640" w:bottom="720" w:left="1400" w:right="1140"/>
        </w:sectPr>
      </w:pPr>
    </w:p>
    <w:p>
      <w:pPr>
        <w:pStyle w:val="BodyText"/>
      </w:pPr>
    </w:p>
    <w:p>
      <w:pPr>
        <w:pStyle w:val="Heading1"/>
        <w:spacing w:before="182"/>
        <w:ind w:left="460"/>
        <w:jc w:val="left"/>
      </w:pPr>
      <w:r>
        <w:rPr>
          <w:color w:val="5E792D"/>
        </w:rPr>
        <w:t>USEFUL READING </w:t>
      </w:r>
    </w:p>
    <w:p>
      <w:pPr>
        <w:spacing w:before="76"/>
        <w:ind w:left="660" w:right="192" w:hanging="200"/>
        <w:jc w:val="both"/>
        <w:rPr>
          <w:sz w:val="20"/>
        </w:rPr>
      </w:pPr>
      <w:r>
        <w:rPr>
          <w:sz w:val="20"/>
        </w:rPr>
        <w:t>B</w:t>
      </w:r>
      <w:r>
        <w:rPr>
          <w:sz w:val="15"/>
        </w:rPr>
        <w:t>OXALL </w:t>
      </w:r>
      <w:r>
        <w:rPr>
          <w:spacing w:val="-11"/>
          <w:sz w:val="20"/>
        </w:rPr>
        <w:t>P. </w:t>
      </w:r>
      <w:r>
        <w:rPr>
          <w:rFonts w:ascii="Arial Narrow Italic"/>
          <w:i/>
          <w:sz w:val="20"/>
        </w:rPr>
        <w:t>and </w:t>
      </w:r>
      <w:r>
        <w:rPr>
          <w:sz w:val="20"/>
        </w:rPr>
        <w:t>P</w:t>
      </w:r>
      <w:r>
        <w:rPr>
          <w:sz w:val="15"/>
        </w:rPr>
        <w:t>URCELL </w:t>
      </w:r>
      <w:r>
        <w:rPr>
          <w:sz w:val="20"/>
        </w:rPr>
        <w:t>J. </w:t>
      </w:r>
      <w:r>
        <w:rPr>
          <w:rFonts w:ascii="Arial Narrow Italic"/>
          <w:i/>
          <w:sz w:val="20"/>
        </w:rPr>
        <w:t>Strategy and Human Resource Management</w:t>
      </w:r>
      <w:r>
        <w:rPr>
          <w:sz w:val="20"/>
        </w:rPr>
        <w:t>.  Basingstoke,  Palgrave Macmillan.</w:t>
      </w:r>
      <w:r>
        <w:rPr>
          <w:spacing w:val="7"/>
          <w:sz w:val="20"/>
        </w:rPr>
        <w:t> </w:t>
      </w:r>
      <w:r>
        <w:rPr>
          <w:sz w:val="20"/>
        </w:rPr>
        <w:t>2003.</w:t>
      </w:r>
    </w:p>
    <w:p>
      <w:pPr>
        <w:spacing w:before="85"/>
        <w:ind w:left="660" w:right="192" w:hanging="201"/>
        <w:jc w:val="both"/>
        <w:rPr>
          <w:sz w:val="20"/>
        </w:rPr>
      </w:pPr>
      <w:r>
        <w:rPr>
          <w:sz w:val="20"/>
        </w:rPr>
        <w:t>G</w:t>
      </w:r>
      <w:r>
        <w:rPr>
          <w:sz w:val="15"/>
        </w:rPr>
        <w:t>ODARD </w:t>
      </w:r>
      <w:r>
        <w:rPr>
          <w:sz w:val="20"/>
        </w:rPr>
        <w:t>J. ‘A critical assessment of the high performance paradigm’, </w:t>
      </w:r>
      <w:r>
        <w:rPr>
          <w:rFonts w:ascii="Arial Narrow Italic" w:hAnsi="Arial Narrow Italic"/>
          <w:i/>
          <w:sz w:val="20"/>
        </w:rPr>
        <w:t>British Journal of Industrial Relations</w:t>
      </w:r>
      <w:r>
        <w:rPr>
          <w:sz w:val="20"/>
        </w:rPr>
        <w:t>, Vol. 42, No. 2, 2004. pp349–378.</w:t>
      </w:r>
    </w:p>
    <w:p>
      <w:pPr>
        <w:spacing w:before="85"/>
        <w:ind w:left="660" w:right="192" w:hanging="201"/>
        <w:jc w:val="both"/>
        <w:rPr>
          <w:sz w:val="20"/>
        </w:rPr>
      </w:pPr>
      <w:r>
        <w:rPr>
          <w:sz w:val="20"/>
        </w:rPr>
        <w:t>G</w:t>
      </w:r>
      <w:r>
        <w:rPr>
          <w:sz w:val="15"/>
        </w:rPr>
        <w:t>UEST </w:t>
      </w:r>
      <w:r>
        <w:rPr>
          <w:sz w:val="20"/>
        </w:rPr>
        <w:t>D., M</w:t>
      </w:r>
      <w:r>
        <w:rPr>
          <w:sz w:val="15"/>
        </w:rPr>
        <w:t>ICHIE </w:t>
      </w:r>
      <w:r>
        <w:rPr>
          <w:sz w:val="20"/>
        </w:rPr>
        <w:t>J., C</w:t>
      </w:r>
      <w:r>
        <w:rPr>
          <w:sz w:val="15"/>
        </w:rPr>
        <w:t>ONWAY</w:t>
      </w:r>
      <w:r>
        <w:rPr>
          <w:sz w:val="20"/>
        </w:rPr>
        <w:t>, N. </w:t>
      </w:r>
      <w:r>
        <w:rPr>
          <w:rFonts w:ascii="Arial Narrow Italic" w:hAnsi="Arial Narrow Italic"/>
          <w:i/>
          <w:sz w:val="20"/>
        </w:rPr>
        <w:t>and </w:t>
      </w:r>
      <w:r>
        <w:rPr>
          <w:sz w:val="20"/>
        </w:rPr>
        <w:t>S</w:t>
      </w:r>
      <w:r>
        <w:rPr>
          <w:sz w:val="15"/>
        </w:rPr>
        <w:t>HEEHAN </w:t>
      </w:r>
      <w:r>
        <w:rPr>
          <w:sz w:val="20"/>
        </w:rPr>
        <w:t>M. ‘Human resource management and performance’, </w:t>
      </w:r>
      <w:r>
        <w:rPr>
          <w:rFonts w:ascii="Arial Narrow Italic" w:hAnsi="Arial Narrow Italic"/>
          <w:i/>
          <w:sz w:val="20"/>
        </w:rPr>
        <w:t>British Journal of Industrial Relations</w:t>
      </w:r>
      <w:r>
        <w:rPr>
          <w:sz w:val="20"/>
        </w:rPr>
        <w:t>, Vol. 41, No. 2, 2003.  pp291–314.</w:t>
      </w:r>
    </w:p>
    <w:p>
      <w:pPr>
        <w:spacing w:before="85"/>
        <w:ind w:left="660" w:right="192" w:hanging="201"/>
        <w:jc w:val="both"/>
        <w:rPr>
          <w:sz w:val="20"/>
        </w:rPr>
      </w:pPr>
      <w:r>
        <w:rPr>
          <w:sz w:val="20"/>
        </w:rPr>
        <w:t>G</w:t>
      </w:r>
      <w:r>
        <w:rPr>
          <w:sz w:val="15"/>
        </w:rPr>
        <w:t>UEST </w:t>
      </w:r>
      <w:r>
        <w:rPr>
          <w:sz w:val="20"/>
        </w:rPr>
        <w:t>D., M</w:t>
      </w:r>
      <w:r>
        <w:rPr>
          <w:sz w:val="15"/>
        </w:rPr>
        <w:t>ICHIE </w:t>
      </w:r>
      <w:r>
        <w:rPr>
          <w:sz w:val="20"/>
        </w:rPr>
        <w:t>J., S</w:t>
      </w:r>
      <w:r>
        <w:rPr>
          <w:sz w:val="15"/>
        </w:rPr>
        <w:t>HEEHAN </w:t>
      </w:r>
      <w:r>
        <w:rPr>
          <w:sz w:val="20"/>
        </w:rPr>
        <w:t>M., C</w:t>
      </w:r>
      <w:r>
        <w:rPr>
          <w:sz w:val="15"/>
        </w:rPr>
        <w:t>ONWAY </w:t>
      </w:r>
      <w:r>
        <w:rPr>
          <w:sz w:val="20"/>
        </w:rPr>
        <w:t>N. </w:t>
      </w:r>
      <w:r>
        <w:rPr>
          <w:rFonts w:ascii="Arial Narrow Italic" w:hAnsi="Arial Narrow Italic"/>
          <w:i/>
          <w:sz w:val="20"/>
        </w:rPr>
        <w:t>and </w:t>
      </w:r>
      <w:r>
        <w:rPr>
          <w:sz w:val="20"/>
        </w:rPr>
        <w:t>M</w:t>
      </w:r>
      <w:r>
        <w:rPr>
          <w:sz w:val="15"/>
        </w:rPr>
        <w:t>ETOCHI </w:t>
      </w:r>
      <w:r>
        <w:rPr>
          <w:sz w:val="20"/>
        </w:rPr>
        <w:t>M. </w:t>
      </w:r>
      <w:r>
        <w:rPr>
          <w:rFonts w:ascii="Arial Narrow Italic" w:hAnsi="Arial Narrow Italic"/>
          <w:i/>
          <w:sz w:val="20"/>
        </w:rPr>
        <w:t>Effective People Management: Initial ﬁndings of the Future of Work study</w:t>
      </w:r>
      <w:r>
        <w:rPr>
          <w:sz w:val="20"/>
        </w:rPr>
        <w:t>. London, CIPD. 2000b.</w:t>
      </w:r>
    </w:p>
    <w:p>
      <w:pPr>
        <w:spacing w:before="85"/>
        <w:ind w:left="660" w:right="189" w:hanging="200"/>
        <w:jc w:val="both"/>
        <w:rPr>
          <w:sz w:val="20"/>
        </w:rPr>
      </w:pPr>
      <w:r>
        <w:rPr>
          <w:sz w:val="20"/>
        </w:rPr>
        <w:t>H</w:t>
      </w:r>
      <w:r>
        <w:rPr>
          <w:sz w:val="15"/>
        </w:rPr>
        <w:t>OLMAN </w:t>
      </w:r>
      <w:r>
        <w:rPr>
          <w:sz w:val="20"/>
        </w:rPr>
        <w:t>D., W</w:t>
      </w:r>
      <w:r>
        <w:rPr>
          <w:sz w:val="15"/>
        </w:rPr>
        <w:t>ALL </w:t>
      </w:r>
      <w:r>
        <w:rPr>
          <w:spacing w:val="-7"/>
          <w:sz w:val="20"/>
        </w:rPr>
        <w:t>T., </w:t>
      </w:r>
      <w:r>
        <w:rPr>
          <w:sz w:val="20"/>
        </w:rPr>
        <w:t>C</w:t>
      </w:r>
      <w:r>
        <w:rPr>
          <w:sz w:val="15"/>
        </w:rPr>
        <w:t>LEGG </w:t>
      </w:r>
      <w:r>
        <w:rPr>
          <w:sz w:val="20"/>
        </w:rPr>
        <w:t>C., S</w:t>
      </w:r>
      <w:r>
        <w:rPr>
          <w:sz w:val="15"/>
        </w:rPr>
        <w:t>PARROW </w:t>
      </w:r>
      <w:r>
        <w:rPr>
          <w:spacing w:val="-11"/>
          <w:sz w:val="20"/>
        </w:rPr>
        <w:t>P.  </w:t>
      </w:r>
      <w:r>
        <w:rPr>
          <w:rFonts w:ascii="Arial Narrow Italic"/>
          <w:i/>
          <w:sz w:val="20"/>
        </w:rPr>
        <w:t>and </w:t>
      </w:r>
      <w:r>
        <w:rPr>
          <w:sz w:val="20"/>
        </w:rPr>
        <w:t>H</w:t>
      </w:r>
      <w:r>
        <w:rPr>
          <w:sz w:val="15"/>
        </w:rPr>
        <w:t>OWARD  </w:t>
      </w:r>
      <w:r>
        <w:rPr>
          <w:sz w:val="20"/>
        </w:rPr>
        <w:t>A. </w:t>
      </w:r>
      <w:r>
        <w:rPr>
          <w:rFonts w:ascii="Arial Narrow Italic"/>
          <w:i/>
          <w:sz w:val="20"/>
        </w:rPr>
        <w:t>The New Workplace: A guide to  the human impact of modern working practices. </w:t>
      </w:r>
      <w:r>
        <w:rPr>
          <w:sz w:val="20"/>
        </w:rPr>
        <w:t>London, Wiley. 2003. The chapters by Wood, Batt and Doellgast, Wright and Gardner, and Legge are particularly</w:t>
      </w:r>
      <w:r>
        <w:rPr>
          <w:spacing w:val="28"/>
          <w:sz w:val="20"/>
        </w:rPr>
        <w:t> </w:t>
      </w:r>
      <w:r>
        <w:rPr>
          <w:sz w:val="20"/>
        </w:rPr>
        <w:t>useful</w:t>
      </w:r>
    </w:p>
    <w:p>
      <w:pPr>
        <w:spacing w:before="85"/>
        <w:ind w:left="660" w:right="192" w:hanging="201"/>
        <w:jc w:val="both"/>
        <w:rPr>
          <w:sz w:val="20"/>
        </w:rPr>
      </w:pPr>
      <w:r>
        <w:rPr>
          <w:sz w:val="20"/>
        </w:rPr>
        <w:t>M</w:t>
      </w:r>
      <w:r>
        <w:rPr>
          <w:sz w:val="15"/>
        </w:rPr>
        <w:t>ARCHINGTON </w:t>
      </w:r>
      <w:r>
        <w:rPr>
          <w:sz w:val="20"/>
        </w:rPr>
        <w:t>M. </w:t>
      </w:r>
      <w:r>
        <w:rPr>
          <w:rFonts w:ascii="Arial Narrow Italic" w:hAnsi="Arial Narrow Italic"/>
          <w:i/>
          <w:sz w:val="20"/>
        </w:rPr>
        <w:t>and </w:t>
      </w:r>
      <w:r>
        <w:rPr>
          <w:sz w:val="20"/>
        </w:rPr>
        <w:t>G</w:t>
      </w:r>
      <w:r>
        <w:rPr>
          <w:sz w:val="15"/>
        </w:rPr>
        <w:t>RUGULIS </w:t>
      </w:r>
      <w:r>
        <w:rPr>
          <w:sz w:val="20"/>
        </w:rPr>
        <w:t>I. ‘“Best practice” human resource management: perfect opportunity or dangerous illusion?’, </w:t>
      </w:r>
      <w:r>
        <w:rPr>
          <w:rFonts w:ascii="Arial Narrow Italic" w:hAnsi="Arial Narrow Italic"/>
          <w:i/>
          <w:sz w:val="20"/>
        </w:rPr>
        <w:t>International Journal of Human  Resource</w:t>
      </w:r>
      <w:r>
        <w:rPr>
          <w:rFonts w:ascii="Arial Narrow Italic" w:hAnsi="Arial Narrow Italic"/>
          <w:i/>
          <w:spacing w:val="45"/>
          <w:sz w:val="20"/>
        </w:rPr>
        <w:t> </w:t>
      </w:r>
      <w:r>
        <w:rPr>
          <w:rFonts w:ascii="Arial Narrow Italic" w:hAnsi="Arial Narrow Italic"/>
          <w:i/>
          <w:sz w:val="20"/>
        </w:rPr>
        <w:t>Management</w:t>
      </w:r>
      <w:r>
        <w:rPr>
          <w:sz w:val="20"/>
        </w:rPr>
        <w:t>, </w:t>
      </w:r>
      <w:r>
        <w:rPr>
          <w:spacing w:val="-3"/>
          <w:sz w:val="20"/>
        </w:rPr>
        <w:t>Vol. </w:t>
      </w:r>
      <w:r>
        <w:rPr>
          <w:spacing w:val="-4"/>
          <w:sz w:val="20"/>
        </w:rPr>
        <w:t>11, </w:t>
      </w:r>
      <w:r>
        <w:rPr>
          <w:sz w:val="20"/>
        </w:rPr>
        <w:t>No. 4, 2000.</w:t>
      </w:r>
      <w:r>
        <w:rPr>
          <w:spacing w:val="32"/>
          <w:sz w:val="20"/>
        </w:rPr>
        <w:t> </w:t>
      </w:r>
      <w:r>
        <w:rPr>
          <w:sz w:val="20"/>
        </w:rPr>
        <w:t>pp905–925.</w:t>
      </w:r>
    </w:p>
    <w:p>
      <w:pPr>
        <w:spacing w:before="85"/>
        <w:ind w:left="660" w:right="192" w:hanging="200"/>
        <w:jc w:val="both"/>
        <w:rPr>
          <w:sz w:val="20"/>
        </w:rPr>
      </w:pPr>
      <w:r>
        <w:rPr>
          <w:sz w:val="20"/>
        </w:rPr>
        <w:t>P</w:t>
      </w:r>
      <w:r>
        <w:rPr>
          <w:sz w:val="15"/>
        </w:rPr>
        <w:t>FEFFER </w:t>
      </w:r>
      <w:r>
        <w:rPr>
          <w:sz w:val="20"/>
        </w:rPr>
        <w:t>J. </w:t>
      </w:r>
      <w:r>
        <w:rPr>
          <w:rFonts w:ascii="Arial Narrow Italic" w:hAnsi="Arial Narrow Italic"/>
          <w:i/>
          <w:sz w:val="20"/>
        </w:rPr>
        <w:t>The Human Equation: Building proﬁts by putting people ﬁrst. </w:t>
      </w:r>
      <w:r>
        <w:rPr>
          <w:sz w:val="20"/>
        </w:rPr>
        <w:t>Boston, Harvard Business School Press. 1998.</w:t>
      </w:r>
    </w:p>
    <w:p>
      <w:pPr>
        <w:spacing w:before="85"/>
        <w:ind w:left="660" w:right="192" w:hanging="200"/>
        <w:jc w:val="both"/>
        <w:rPr>
          <w:sz w:val="20"/>
        </w:rPr>
      </w:pPr>
      <w:r>
        <w:rPr>
          <w:sz w:val="20"/>
        </w:rPr>
        <w:t>P</w:t>
      </w:r>
      <w:r>
        <w:rPr>
          <w:sz w:val="15"/>
        </w:rPr>
        <w:t>URCELL </w:t>
      </w:r>
      <w:r>
        <w:rPr>
          <w:sz w:val="20"/>
        </w:rPr>
        <w:t>J. ‘The search for best practice and best ﬁt in human  resource  management:  chimera or cul-de-sac?’, </w:t>
      </w:r>
      <w:r>
        <w:rPr>
          <w:rFonts w:ascii="Arial Narrow Italic" w:hAnsi="Arial Narrow Italic"/>
          <w:i/>
          <w:sz w:val="20"/>
        </w:rPr>
        <w:t>Human Resource Management Journal</w:t>
      </w:r>
      <w:r>
        <w:rPr>
          <w:sz w:val="20"/>
        </w:rPr>
        <w:t>, </w:t>
      </w:r>
      <w:r>
        <w:rPr>
          <w:spacing w:val="-3"/>
          <w:sz w:val="20"/>
        </w:rPr>
        <w:t>Vol. </w:t>
      </w:r>
      <w:r>
        <w:rPr>
          <w:sz w:val="20"/>
        </w:rPr>
        <w:t>9, No. 3, 1999. pp26–41.</w:t>
      </w:r>
    </w:p>
    <w:p>
      <w:pPr>
        <w:spacing w:before="85"/>
        <w:ind w:left="660" w:right="192" w:hanging="201"/>
        <w:jc w:val="both"/>
        <w:rPr>
          <w:sz w:val="20"/>
        </w:rPr>
      </w:pPr>
      <w:r>
        <w:rPr>
          <w:sz w:val="20"/>
        </w:rPr>
        <w:t>P</w:t>
      </w:r>
      <w:r>
        <w:rPr>
          <w:sz w:val="15"/>
        </w:rPr>
        <w:t>URCELL </w:t>
      </w:r>
      <w:r>
        <w:rPr>
          <w:sz w:val="20"/>
        </w:rPr>
        <w:t>J., K</w:t>
      </w:r>
      <w:r>
        <w:rPr>
          <w:sz w:val="15"/>
        </w:rPr>
        <w:t>INNIE </w:t>
      </w:r>
      <w:r>
        <w:rPr>
          <w:sz w:val="20"/>
        </w:rPr>
        <w:t>N., H</w:t>
      </w:r>
      <w:r>
        <w:rPr>
          <w:sz w:val="15"/>
        </w:rPr>
        <w:t>UTCHINSON </w:t>
      </w:r>
      <w:r>
        <w:rPr>
          <w:sz w:val="20"/>
        </w:rPr>
        <w:t>S., R</w:t>
      </w:r>
      <w:r>
        <w:rPr>
          <w:sz w:val="15"/>
        </w:rPr>
        <w:t>AYTON </w:t>
      </w:r>
      <w:r>
        <w:rPr>
          <w:sz w:val="20"/>
        </w:rPr>
        <w:t>B. </w:t>
      </w:r>
      <w:r>
        <w:rPr>
          <w:rFonts w:ascii="Arial Narrow Italic"/>
          <w:i/>
          <w:sz w:val="20"/>
        </w:rPr>
        <w:t>and </w:t>
      </w:r>
      <w:r>
        <w:rPr>
          <w:sz w:val="20"/>
        </w:rPr>
        <w:t>S</w:t>
      </w:r>
      <w:r>
        <w:rPr>
          <w:sz w:val="15"/>
        </w:rPr>
        <w:t>WART </w:t>
      </w:r>
      <w:r>
        <w:rPr>
          <w:sz w:val="20"/>
        </w:rPr>
        <w:t>J. </w:t>
      </w:r>
      <w:r>
        <w:rPr>
          <w:rFonts w:ascii="Arial Narrow Italic"/>
          <w:i/>
          <w:sz w:val="20"/>
        </w:rPr>
        <w:t>Understanding the People and Performance Link: Unlocking the black box. </w:t>
      </w:r>
      <w:r>
        <w:rPr>
          <w:sz w:val="20"/>
        </w:rPr>
        <w:t>London, CIPD. 2003.</w:t>
      </w:r>
    </w:p>
    <w:p>
      <w:pPr>
        <w:spacing w:before="85"/>
        <w:ind w:left="660" w:right="192" w:hanging="200"/>
        <w:jc w:val="both"/>
        <w:rPr>
          <w:sz w:val="20"/>
        </w:rPr>
      </w:pPr>
      <w:r>
        <w:rPr>
          <w:sz w:val="20"/>
        </w:rPr>
        <w:t>R</w:t>
      </w:r>
      <w:r>
        <w:rPr>
          <w:sz w:val="15"/>
        </w:rPr>
        <w:t>AMSAY </w:t>
      </w:r>
      <w:r>
        <w:rPr>
          <w:sz w:val="20"/>
        </w:rPr>
        <w:t>H., S</w:t>
      </w:r>
      <w:r>
        <w:rPr>
          <w:sz w:val="15"/>
        </w:rPr>
        <w:t>CHOLARIOS </w:t>
      </w:r>
      <w:r>
        <w:rPr>
          <w:sz w:val="20"/>
        </w:rPr>
        <w:t>D. </w:t>
      </w:r>
      <w:r>
        <w:rPr>
          <w:rFonts w:ascii="Arial Narrow Italic" w:hAnsi="Arial Narrow Italic"/>
          <w:i/>
          <w:sz w:val="20"/>
        </w:rPr>
        <w:t>and </w:t>
      </w:r>
      <w:r>
        <w:rPr>
          <w:sz w:val="20"/>
        </w:rPr>
        <w:t>H</w:t>
      </w:r>
      <w:r>
        <w:rPr>
          <w:sz w:val="15"/>
        </w:rPr>
        <w:t>ARLEY </w:t>
      </w:r>
      <w:r>
        <w:rPr>
          <w:sz w:val="20"/>
        </w:rPr>
        <w:t>B. ‘Employees and high-performance work systems: testing inside the black box’, </w:t>
      </w:r>
      <w:r>
        <w:rPr>
          <w:rFonts w:ascii="Arial Narrow Italic" w:hAnsi="Arial Narrow Italic"/>
          <w:i/>
          <w:sz w:val="20"/>
        </w:rPr>
        <w:t>British Journal of Industrial Relations</w:t>
      </w:r>
      <w:r>
        <w:rPr>
          <w:sz w:val="20"/>
        </w:rPr>
        <w:t>, Vol. 38, No. 4, 2000. pp501–531.</w:t>
      </w:r>
    </w:p>
    <w:p>
      <w:pPr>
        <w:spacing w:before="85"/>
        <w:ind w:left="460" w:right="0" w:firstLine="0"/>
        <w:jc w:val="left"/>
        <w:rPr>
          <w:sz w:val="15"/>
        </w:rPr>
      </w:pPr>
      <w:r>
        <w:rPr>
          <w:sz w:val="20"/>
        </w:rPr>
        <w:t>W</w:t>
      </w:r>
      <w:r>
        <w:rPr>
          <w:sz w:val="15"/>
        </w:rPr>
        <w:t>EST  </w:t>
      </w:r>
      <w:r>
        <w:rPr>
          <w:sz w:val="20"/>
        </w:rPr>
        <w:t>M., B</w:t>
      </w:r>
      <w:r>
        <w:rPr>
          <w:sz w:val="15"/>
        </w:rPr>
        <w:t>ORRILL </w:t>
      </w:r>
      <w:r>
        <w:rPr>
          <w:sz w:val="20"/>
        </w:rPr>
        <w:t>C., D</w:t>
      </w:r>
      <w:r>
        <w:rPr>
          <w:sz w:val="15"/>
        </w:rPr>
        <w:t>AWSON  </w:t>
      </w:r>
      <w:r>
        <w:rPr>
          <w:sz w:val="20"/>
        </w:rPr>
        <w:t>J., S</w:t>
      </w:r>
      <w:r>
        <w:rPr>
          <w:sz w:val="15"/>
        </w:rPr>
        <w:t>CULLY  </w:t>
      </w:r>
      <w:r>
        <w:rPr>
          <w:sz w:val="20"/>
        </w:rPr>
        <w:t>J., C</w:t>
      </w:r>
      <w:r>
        <w:rPr>
          <w:sz w:val="15"/>
        </w:rPr>
        <w:t>ARTER  </w:t>
      </w:r>
      <w:r>
        <w:rPr>
          <w:sz w:val="20"/>
        </w:rPr>
        <w:t>M., A</w:t>
      </w:r>
      <w:r>
        <w:rPr>
          <w:sz w:val="15"/>
        </w:rPr>
        <w:t>NELAY  </w:t>
      </w:r>
      <w:r>
        <w:rPr>
          <w:sz w:val="20"/>
        </w:rPr>
        <w:t>S., P</w:t>
      </w:r>
      <w:r>
        <w:rPr>
          <w:sz w:val="15"/>
        </w:rPr>
        <w:t>ATTERSON  </w:t>
      </w:r>
      <w:r>
        <w:rPr>
          <w:sz w:val="20"/>
        </w:rPr>
        <w:t>M. </w:t>
      </w:r>
      <w:r>
        <w:rPr>
          <w:rFonts w:ascii="Arial Narrow Italic"/>
          <w:i/>
          <w:sz w:val="20"/>
        </w:rPr>
        <w:t>and </w:t>
      </w:r>
      <w:r>
        <w:rPr>
          <w:sz w:val="20"/>
        </w:rPr>
        <w:t>W</w:t>
      </w:r>
      <w:r>
        <w:rPr>
          <w:sz w:val="15"/>
        </w:rPr>
        <w:t>ARING</w:t>
      </w:r>
    </w:p>
    <w:p>
      <w:pPr>
        <w:spacing w:before="0"/>
        <w:ind w:left="660" w:right="192" w:firstLine="0"/>
        <w:jc w:val="both"/>
        <w:rPr>
          <w:sz w:val="20"/>
        </w:rPr>
      </w:pPr>
      <w:r>
        <w:rPr>
          <w:sz w:val="20"/>
        </w:rPr>
        <w:t>J. ‘The link between the management of employees and patient mortality in acute  hospitals’, </w:t>
      </w:r>
      <w:r>
        <w:rPr>
          <w:rFonts w:ascii="Arial Narrow Italic" w:hAnsi="Arial Narrow Italic"/>
          <w:i/>
          <w:sz w:val="20"/>
        </w:rPr>
        <w:t>International Journal of Human Resource Management</w:t>
      </w:r>
      <w:r>
        <w:rPr>
          <w:sz w:val="20"/>
        </w:rPr>
        <w:t>, </w:t>
      </w:r>
      <w:r>
        <w:rPr>
          <w:spacing w:val="-3"/>
          <w:sz w:val="20"/>
        </w:rPr>
        <w:t>Vol. </w:t>
      </w:r>
      <w:r>
        <w:rPr>
          <w:sz w:val="20"/>
        </w:rPr>
        <w:t>13, No. 8, 2002. pp1299–1310.</w:t>
      </w:r>
    </w:p>
    <w:sectPr>
      <w:pgSz w:w="10040" w:h="13950"/>
      <w:pgMar w:header="455" w:footer="511" w:top="640" w:bottom="720" w:left="1120" w:right="140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Narrow">
    <w:altName w:val="Arial Narrow"/>
    <w:charset w:val="0"/>
    <w:family w:val="auto"/>
    <w:pitch w:val="default"/>
  </w:font>
  <w:font w:name="Arial Narrow Italic">
    <w:altName w:val="Arial Narrow Italic"/>
    <w:charset w:val="0"/>
    <w:family w:val="auto"/>
    <w:pitch w:val="default"/>
  </w:font>
  <w:font w:name="Arial Narrow Bold">
    <w:altName w:val="Arial Narrow Bold"/>
    <w:charset w:val="0"/>
    <w:family w:val="auto"/>
    <w:pitch w:val="default"/>
  </w:font>
  <w:font w:name="MS UI Gothic">
    <w:altName w:val="MS UI Gothic"/>
    <w:charset w:val="0"/>
    <w:family w:val="swiss"/>
    <w:pitch w:val="variable"/>
  </w:font>
  <w:font w:name="Arial Black">
    <w:altName w:val="Arial Black"/>
    <w:charset w:val="0"/>
    <w:family w:val="swiss"/>
    <w:pitch w:val="variable"/>
  </w:font>
  <w:font w:name="Verdana">
    <w:altName w:val="Verdana"/>
    <w:charset w:val="0"/>
    <w:family w:val="swiss"/>
    <w:pitch w:val="variable"/>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pPr>
    <w:r>
      <w:rPr/>
      <w:pict>
        <v:rect style="position:absolute;margin-left:79.103996pt;margin-top:660.895020pt;width:342.79202pt;height:35.30701pt;mso-position-horizontal-relative:page;mso-position-vertical-relative:page;z-index:-28504" filled="false" stroked="true" strokeweight=".216pt" strokecolor="#000000">
          <w10:wrap type="none"/>
        </v:rect>
      </w:pict>
    </w:r>
    <w:r>
      <w:rPr/>
      <w:pict>
        <v:shape style="position:absolute;margin-left:81.203903pt;margin-top:662.52948pt;width:335.95pt;height:31.05pt;mso-position-horizontal-relative:page;mso-position-vertical-relative:page;z-index:-28480" type="#_x0000_t202" filled="false" stroked="false">
          <v:textbox inset="0,0,0,0">
            <w:txbxContent>
              <w:p>
                <w:pPr>
                  <w:spacing w:before="3"/>
                  <w:ind w:left="20" w:right="0" w:firstLine="0"/>
                  <w:jc w:val="left"/>
                  <w:rPr>
                    <w:rFonts w:ascii="Arial Narrow Bold" w:hAnsi="Arial Narrow Bold"/>
                    <w:b/>
                    <w:sz w:val="10"/>
                  </w:rPr>
                </w:pPr>
                <w:r>
                  <w:rPr>
                    <w:sz w:val="10"/>
                  </w:rPr>
                  <w:t>A free sample chapter from </w:t>
                </w:r>
                <w:r>
                  <w:rPr>
                    <w:rFonts w:ascii="Arial Narrow Italic" w:hAnsi="Arial Narrow Italic"/>
                    <w:i/>
                    <w:sz w:val="10"/>
                  </w:rPr>
                  <w:t>Human Resource Management at Work </w:t>
                </w:r>
                <w:r>
                  <w:rPr>
                    <w:sz w:val="10"/>
                  </w:rPr>
                  <w:t>by </w:t>
                </w:r>
                <w:r>
                  <w:rPr>
                    <w:rFonts w:ascii="Arial Narrow Bold" w:hAnsi="Arial Narrow Bold"/>
                    <w:b/>
                    <w:sz w:val="10"/>
                  </w:rPr>
                  <w:t>Mick Marchington and Adrian Wilkinson</w:t>
                </w:r>
                <w:r>
                  <w:rPr>
                    <w:sz w:val="10"/>
                  </w:rPr>
                  <w:t>. Published by the CIPD. Copyright © </w:t>
                </w:r>
                <w:r>
                  <w:rPr>
                    <w:rFonts w:ascii="Arial Narrow Bold" w:hAnsi="Arial Narrow Bold"/>
                    <w:b/>
                    <w:sz w:val="10"/>
                  </w:rPr>
                  <w:t>CIPD  2005</w:t>
                </w:r>
              </w:p>
              <w:p>
                <w:pPr>
                  <w:spacing w:before="60"/>
                  <w:ind w:left="20" w:right="0" w:firstLine="0"/>
                  <w:jc w:val="left"/>
                  <w:rPr>
                    <w:sz w:val="10"/>
                  </w:rPr>
                </w:pPr>
                <w:r>
                  <w:rPr>
                    <w:sz w:val="10"/>
                  </w:rPr>
                  <w:t>All</w:t>
                </w:r>
                <w:r>
                  <w:rPr>
                    <w:spacing w:val="-3"/>
                    <w:sz w:val="10"/>
                  </w:rPr>
                  <w:t> </w:t>
                </w:r>
                <w:r>
                  <w:rPr>
                    <w:sz w:val="10"/>
                  </w:rPr>
                  <w:t>rights</w:t>
                </w:r>
                <w:r>
                  <w:rPr>
                    <w:spacing w:val="-3"/>
                    <w:sz w:val="10"/>
                  </w:rPr>
                  <w:t> </w:t>
                </w:r>
                <w:r>
                  <w:rPr>
                    <w:sz w:val="10"/>
                  </w:rPr>
                  <w:t>reserved;</w:t>
                </w:r>
                <w:r>
                  <w:rPr>
                    <w:spacing w:val="-3"/>
                    <w:sz w:val="10"/>
                  </w:rPr>
                  <w:t> </w:t>
                </w:r>
                <w:r>
                  <w:rPr>
                    <w:sz w:val="10"/>
                  </w:rPr>
                  <w:t>no</w:t>
                </w:r>
                <w:r>
                  <w:rPr>
                    <w:spacing w:val="-3"/>
                    <w:sz w:val="10"/>
                  </w:rPr>
                  <w:t> </w:t>
                </w:r>
                <w:r>
                  <w:rPr>
                    <w:sz w:val="10"/>
                  </w:rPr>
                  <w:t>part</w:t>
                </w:r>
                <w:r>
                  <w:rPr>
                    <w:spacing w:val="-3"/>
                    <w:sz w:val="10"/>
                  </w:rPr>
                  <w:t> </w:t>
                </w:r>
                <w:r>
                  <w:rPr>
                    <w:sz w:val="10"/>
                  </w:rPr>
                  <w:t>of</w:t>
                </w:r>
                <w:r>
                  <w:rPr>
                    <w:spacing w:val="-3"/>
                    <w:sz w:val="10"/>
                  </w:rPr>
                  <w:t> </w:t>
                </w:r>
                <w:r>
                  <w:rPr>
                    <w:sz w:val="10"/>
                  </w:rPr>
                  <w:t>this</w:t>
                </w:r>
                <w:r>
                  <w:rPr>
                    <w:spacing w:val="-3"/>
                    <w:sz w:val="10"/>
                  </w:rPr>
                  <w:t> </w:t>
                </w:r>
                <w:r>
                  <w:rPr>
                    <w:sz w:val="10"/>
                  </w:rPr>
                  <w:t>excerpt</w:t>
                </w:r>
                <w:r>
                  <w:rPr>
                    <w:spacing w:val="-3"/>
                    <w:sz w:val="10"/>
                  </w:rPr>
                  <w:t> </w:t>
                </w:r>
                <w:r>
                  <w:rPr>
                    <w:sz w:val="10"/>
                  </w:rPr>
                  <w:t>may</w:t>
                </w:r>
                <w:r>
                  <w:rPr>
                    <w:spacing w:val="-3"/>
                    <w:sz w:val="10"/>
                  </w:rPr>
                  <w:t> </w:t>
                </w:r>
                <w:r>
                  <w:rPr>
                    <w:sz w:val="10"/>
                  </w:rPr>
                  <w:t>be</w:t>
                </w:r>
                <w:r>
                  <w:rPr>
                    <w:spacing w:val="-3"/>
                    <w:sz w:val="10"/>
                  </w:rPr>
                  <w:t> </w:t>
                </w:r>
                <w:r>
                  <w:rPr>
                    <w:sz w:val="10"/>
                  </w:rPr>
                  <w:t>reproduced,</w:t>
                </w:r>
                <w:r>
                  <w:rPr>
                    <w:spacing w:val="-3"/>
                    <w:sz w:val="10"/>
                  </w:rPr>
                  <w:t> </w:t>
                </w:r>
                <w:r>
                  <w:rPr>
                    <w:sz w:val="10"/>
                  </w:rPr>
                  <w:t>stored</w:t>
                </w:r>
                <w:r>
                  <w:rPr>
                    <w:spacing w:val="-3"/>
                    <w:sz w:val="10"/>
                  </w:rPr>
                  <w:t> </w:t>
                </w:r>
                <w:r>
                  <w:rPr>
                    <w:sz w:val="10"/>
                  </w:rPr>
                  <w:t>in</w:t>
                </w:r>
                <w:r>
                  <w:rPr>
                    <w:spacing w:val="-3"/>
                    <w:sz w:val="10"/>
                  </w:rPr>
                  <w:t> </w:t>
                </w:r>
                <w:r>
                  <w:rPr>
                    <w:sz w:val="10"/>
                  </w:rPr>
                  <w:t>a</w:t>
                </w:r>
                <w:r>
                  <w:rPr>
                    <w:spacing w:val="-3"/>
                    <w:sz w:val="10"/>
                  </w:rPr>
                  <w:t> </w:t>
                </w:r>
                <w:r>
                  <w:rPr>
                    <w:sz w:val="10"/>
                  </w:rPr>
                  <w:t>retrieval</w:t>
                </w:r>
                <w:r>
                  <w:rPr>
                    <w:spacing w:val="-3"/>
                    <w:sz w:val="10"/>
                  </w:rPr>
                  <w:t> </w:t>
                </w:r>
                <w:r>
                  <w:rPr>
                    <w:sz w:val="10"/>
                  </w:rPr>
                  <w:t>system,</w:t>
                </w:r>
                <w:r>
                  <w:rPr>
                    <w:spacing w:val="-3"/>
                    <w:sz w:val="10"/>
                  </w:rPr>
                  <w:t> </w:t>
                </w:r>
                <w:r>
                  <w:rPr>
                    <w:sz w:val="10"/>
                  </w:rPr>
                  <w:t>or</w:t>
                </w:r>
                <w:r>
                  <w:rPr>
                    <w:spacing w:val="-3"/>
                    <w:sz w:val="10"/>
                  </w:rPr>
                  <w:t> </w:t>
                </w:r>
                <w:r>
                  <w:rPr>
                    <w:sz w:val="10"/>
                  </w:rPr>
                  <w:t>transmitted</w:t>
                </w:r>
                <w:r>
                  <w:rPr>
                    <w:spacing w:val="-3"/>
                    <w:sz w:val="10"/>
                  </w:rPr>
                  <w:t> </w:t>
                </w:r>
                <w:r>
                  <w:rPr>
                    <w:sz w:val="10"/>
                  </w:rPr>
                  <w:t>in</w:t>
                </w:r>
                <w:r>
                  <w:rPr>
                    <w:spacing w:val="-3"/>
                    <w:sz w:val="10"/>
                  </w:rPr>
                  <w:t> </w:t>
                </w:r>
                <w:r>
                  <w:rPr>
                    <w:sz w:val="10"/>
                  </w:rPr>
                  <w:t>any</w:t>
                </w:r>
                <w:r>
                  <w:rPr>
                    <w:spacing w:val="-3"/>
                    <w:sz w:val="10"/>
                  </w:rPr>
                  <w:t> </w:t>
                </w:r>
                <w:r>
                  <w:rPr>
                    <w:sz w:val="10"/>
                  </w:rPr>
                  <w:t>form</w:t>
                </w:r>
                <w:r>
                  <w:rPr>
                    <w:spacing w:val="-3"/>
                    <w:sz w:val="10"/>
                  </w:rPr>
                  <w:t> </w:t>
                </w:r>
                <w:r>
                  <w:rPr>
                    <w:sz w:val="10"/>
                  </w:rPr>
                  <w:t>or</w:t>
                </w:r>
                <w:r>
                  <w:rPr>
                    <w:spacing w:val="-3"/>
                    <w:sz w:val="10"/>
                  </w:rPr>
                  <w:t> </w:t>
                </w:r>
                <w:r>
                  <w:rPr>
                    <w:sz w:val="10"/>
                  </w:rPr>
                  <w:t>by</w:t>
                </w:r>
                <w:r>
                  <w:rPr>
                    <w:spacing w:val="-3"/>
                    <w:sz w:val="10"/>
                  </w:rPr>
                  <w:t> </w:t>
                </w:r>
                <w:r>
                  <w:rPr>
                    <w:sz w:val="10"/>
                  </w:rPr>
                  <w:t>any</w:t>
                </w:r>
                <w:r>
                  <w:rPr>
                    <w:spacing w:val="-3"/>
                    <w:sz w:val="10"/>
                  </w:rPr>
                  <w:t> </w:t>
                </w:r>
                <w:r>
                  <w:rPr>
                    <w:sz w:val="10"/>
                  </w:rPr>
                  <w:t>means,</w:t>
                </w:r>
                <w:r>
                  <w:rPr>
                    <w:spacing w:val="-3"/>
                    <w:sz w:val="10"/>
                  </w:rPr>
                  <w:t> </w:t>
                </w:r>
                <w:r>
                  <w:rPr>
                    <w:sz w:val="10"/>
                  </w:rPr>
                  <w:t>electronic,</w:t>
                </w:r>
                <w:r>
                  <w:rPr>
                    <w:spacing w:val="-3"/>
                    <w:sz w:val="10"/>
                  </w:rPr>
                  <w:t> </w:t>
                </w:r>
                <w:r>
                  <w:rPr>
                    <w:sz w:val="10"/>
                  </w:rPr>
                  <w:t>mechanical,</w:t>
                </w:r>
                <w:r>
                  <w:rPr>
                    <w:spacing w:val="-3"/>
                    <w:sz w:val="10"/>
                  </w:rPr>
                  <w:t> </w:t>
                </w:r>
                <w:r>
                  <w:rPr>
                    <w:sz w:val="10"/>
                  </w:rPr>
                  <w:t>photocopying,</w:t>
                </w:r>
                <w:r>
                  <w:rPr>
                    <w:spacing w:val="-3"/>
                    <w:sz w:val="10"/>
                  </w:rPr>
                  <w:t> </w:t>
                </w:r>
                <w:r>
                  <w:rPr>
                    <w:sz w:val="10"/>
                  </w:rPr>
                  <w:t>recording,</w:t>
                </w:r>
                <w:r>
                  <w:rPr>
                    <w:spacing w:val="-3"/>
                    <w:sz w:val="10"/>
                  </w:rPr>
                  <w:t> </w:t>
                </w:r>
                <w:r>
                  <w:rPr>
                    <w:sz w:val="10"/>
                  </w:rPr>
                  <w:t>or otherwise</w:t>
                </w:r>
                <w:r>
                  <w:rPr>
                    <w:spacing w:val="-4"/>
                    <w:sz w:val="10"/>
                  </w:rPr>
                  <w:t> </w:t>
                </w:r>
                <w:r>
                  <w:rPr>
                    <w:sz w:val="10"/>
                  </w:rPr>
                  <w:t>without</w:t>
                </w:r>
                <w:r>
                  <w:rPr>
                    <w:spacing w:val="-4"/>
                    <w:sz w:val="10"/>
                  </w:rPr>
                  <w:t> </w:t>
                </w:r>
                <w:r>
                  <w:rPr>
                    <w:sz w:val="10"/>
                  </w:rPr>
                  <w:t>the</w:t>
                </w:r>
                <w:r>
                  <w:rPr>
                    <w:spacing w:val="-4"/>
                    <w:sz w:val="10"/>
                  </w:rPr>
                  <w:t> </w:t>
                </w:r>
                <w:r>
                  <w:rPr>
                    <w:sz w:val="10"/>
                  </w:rPr>
                  <w:t>prior</w:t>
                </w:r>
                <w:r>
                  <w:rPr>
                    <w:spacing w:val="-4"/>
                    <w:sz w:val="10"/>
                  </w:rPr>
                  <w:t> </w:t>
                </w:r>
                <w:r>
                  <w:rPr>
                    <w:sz w:val="10"/>
                  </w:rPr>
                  <w:t>written</w:t>
                </w:r>
                <w:r>
                  <w:rPr>
                    <w:spacing w:val="-4"/>
                    <w:sz w:val="10"/>
                  </w:rPr>
                  <w:t> </w:t>
                </w:r>
                <w:r>
                  <w:rPr>
                    <w:sz w:val="10"/>
                  </w:rPr>
                  <w:t>permission</w:t>
                </w:r>
                <w:r>
                  <w:rPr>
                    <w:spacing w:val="-4"/>
                    <w:sz w:val="10"/>
                  </w:rPr>
                  <w:t> </w:t>
                </w:r>
                <w:r>
                  <w:rPr>
                    <w:sz w:val="10"/>
                  </w:rPr>
                  <w:t>of</w:t>
                </w:r>
                <w:r>
                  <w:rPr>
                    <w:spacing w:val="-4"/>
                    <w:sz w:val="10"/>
                  </w:rPr>
                  <w:t> </w:t>
                </w:r>
                <w:r>
                  <w:rPr>
                    <w:sz w:val="10"/>
                  </w:rPr>
                  <w:t>the</w:t>
                </w:r>
                <w:r>
                  <w:rPr>
                    <w:spacing w:val="-4"/>
                    <w:sz w:val="10"/>
                  </w:rPr>
                  <w:t> </w:t>
                </w:r>
                <w:r>
                  <w:rPr>
                    <w:sz w:val="10"/>
                  </w:rPr>
                  <w:t>Publishers</w:t>
                </w:r>
                <w:r>
                  <w:rPr>
                    <w:spacing w:val="-4"/>
                    <w:sz w:val="10"/>
                  </w:rPr>
                  <w:t> </w:t>
                </w:r>
                <w:r>
                  <w:rPr>
                    <w:sz w:val="10"/>
                  </w:rPr>
                  <w:t>or</w:t>
                </w:r>
                <w:r>
                  <w:rPr>
                    <w:spacing w:val="-4"/>
                    <w:sz w:val="10"/>
                  </w:rPr>
                  <w:t> </w:t>
                </w:r>
                <w:r>
                  <w:rPr>
                    <w:sz w:val="10"/>
                  </w:rPr>
                  <w:t>a</w:t>
                </w:r>
                <w:r>
                  <w:rPr>
                    <w:spacing w:val="-4"/>
                    <w:sz w:val="10"/>
                  </w:rPr>
                  <w:t> </w:t>
                </w:r>
                <w:r>
                  <w:rPr>
                    <w:sz w:val="10"/>
                  </w:rPr>
                  <w:t>licence</w:t>
                </w:r>
                <w:r>
                  <w:rPr>
                    <w:spacing w:val="-4"/>
                    <w:sz w:val="10"/>
                  </w:rPr>
                  <w:t> </w:t>
                </w:r>
                <w:r>
                  <w:rPr>
                    <w:sz w:val="10"/>
                  </w:rPr>
                  <w:t>permitting</w:t>
                </w:r>
                <w:r>
                  <w:rPr>
                    <w:spacing w:val="-4"/>
                    <w:sz w:val="10"/>
                  </w:rPr>
                  <w:t> </w:t>
                </w:r>
                <w:r>
                  <w:rPr>
                    <w:sz w:val="10"/>
                  </w:rPr>
                  <w:t>restricted</w:t>
                </w:r>
                <w:r>
                  <w:rPr>
                    <w:spacing w:val="-4"/>
                    <w:sz w:val="10"/>
                  </w:rPr>
                  <w:t> </w:t>
                </w:r>
                <w:r>
                  <w:rPr>
                    <w:sz w:val="10"/>
                  </w:rPr>
                  <w:t>copying</w:t>
                </w:r>
                <w:r>
                  <w:rPr>
                    <w:spacing w:val="-4"/>
                    <w:sz w:val="10"/>
                  </w:rPr>
                  <w:t> </w:t>
                </w:r>
                <w:r>
                  <w:rPr>
                    <w:sz w:val="10"/>
                  </w:rPr>
                  <w:t>in</w:t>
                </w:r>
                <w:r>
                  <w:rPr>
                    <w:spacing w:val="-4"/>
                    <w:sz w:val="10"/>
                  </w:rPr>
                  <w:t> </w:t>
                </w:r>
                <w:r>
                  <w:rPr>
                    <w:sz w:val="10"/>
                  </w:rPr>
                  <w:t>the</w:t>
                </w:r>
                <w:r>
                  <w:rPr>
                    <w:spacing w:val="-4"/>
                    <w:sz w:val="10"/>
                  </w:rPr>
                  <w:t> </w:t>
                </w:r>
                <w:r>
                  <w:rPr>
                    <w:sz w:val="10"/>
                  </w:rPr>
                  <w:t>United</w:t>
                </w:r>
                <w:r>
                  <w:rPr>
                    <w:spacing w:val="-4"/>
                    <w:sz w:val="10"/>
                  </w:rPr>
                  <w:t> </w:t>
                </w:r>
                <w:r>
                  <w:rPr>
                    <w:sz w:val="10"/>
                  </w:rPr>
                  <w:t>Kingdom</w:t>
                </w:r>
                <w:r>
                  <w:rPr>
                    <w:spacing w:val="-4"/>
                    <w:sz w:val="10"/>
                  </w:rPr>
                  <w:t> </w:t>
                </w:r>
                <w:r>
                  <w:rPr>
                    <w:sz w:val="10"/>
                  </w:rPr>
                  <w:t>issued</w:t>
                </w:r>
                <w:r>
                  <w:rPr>
                    <w:spacing w:val="-4"/>
                    <w:sz w:val="10"/>
                  </w:rPr>
                  <w:t> </w:t>
                </w:r>
                <w:r>
                  <w:rPr>
                    <w:sz w:val="10"/>
                  </w:rPr>
                  <w:t>by</w:t>
                </w:r>
                <w:r>
                  <w:rPr>
                    <w:spacing w:val="-4"/>
                    <w:sz w:val="10"/>
                  </w:rPr>
                  <w:t> </w:t>
                </w:r>
                <w:r>
                  <w:rPr>
                    <w:sz w:val="10"/>
                  </w:rPr>
                  <w:t>the</w:t>
                </w:r>
                <w:r>
                  <w:rPr>
                    <w:spacing w:val="-4"/>
                    <w:sz w:val="10"/>
                  </w:rPr>
                  <w:t> </w:t>
                </w:r>
                <w:r>
                  <w:rPr>
                    <w:sz w:val="10"/>
                  </w:rPr>
                  <w:t>Copyright</w:t>
                </w:r>
                <w:r>
                  <w:rPr>
                    <w:spacing w:val="-4"/>
                    <w:sz w:val="10"/>
                  </w:rPr>
                  <w:t> </w:t>
                </w:r>
                <w:r>
                  <w:rPr>
                    <w:sz w:val="10"/>
                  </w:rPr>
                  <w:t>Licensing</w:t>
                </w:r>
                <w:r>
                  <w:rPr>
                    <w:spacing w:val="-8"/>
                    <w:sz w:val="10"/>
                  </w:rPr>
                  <w:t> </w:t>
                </w:r>
                <w:r>
                  <w:rPr>
                    <w:sz w:val="10"/>
                  </w:rPr>
                  <w:t>Agency.</w:t>
                </w:r>
              </w:p>
              <w:p>
                <w:pPr>
                  <w:spacing w:before="60"/>
                  <w:ind w:left="20" w:right="0" w:firstLine="0"/>
                  <w:jc w:val="left"/>
                  <w:rPr>
                    <w:sz w:val="10"/>
                  </w:rPr>
                </w:pPr>
                <w:r>
                  <w:rPr>
                    <w:sz w:val="10"/>
                  </w:rPr>
                  <w:t>If you would like to purchase this book please visit </w:t>
                </w:r>
                <w:hyperlink r:id="rId1">
                  <w:r>
                    <w:rPr>
                      <w:sz w:val="10"/>
                    </w:rPr>
                    <w:t>www.cipd.co.uk/bookstore.</w:t>
                  </w:r>
                </w:hyperlink>
              </w:p>
            </w:txbxContent>
          </v:textbox>
          <w10:wrap type="none"/>
        </v:shape>
      </w:pict>
    </w:r>
    <w:r>
      <w:rPr/>
      <w:pict>
        <v:shape style="position:absolute;margin-left:59.685638pt;margin-top:663.932556pt;width:13.15pt;height:12.05pt;mso-position-horizontal-relative:page;mso-position-vertical-relative:page;z-index:-28456" type="#_x0000_t202" filled="false" stroked="false">
          <v:textbox inset="0,0,0,0">
            <w:txbxContent>
              <w:p>
                <w:pPr>
                  <w:spacing w:line="226" w:lineRule="exact" w:before="0"/>
                  <w:ind w:left="40" w:right="0" w:firstLine="0"/>
                  <w:jc w:val="left"/>
                  <w:rPr>
                    <w:rFonts w:ascii="Arial Narrow Bold"/>
                    <w:b/>
                    <w:sz w:val="20"/>
                  </w:rPr>
                </w:pPr>
                <w:r>
                  <w:rPr/>
                  <w:fldChar w:fldCharType="begin"/>
                </w:r>
                <w:r>
                  <w:rPr>
                    <w:rFonts w:ascii="Arial Narrow Bold"/>
                    <w:b/>
                    <w:color w:val="5E792D"/>
                    <w:sz w:val="20"/>
                  </w:rPr>
                  <w:instrText> PAGE </w:instrText>
                </w:r>
                <w:r>
                  <w:rPr/>
                  <w:fldChar w:fldCharType="separate"/>
                </w:r>
                <w:r>
                  <w:rPr/>
                  <w:t>72</w:t>
                </w:r>
                <w:r>
                  <w:rPr/>
                  <w:fldChar w:fldCharType="end"/>
                </w:r>
              </w:p>
            </w:txbxContent>
          </v:textbox>
          <w10:wrap type="none"/>
        </v:shape>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pPr>
    <w:r>
      <w:rPr/>
      <w:pict>
        <v:rect style="position:absolute;margin-left:79.103996pt;margin-top:661.061035pt;width:342.79202pt;height:35.306pt;mso-position-horizontal-relative:page;mso-position-vertical-relative:page;z-index:-28432" filled="false" stroked="true" strokeweight=".216pt" strokecolor="#000000">
          <w10:wrap type="none"/>
        </v:rect>
      </w:pict>
    </w:r>
    <w:r>
      <w:rPr/>
      <w:pict>
        <v:shape style="position:absolute;margin-left:81.203903pt;margin-top:662.69458pt;width:335.95pt;height:31.05pt;mso-position-horizontal-relative:page;mso-position-vertical-relative:page;z-index:-28408" type="#_x0000_t202" filled="false" stroked="false">
          <v:textbox inset="0,0,0,0">
            <w:txbxContent>
              <w:p>
                <w:pPr>
                  <w:spacing w:before="3"/>
                  <w:ind w:left="20" w:right="0" w:firstLine="0"/>
                  <w:jc w:val="left"/>
                  <w:rPr>
                    <w:rFonts w:ascii="Arial Narrow Bold" w:hAnsi="Arial Narrow Bold"/>
                    <w:b/>
                    <w:sz w:val="10"/>
                  </w:rPr>
                </w:pPr>
                <w:r>
                  <w:rPr>
                    <w:sz w:val="10"/>
                  </w:rPr>
                  <w:t>A free sample chapter from </w:t>
                </w:r>
                <w:r>
                  <w:rPr>
                    <w:rFonts w:ascii="Arial Narrow Italic" w:hAnsi="Arial Narrow Italic"/>
                    <w:i/>
                    <w:sz w:val="10"/>
                  </w:rPr>
                  <w:t>Human Resource Management at Work </w:t>
                </w:r>
                <w:r>
                  <w:rPr>
                    <w:sz w:val="10"/>
                  </w:rPr>
                  <w:t>by </w:t>
                </w:r>
                <w:r>
                  <w:rPr>
                    <w:rFonts w:ascii="Arial Narrow Bold" w:hAnsi="Arial Narrow Bold"/>
                    <w:b/>
                    <w:sz w:val="10"/>
                  </w:rPr>
                  <w:t>Mick Marchington and Adrian Wilkinson</w:t>
                </w:r>
                <w:r>
                  <w:rPr>
                    <w:sz w:val="10"/>
                  </w:rPr>
                  <w:t>. Published by the CIPD. Copyright © </w:t>
                </w:r>
                <w:r>
                  <w:rPr>
                    <w:rFonts w:ascii="Arial Narrow Bold" w:hAnsi="Arial Narrow Bold"/>
                    <w:b/>
                    <w:sz w:val="10"/>
                  </w:rPr>
                  <w:t>CIPD  2005</w:t>
                </w:r>
              </w:p>
              <w:p>
                <w:pPr>
                  <w:spacing w:before="60"/>
                  <w:ind w:left="20" w:right="0" w:firstLine="0"/>
                  <w:jc w:val="left"/>
                  <w:rPr>
                    <w:sz w:val="10"/>
                  </w:rPr>
                </w:pPr>
                <w:r>
                  <w:rPr>
                    <w:sz w:val="10"/>
                  </w:rPr>
                  <w:t>All</w:t>
                </w:r>
                <w:r>
                  <w:rPr>
                    <w:spacing w:val="-3"/>
                    <w:sz w:val="10"/>
                  </w:rPr>
                  <w:t> </w:t>
                </w:r>
                <w:r>
                  <w:rPr>
                    <w:sz w:val="10"/>
                  </w:rPr>
                  <w:t>rights</w:t>
                </w:r>
                <w:r>
                  <w:rPr>
                    <w:spacing w:val="-3"/>
                    <w:sz w:val="10"/>
                  </w:rPr>
                  <w:t> </w:t>
                </w:r>
                <w:r>
                  <w:rPr>
                    <w:sz w:val="10"/>
                  </w:rPr>
                  <w:t>reserved;</w:t>
                </w:r>
                <w:r>
                  <w:rPr>
                    <w:spacing w:val="-3"/>
                    <w:sz w:val="10"/>
                  </w:rPr>
                  <w:t> </w:t>
                </w:r>
                <w:r>
                  <w:rPr>
                    <w:sz w:val="10"/>
                  </w:rPr>
                  <w:t>no</w:t>
                </w:r>
                <w:r>
                  <w:rPr>
                    <w:spacing w:val="-3"/>
                    <w:sz w:val="10"/>
                  </w:rPr>
                  <w:t> </w:t>
                </w:r>
                <w:r>
                  <w:rPr>
                    <w:sz w:val="10"/>
                  </w:rPr>
                  <w:t>part</w:t>
                </w:r>
                <w:r>
                  <w:rPr>
                    <w:spacing w:val="-3"/>
                    <w:sz w:val="10"/>
                  </w:rPr>
                  <w:t> </w:t>
                </w:r>
                <w:r>
                  <w:rPr>
                    <w:sz w:val="10"/>
                  </w:rPr>
                  <w:t>of</w:t>
                </w:r>
                <w:r>
                  <w:rPr>
                    <w:spacing w:val="-3"/>
                    <w:sz w:val="10"/>
                  </w:rPr>
                  <w:t> </w:t>
                </w:r>
                <w:r>
                  <w:rPr>
                    <w:sz w:val="10"/>
                  </w:rPr>
                  <w:t>this</w:t>
                </w:r>
                <w:r>
                  <w:rPr>
                    <w:spacing w:val="-3"/>
                    <w:sz w:val="10"/>
                  </w:rPr>
                  <w:t> </w:t>
                </w:r>
                <w:r>
                  <w:rPr>
                    <w:sz w:val="10"/>
                  </w:rPr>
                  <w:t>excerpt</w:t>
                </w:r>
                <w:r>
                  <w:rPr>
                    <w:spacing w:val="-3"/>
                    <w:sz w:val="10"/>
                  </w:rPr>
                  <w:t> </w:t>
                </w:r>
                <w:r>
                  <w:rPr>
                    <w:sz w:val="10"/>
                  </w:rPr>
                  <w:t>may</w:t>
                </w:r>
                <w:r>
                  <w:rPr>
                    <w:spacing w:val="-3"/>
                    <w:sz w:val="10"/>
                  </w:rPr>
                  <w:t> </w:t>
                </w:r>
                <w:r>
                  <w:rPr>
                    <w:sz w:val="10"/>
                  </w:rPr>
                  <w:t>be</w:t>
                </w:r>
                <w:r>
                  <w:rPr>
                    <w:spacing w:val="-3"/>
                    <w:sz w:val="10"/>
                  </w:rPr>
                  <w:t> </w:t>
                </w:r>
                <w:r>
                  <w:rPr>
                    <w:sz w:val="10"/>
                  </w:rPr>
                  <w:t>reproduced,</w:t>
                </w:r>
                <w:r>
                  <w:rPr>
                    <w:spacing w:val="-3"/>
                    <w:sz w:val="10"/>
                  </w:rPr>
                  <w:t> </w:t>
                </w:r>
                <w:r>
                  <w:rPr>
                    <w:sz w:val="10"/>
                  </w:rPr>
                  <w:t>stored</w:t>
                </w:r>
                <w:r>
                  <w:rPr>
                    <w:spacing w:val="-3"/>
                    <w:sz w:val="10"/>
                  </w:rPr>
                  <w:t> </w:t>
                </w:r>
                <w:r>
                  <w:rPr>
                    <w:sz w:val="10"/>
                  </w:rPr>
                  <w:t>in</w:t>
                </w:r>
                <w:r>
                  <w:rPr>
                    <w:spacing w:val="-3"/>
                    <w:sz w:val="10"/>
                  </w:rPr>
                  <w:t> </w:t>
                </w:r>
                <w:r>
                  <w:rPr>
                    <w:sz w:val="10"/>
                  </w:rPr>
                  <w:t>a</w:t>
                </w:r>
                <w:r>
                  <w:rPr>
                    <w:spacing w:val="-3"/>
                    <w:sz w:val="10"/>
                  </w:rPr>
                  <w:t> </w:t>
                </w:r>
                <w:r>
                  <w:rPr>
                    <w:sz w:val="10"/>
                  </w:rPr>
                  <w:t>retrieval</w:t>
                </w:r>
                <w:r>
                  <w:rPr>
                    <w:spacing w:val="-3"/>
                    <w:sz w:val="10"/>
                  </w:rPr>
                  <w:t> </w:t>
                </w:r>
                <w:r>
                  <w:rPr>
                    <w:sz w:val="10"/>
                  </w:rPr>
                  <w:t>system,</w:t>
                </w:r>
                <w:r>
                  <w:rPr>
                    <w:spacing w:val="-3"/>
                    <w:sz w:val="10"/>
                  </w:rPr>
                  <w:t> </w:t>
                </w:r>
                <w:r>
                  <w:rPr>
                    <w:sz w:val="10"/>
                  </w:rPr>
                  <w:t>or</w:t>
                </w:r>
                <w:r>
                  <w:rPr>
                    <w:spacing w:val="-3"/>
                    <w:sz w:val="10"/>
                  </w:rPr>
                  <w:t> </w:t>
                </w:r>
                <w:r>
                  <w:rPr>
                    <w:sz w:val="10"/>
                  </w:rPr>
                  <w:t>transmitted</w:t>
                </w:r>
                <w:r>
                  <w:rPr>
                    <w:spacing w:val="-3"/>
                    <w:sz w:val="10"/>
                  </w:rPr>
                  <w:t> </w:t>
                </w:r>
                <w:r>
                  <w:rPr>
                    <w:sz w:val="10"/>
                  </w:rPr>
                  <w:t>in</w:t>
                </w:r>
                <w:r>
                  <w:rPr>
                    <w:spacing w:val="-3"/>
                    <w:sz w:val="10"/>
                  </w:rPr>
                  <w:t> </w:t>
                </w:r>
                <w:r>
                  <w:rPr>
                    <w:sz w:val="10"/>
                  </w:rPr>
                  <w:t>any</w:t>
                </w:r>
                <w:r>
                  <w:rPr>
                    <w:spacing w:val="-3"/>
                    <w:sz w:val="10"/>
                  </w:rPr>
                  <w:t> </w:t>
                </w:r>
                <w:r>
                  <w:rPr>
                    <w:sz w:val="10"/>
                  </w:rPr>
                  <w:t>form</w:t>
                </w:r>
                <w:r>
                  <w:rPr>
                    <w:spacing w:val="-3"/>
                    <w:sz w:val="10"/>
                  </w:rPr>
                  <w:t> </w:t>
                </w:r>
                <w:r>
                  <w:rPr>
                    <w:sz w:val="10"/>
                  </w:rPr>
                  <w:t>or</w:t>
                </w:r>
                <w:r>
                  <w:rPr>
                    <w:spacing w:val="-3"/>
                    <w:sz w:val="10"/>
                  </w:rPr>
                  <w:t> </w:t>
                </w:r>
                <w:r>
                  <w:rPr>
                    <w:sz w:val="10"/>
                  </w:rPr>
                  <w:t>by</w:t>
                </w:r>
                <w:r>
                  <w:rPr>
                    <w:spacing w:val="-3"/>
                    <w:sz w:val="10"/>
                  </w:rPr>
                  <w:t> </w:t>
                </w:r>
                <w:r>
                  <w:rPr>
                    <w:sz w:val="10"/>
                  </w:rPr>
                  <w:t>any</w:t>
                </w:r>
                <w:r>
                  <w:rPr>
                    <w:spacing w:val="-3"/>
                    <w:sz w:val="10"/>
                  </w:rPr>
                  <w:t> </w:t>
                </w:r>
                <w:r>
                  <w:rPr>
                    <w:sz w:val="10"/>
                  </w:rPr>
                  <w:t>means,</w:t>
                </w:r>
                <w:r>
                  <w:rPr>
                    <w:spacing w:val="-3"/>
                    <w:sz w:val="10"/>
                  </w:rPr>
                  <w:t> </w:t>
                </w:r>
                <w:r>
                  <w:rPr>
                    <w:sz w:val="10"/>
                  </w:rPr>
                  <w:t>electronic,</w:t>
                </w:r>
                <w:r>
                  <w:rPr>
                    <w:spacing w:val="-3"/>
                    <w:sz w:val="10"/>
                  </w:rPr>
                  <w:t> </w:t>
                </w:r>
                <w:r>
                  <w:rPr>
                    <w:sz w:val="10"/>
                  </w:rPr>
                  <w:t>mechanical,</w:t>
                </w:r>
                <w:r>
                  <w:rPr>
                    <w:spacing w:val="-3"/>
                    <w:sz w:val="10"/>
                  </w:rPr>
                  <w:t> </w:t>
                </w:r>
                <w:r>
                  <w:rPr>
                    <w:sz w:val="10"/>
                  </w:rPr>
                  <w:t>photocopying,</w:t>
                </w:r>
                <w:r>
                  <w:rPr>
                    <w:spacing w:val="-3"/>
                    <w:sz w:val="10"/>
                  </w:rPr>
                  <w:t> </w:t>
                </w:r>
                <w:r>
                  <w:rPr>
                    <w:sz w:val="10"/>
                  </w:rPr>
                  <w:t>recording,</w:t>
                </w:r>
                <w:r>
                  <w:rPr>
                    <w:spacing w:val="-3"/>
                    <w:sz w:val="10"/>
                  </w:rPr>
                  <w:t> </w:t>
                </w:r>
                <w:r>
                  <w:rPr>
                    <w:sz w:val="10"/>
                  </w:rPr>
                  <w:t>or otherwise</w:t>
                </w:r>
                <w:r>
                  <w:rPr>
                    <w:spacing w:val="-4"/>
                    <w:sz w:val="10"/>
                  </w:rPr>
                  <w:t> </w:t>
                </w:r>
                <w:r>
                  <w:rPr>
                    <w:sz w:val="10"/>
                  </w:rPr>
                  <w:t>without</w:t>
                </w:r>
                <w:r>
                  <w:rPr>
                    <w:spacing w:val="-4"/>
                    <w:sz w:val="10"/>
                  </w:rPr>
                  <w:t> </w:t>
                </w:r>
                <w:r>
                  <w:rPr>
                    <w:sz w:val="10"/>
                  </w:rPr>
                  <w:t>the</w:t>
                </w:r>
                <w:r>
                  <w:rPr>
                    <w:spacing w:val="-4"/>
                    <w:sz w:val="10"/>
                  </w:rPr>
                  <w:t> </w:t>
                </w:r>
                <w:r>
                  <w:rPr>
                    <w:sz w:val="10"/>
                  </w:rPr>
                  <w:t>prior</w:t>
                </w:r>
                <w:r>
                  <w:rPr>
                    <w:spacing w:val="-4"/>
                    <w:sz w:val="10"/>
                  </w:rPr>
                  <w:t> </w:t>
                </w:r>
                <w:r>
                  <w:rPr>
                    <w:sz w:val="10"/>
                  </w:rPr>
                  <w:t>written</w:t>
                </w:r>
                <w:r>
                  <w:rPr>
                    <w:spacing w:val="-4"/>
                    <w:sz w:val="10"/>
                  </w:rPr>
                  <w:t> </w:t>
                </w:r>
                <w:r>
                  <w:rPr>
                    <w:sz w:val="10"/>
                  </w:rPr>
                  <w:t>permission</w:t>
                </w:r>
                <w:r>
                  <w:rPr>
                    <w:spacing w:val="-4"/>
                    <w:sz w:val="10"/>
                  </w:rPr>
                  <w:t> </w:t>
                </w:r>
                <w:r>
                  <w:rPr>
                    <w:sz w:val="10"/>
                  </w:rPr>
                  <w:t>of</w:t>
                </w:r>
                <w:r>
                  <w:rPr>
                    <w:spacing w:val="-4"/>
                    <w:sz w:val="10"/>
                  </w:rPr>
                  <w:t> </w:t>
                </w:r>
                <w:r>
                  <w:rPr>
                    <w:sz w:val="10"/>
                  </w:rPr>
                  <w:t>the</w:t>
                </w:r>
                <w:r>
                  <w:rPr>
                    <w:spacing w:val="-4"/>
                    <w:sz w:val="10"/>
                  </w:rPr>
                  <w:t> </w:t>
                </w:r>
                <w:r>
                  <w:rPr>
                    <w:sz w:val="10"/>
                  </w:rPr>
                  <w:t>Publishers</w:t>
                </w:r>
                <w:r>
                  <w:rPr>
                    <w:spacing w:val="-4"/>
                    <w:sz w:val="10"/>
                  </w:rPr>
                  <w:t> </w:t>
                </w:r>
                <w:r>
                  <w:rPr>
                    <w:sz w:val="10"/>
                  </w:rPr>
                  <w:t>or</w:t>
                </w:r>
                <w:r>
                  <w:rPr>
                    <w:spacing w:val="-4"/>
                    <w:sz w:val="10"/>
                  </w:rPr>
                  <w:t> </w:t>
                </w:r>
                <w:r>
                  <w:rPr>
                    <w:sz w:val="10"/>
                  </w:rPr>
                  <w:t>a</w:t>
                </w:r>
                <w:r>
                  <w:rPr>
                    <w:spacing w:val="-4"/>
                    <w:sz w:val="10"/>
                  </w:rPr>
                  <w:t> </w:t>
                </w:r>
                <w:r>
                  <w:rPr>
                    <w:sz w:val="10"/>
                  </w:rPr>
                  <w:t>licence</w:t>
                </w:r>
                <w:r>
                  <w:rPr>
                    <w:spacing w:val="-4"/>
                    <w:sz w:val="10"/>
                  </w:rPr>
                  <w:t> </w:t>
                </w:r>
                <w:r>
                  <w:rPr>
                    <w:sz w:val="10"/>
                  </w:rPr>
                  <w:t>permitting</w:t>
                </w:r>
                <w:r>
                  <w:rPr>
                    <w:spacing w:val="-4"/>
                    <w:sz w:val="10"/>
                  </w:rPr>
                  <w:t> </w:t>
                </w:r>
                <w:r>
                  <w:rPr>
                    <w:sz w:val="10"/>
                  </w:rPr>
                  <w:t>restricted</w:t>
                </w:r>
                <w:r>
                  <w:rPr>
                    <w:spacing w:val="-4"/>
                    <w:sz w:val="10"/>
                  </w:rPr>
                  <w:t> </w:t>
                </w:r>
                <w:r>
                  <w:rPr>
                    <w:sz w:val="10"/>
                  </w:rPr>
                  <w:t>copying</w:t>
                </w:r>
                <w:r>
                  <w:rPr>
                    <w:spacing w:val="-4"/>
                    <w:sz w:val="10"/>
                  </w:rPr>
                  <w:t> </w:t>
                </w:r>
                <w:r>
                  <w:rPr>
                    <w:sz w:val="10"/>
                  </w:rPr>
                  <w:t>in</w:t>
                </w:r>
                <w:r>
                  <w:rPr>
                    <w:spacing w:val="-4"/>
                    <w:sz w:val="10"/>
                  </w:rPr>
                  <w:t> </w:t>
                </w:r>
                <w:r>
                  <w:rPr>
                    <w:sz w:val="10"/>
                  </w:rPr>
                  <w:t>the</w:t>
                </w:r>
                <w:r>
                  <w:rPr>
                    <w:spacing w:val="-4"/>
                    <w:sz w:val="10"/>
                  </w:rPr>
                  <w:t> </w:t>
                </w:r>
                <w:r>
                  <w:rPr>
                    <w:sz w:val="10"/>
                  </w:rPr>
                  <w:t>United</w:t>
                </w:r>
                <w:r>
                  <w:rPr>
                    <w:spacing w:val="-4"/>
                    <w:sz w:val="10"/>
                  </w:rPr>
                  <w:t> </w:t>
                </w:r>
                <w:r>
                  <w:rPr>
                    <w:sz w:val="10"/>
                  </w:rPr>
                  <w:t>Kingdom</w:t>
                </w:r>
                <w:r>
                  <w:rPr>
                    <w:spacing w:val="-4"/>
                    <w:sz w:val="10"/>
                  </w:rPr>
                  <w:t> </w:t>
                </w:r>
                <w:r>
                  <w:rPr>
                    <w:sz w:val="10"/>
                  </w:rPr>
                  <w:t>issued</w:t>
                </w:r>
                <w:r>
                  <w:rPr>
                    <w:spacing w:val="-4"/>
                    <w:sz w:val="10"/>
                  </w:rPr>
                  <w:t> </w:t>
                </w:r>
                <w:r>
                  <w:rPr>
                    <w:sz w:val="10"/>
                  </w:rPr>
                  <w:t>by</w:t>
                </w:r>
                <w:r>
                  <w:rPr>
                    <w:spacing w:val="-4"/>
                    <w:sz w:val="10"/>
                  </w:rPr>
                  <w:t> </w:t>
                </w:r>
                <w:r>
                  <w:rPr>
                    <w:sz w:val="10"/>
                  </w:rPr>
                  <w:t>the</w:t>
                </w:r>
                <w:r>
                  <w:rPr>
                    <w:spacing w:val="-4"/>
                    <w:sz w:val="10"/>
                  </w:rPr>
                  <w:t> </w:t>
                </w:r>
                <w:r>
                  <w:rPr>
                    <w:sz w:val="10"/>
                  </w:rPr>
                  <w:t>Copyright</w:t>
                </w:r>
                <w:r>
                  <w:rPr>
                    <w:spacing w:val="-4"/>
                    <w:sz w:val="10"/>
                  </w:rPr>
                  <w:t> </w:t>
                </w:r>
                <w:r>
                  <w:rPr>
                    <w:sz w:val="10"/>
                  </w:rPr>
                  <w:t>Licensing</w:t>
                </w:r>
                <w:r>
                  <w:rPr>
                    <w:spacing w:val="-8"/>
                    <w:sz w:val="10"/>
                  </w:rPr>
                  <w:t> </w:t>
                </w:r>
                <w:r>
                  <w:rPr>
                    <w:sz w:val="10"/>
                  </w:rPr>
                  <w:t>Agency.</w:t>
                </w:r>
              </w:p>
              <w:p>
                <w:pPr>
                  <w:spacing w:before="60"/>
                  <w:ind w:left="20" w:right="0" w:firstLine="0"/>
                  <w:jc w:val="left"/>
                  <w:rPr>
                    <w:sz w:val="10"/>
                  </w:rPr>
                </w:pPr>
                <w:r>
                  <w:rPr>
                    <w:sz w:val="10"/>
                  </w:rPr>
                  <w:t>If you would like to purchase this book please visit </w:t>
                </w:r>
                <w:hyperlink r:id="rId1">
                  <w:r>
                    <w:rPr>
                      <w:sz w:val="10"/>
                    </w:rPr>
                    <w:t>www.cipd.co.uk/bookstore.</w:t>
                  </w:r>
                </w:hyperlink>
              </w:p>
            </w:txbxContent>
          </v:textbox>
          <w10:wrap type="none"/>
        </v:shape>
      </w:pict>
    </w:r>
    <w:r>
      <w:rPr/>
      <w:pict>
        <v:shape style="position:absolute;margin-left:428.190765pt;margin-top:663.933533pt;width:13.15pt;height:12pt;mso-position-horizontal-relative:page;mso-position-vertical-relative:page;z-index:-28384" type="#_x0000_t202" filled="false" stroked="false">
          <v:textbox inset="0,0,0,0">
            <w:txbxContent>
              <w:p>
                <w:pPr>
                  <w:spacing w:line="226" w:lineRule="exact" w:before="0"/>
                  <w:ind w:left="40" w:right="0" w:firstLine="0"/>
                  <w:jc w:val="left"/>
                  <w:rPr>
                    <w:rFonts w:ascii="Arial Narrow Bold"/>
                    <w:b/>
                    <w:sz w:val="20"/>
                  </w:rPr>
                </w:pPr>
                <w:r>
                  <w:rPr/>
                  <w:fldChar w:fldCharType="begin"/>
                </w:r>
                <w:r>
                  <w:rPr>
                    <w:rFonts w:ascii="Arial Narrow Bold"/>
                    <w:b/>
                    <w:color w:val="5E792D"/>
                    <w:sz w:val="20"/>
                  </w:rPr>
                  <w:instrText> PAGE </w:instrText>
                </w:r>
                <w:r>
                  <w:rPr/>
                  <w:fldChar w:fldCharType="separate"/>
                </w:r>
                <w:r>
                  <w:rPr/>
                  <w:t>73</w:t>
                </w:r>
                <w:r>
                  <w:rPr/>
                  <w:fldChar w:fldCharType="end"/>
                </w:r>
              </w:p>
            </w:txbxContent>
          </v:textbox>
          <w10:wrap type="none"/>
        </v:shape>
      </w:pict>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rPr>
        <w:sz w:val="2"/>
      </w:rP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pPr>
    <w:r>
      <w:rPr/>
      <w:pict>
        <v:rect style="position:absolute;margin-left:79.103996pt;margin-top:660.895020pt;width:342.79202pt;height:35.30701pt;mso-position-horizontal-relative:page;mso-position-vertical-relative:page;z-index:-28264" filled="false" stroked="true" strokeweight=".216pt" strokecolor="#000000">
          <w10:wrap type="none"/>
        </v:rect>
      </w:pict>
    </w:r>
    <w:r>
      <w:rPr/>
      <w:pict>
        <v:shape style="position:absolute;margin-left:81.203903pt;margin-top:662.52948pt;width:335.95pt;height:31.05pt;mso-position-horizontal-relative:page;mso-position-vertical-relative:page;z-index:-28240" type="#_x0000_t202" filled="false" stroked="false">
          <v:textbox inset="0,0,0,0">
            <w:txbxContent>
              <w:p>
                <w:pPr>
                  <w:spacing w:before="3"/>
                  <w:ind w:left="20" w:right="0" w:firstLine="0"/>
                  <w:jc w:val="left"/>
                  <w:rPr>
                    <w:rFonts w:ascii="Arial Narrow Bold" w:hAnsi="Arial Narrow Bold"/>
                    <w:b/>
                    <w:sz w:val="10"/>
                  </w:rPr>
                </w:pPr>
                <w:r>
                  <w:rPr>
                    <w:sz w:val="10"/>
                  </w:rPr>
                  <w:t>A free sample chapter from </w:t>
                </w:r>
                <w:r>
                  <w:rPr>
                    <w:rFonts w:ascii="Arial Narrow Italic" w:hAnsi="Arial Narrow Italic"/>
                    <w:i/>
                    <w:sz w:val="10"/>
                  </w:rPr>
                  <w:t>Human Resource Management at Work </w:t>
                </w:r>
                <w:r>
                  <w:rPr>
                    <w:sz w:val="10"/>
                  </w:rPr>
                  <w:t>by </w:t>
                </w:r>
                <w:r>
                  <w:rPr>
                    <w:rFonts w:ascii="Arial Narrow Bold" w:hAnsi="Arial Narrow Bold"/>
                    <w:b/>
                    <w:sz w:val="10"/>
                  </w:rPr>
                  <w:t>Mick Marchington and Adrian Wilkinson</w:t>
                </w:r>
                <w:r>
                  <w:rPr>
                    <w:sz w:val="10"/>
                  </w:rPr>
                  <w:t>. Published by the CIPD. Copyright © </w:t>
                </w:r>
                <w:r>
                  <w:rPr>
                    <w:rFonts w:ascii="Arial Narrow Bold" w:hAnsi="Arial Narrow Bold"/>
                    <w:b/>
                    <w:sz w:val="10"/>
                  </w:rPr>
                  <w:t>CIPD  2005</w:t>
                </w:r>
              </w:p>
              <w:p>
                <w:pPr>
                  <w:spacing w:before="60"/>
                  <w:ind w:left="20" w:right="0" w:firstLine="0"/>
                  <w:jc w:val="left"/>
                  <w:rPr>
                    <w:sz w:val="10"/>
                  </w:rPr>
                </w:pPr>
                <w:r>
                  <w:rPr>
                    <w:sz w:val="10"/>
                  </w:rPr>
                  <w:t>All</w:t>
                </w:r>
                <w:r>
                  <w:rPr>
                    <w:spacing w:val="-3"/>
                    <w:sz w:val="10"/>
                  </w:rPr>
                  <w:t> </w:t>
                </w:r>
                <w:r>
                  <w:rPr>
                    <w:sz w:val="10"/>
                  </w:rPr>
                  <w:t>rights</w:t>
                </w:r>
                <w:r>
                  <w:rPr>
                    <w:spacing w:val="-3"/>
                    <w:sz w:val="10"/>
                  </w:rPr>
                  <w:t> </w:t>
                </w:r>
                <w:r>
                  <w:rPr>
                    <w:sz w:val="10"/>
                  </w:rPr>
                  <w:t>reserved;</w:t>
                </w:r>
                <w:r>
                  <w:rPr>
                    <w:spacing w:val="-3"/>
                    <w:sz w:val="10"/>
                  </w:rPr>
                  <w:t> </w:t>
                </w:r>
                <w:r>
                  <w:rPr>
                    <w:sz w:val="10"/>
                  </w:rPr>
                  <w:t>no</w:t>
                </w:r>
                <w:r>
                  <w:rPr>
                    <w:spacing w:val="-3"/>
                    <w:sz w:val="10"/>
                  </w:rPr>
                  <w:t> </w:t>
                </w:r>
                <w:r>
                  <w:rPr>
                    <w:sz w:val="10"/>
                  </w:rPr>
                  <w:t>part</w:t>
                </w:r>
                <w:r>
                  <w:rPr>
                    <w:spacing w:val="-3"/>
                    <w:sz w:val="10"/>
                  </w:rPr>
                  <w:t> </w:t>
                </w:r>
                <w:r>
                  <w:rPr>
                    <w:sz w:val="10"/>
                  </w:rPr>
                  <w:t>of</w:t>
                </w:r>
                <w:r>
                  <w:rPr>
                    <w:spacing w:val="-3"/>
                    <w:sz w:val="10"/>
                  </w:rPr>
                  <w:t> </w:t>
                </w:r>
                <w:r>
                  <w:rPr>
                    <w:sz w:val="10"/>
                  </w:rPr>
                  <w:t>this</w:t>
                </w:r>
                <w:r>
                  <w:rPr>
                    <w:spacing w:val="-3"/>
                    <w:sz w:val="10"/>
                  </w:rPr>
                  <w:t> </w:t>
                </w:r>
                <w:r>
                  <w:rPr>
                    <w:sz w:val="10"/>
                  </w:rPr>
                  <w:t>excerpt</w:t>
                </w:r>
                <w:r>
                  <w:rPr>
                    <w:spacing w:val="-3"/>
                    <w:sz w:val="10"/>
                  </w:rPr>
                  <w:t> </w:t>
                </w:r>
                <w:r>
                  <w:rPr>
                    <w:sz w:val="10"/>
                  </w:rPr>
                  <w:t>may</w:t>
                </w:r>
                <w:r>
                  <w:rPr>
                    <w:spacing w:val="-3"/>
                    <w:sz w:val="10"/>
                  </w:rPr>
                  <w:t> </w:t>
                </w:r>
                <w:r>
                  <w:rPr>
                    <w:sz w:val="10"/>
                  </w:rPr>
                  <w:t>be</w:t>
                </w:r>
                <w:r>
                  <w:rPr>
                    <w:spacing w:val="-3"/>
                    <w:sz w:val="10"/>
                  </w:rPr>
                  <w:t> </w:t>
                </w:r>
                <w:r>
                  <w:rPr>
                    <w:sz w:val="10"/>
                  </w:rPr>
                  <w:t>reproduced,</w:t>
                </w:r>
                <w:r>
                  <w:rPr>
                    <w:spacing w:val="-3"/>
                    <w:sz w:val="10"/>
                  </w:rPr>
                  <w:t> </w:t>
                </w:r>
                <w:r>
                  <w:rPr>
                    <w:sz w:val="10"/>
                  </w:rPr>
                  <w:t>stored</w:t>
                </w:r>
                <w:r>
                  <w:rPr>
                    <w:spacing w:val="-3"/>
                    <w:sz w:val="10"/>
                  </w:rPr>
                  <w:t> </w:t>
                </w:r>
                <w:r>
                  <w:rPr>
                    <w:sz w:val="10"/>
                  </w:rPr>
                  <w:t>in</w:t>
                </w:r>
                <w:r>
                  <w:rPr>
                    <w:spacing w:val="-3"/>
                    <w:sz w:val="10"/>
                  </w:rPr>
                  <w:t> </w:t>
                </w:r>
                <w:r>
                  <w:rPr>
                    <w:sz w:val="10"/>
                  </w:rPr>
                  <w:t>a</w:t>
                </w:r>
                <w:r>
                  <w:rPr>
                    <w:spacing w:val="-3"/>
                    <w:sz w:val="10"/>
                  </w:rPr>
                  <w:t> </w:t>
                </w:r>
                <w:r>
                  <w:rPr>
                    <w:sz w:val="10"/>
                  </w:rPr>
                  <w:t>retrieval</w:t>
                </w:r>
                <w:r>
                  <w:rPr>
                    <w:spacing w:val="-3"/>
                    <w:sz w:val="10"/>
                  </w:rPr>
                  <w:t> </w:t>
                </w:r>
                <w:r>
                  <w:rPr>
                    <w:sz w:val="10"/>
                  </w:rPr>
                  <w:t>system,</w:t>
                </w:r>
                <w:r>
                  <w:rPr>
                    <w:spacing w:val="-3"/>
                    <w:sz w:val="10"/>
                  </w:rPr>
                  <w:t> </w:t>
                </w:r>
                <w:r>
                  <w:rPr>
                    <w:sz w:val="10"/>
                  </w:rPr>
                  <w:t>or</w:t>
                </w:r>
                <w:r>
                  <w:rPr>
                    <w:spacing w:val="-3"/>
                    <w:sz w:val="10"/>
                  </w:rPr>
                  <w:t> </w:t>
                </w:r>
                <w:r>
                  <w:rPr>
                    <w:sz w:val="10"/>
                  </w:rPr>
                  <w:t>transmitted</w:t>
                </w:r>
                <w:r>
                  <w:rPr>
                    <w:spacing w:val="-3"/>
                    <w:sz w:val="10"/>
                  </w:rPr>
                  <w:t> </w:t>
                </w:r>
                <w:r>
                  <w:rPr>
                    <w:sz w:val="10"/>
                  </w:rPr>
                  <w:t>in</w:t>
                </w:r>
                <w:r>
                  <w:rPr>
                    <w:spacing w:val="-3"/>
                    <w:sz w:val="10"/>
                  </w:rPr>
                  <w:t> </w:t>
                </w:r>
                <w:r>
                  <w:rPr>
                    <w:sz w:val="10"/>
                  </w:rPr>
                  <w:t>any</w:t>
                </w:r>
                <w:r>
                  <w:rPr>
                    <w:spacing w:val="-3"/>
                    <w:sz w:val="10"/>
                  </w:rPr>
                  <w:t> </w:t>
                </w:r>
                <w:r>
                  <w:rPr>
                    <w:sz w:val="10"/>
                  </w:rPr>
                  <w:t>form</w:t>
                </w:r>
                <w:r>
                  <w:rPr>
                    <w:spacing w:val="-3"/>
                    <w:sz w:val="10"/>
                  </w:rPr>
                  <w:t> </w:t>
                </w:r>
                <w:r>
                  <w:rPr>
                    <w:sz w:val="10"/>
                  </w:rPr>
                  <w:t>or</w:t>
                </w:r>
                <w:r>
                  <w:rPr>
                    <w:spacing w:val="-3"/>
                    <w:sz w:val="10"/>
                  </w:rPr>
                  <w:t> </w:t>
                </w:r>
                <w:r>
                  <w:rPr>
                    <w:sz w:val="10"/>
                  </w:rPr>
                  <w:t>by</w:t>
                </w:r>
                <w:r>
                  <w:rPr>
                    <w:spacing w:val="-3"/>
                    <w:sz w:val="10"/>
                  </w:rPr>
                  <w:t> </w:t>
                </w:r>
                <w:r>
                  <w:rPr>
                    <w:sz w:val="10"/>
                  </w:rPr>
                  <w:t>any</w:t>
                </w:r>
                <w:r>
                  <w:rPr>
                    <w:spacing w:val="-3"/>
                    <w:sz w:val="10"/>
                  </w:rPr>
                  <w:t> </w:t>
                </w:r>
                <w:r>
                  <w:rPr>
                    <w:sz w:val="10"/>
                  </w:rPr>
                  <w:t>means,</w:t>
                </w:r>
                <w:r>
                  <w:rPr>
                    <w:spacing w:val="-3"/>
                    <w:sz w:val="10"/>
                  </w:rPr>
                  <w:t> </w:t>
                </w:r>
                <w:r>
                  <w:rPr>
                    <w:sz w:val="10"/>
                  </w:rPr>
                  <w:t>electronic,</w:t>
                </w:r>
                <w:r>
                  <w:rPr>
                    <w:spacing w:val="-3"/>
                    <w:sz w:val="10"/>
                  </w:rPr>
                  <w:t> </w:t>
                </w:r>
                <w:r>
                  <w:rPr>
                    <w:sz w:val="10"/>
                  </w:rPr>
                  <w:t>mechanical,</w:t>
                </w:r>
                <w:r>
                  <w:rPr>
                    <w:spacing w:val="-3"/>
                    <w:sz w:val="10"/>
                  </w:rPr>
                  <w:t> </w:t>
                </w:r>
                <w:r>
                  <w:rPr>
                    <w:sz w:val="10"/>
                  </w:rPr>
                  <w:t>photocopying,</w:t>
                </w:r>
                <w:r>
                  <w:rPr>
                    <w:spacing w:val="-3"/>
                    <w:sz w:val="10"/>
                  </w:rPr>
                  <w:t> </w:t>
                </w:r>
                <w:r>
                  <w:rPr>
                    <w:sz w:val="10"/>
                  </w:rPr>
                  <w:t>recording,</w:t>
                </w:r>
                <w:r>
                  <w:rPr>
                    <w:spacing w:val="-3"/>
                    <w:sz w:val="10"/>
                  </w:rPr>
                  <w:t> </w:t>
                </w:r>
                <w:r>
                  <w:rPr>
                    <w:sz w:val="10"/>
                  </w:rPr>
                  <w:t>or otherwise</w:t>
                </w:r>
                <w:r>
                  <w:rPr>
                    <w:spacing w:val="-4"/>
                    <w:sz w:val="10"/>
                  </w:rPr>
                  <w:t> </w:t>
                </w:r>
                <w:r>
                  <w:rPr>
                    <w:sz w:val="10"/>
                  </w:rPr>
                  <w:t>without</w:t>
                </w:r>
                <w:r>
                  <w:rPr>
                    <w:spacing w:val="-4"/>
                    <w:sz w:val="10"/>
                  </w:rPr>
                  <w:t> </w:t>
                </w:r>
                <w:r>
                  <w:rPr>
                    <w:sz w:val="10"/>
                  </w:rPr>
                  <w:t>the</w:t>
                </w:r>
                <w:r>
                  <w:rPr>
                    <w:spacing w:val="-4"/>
                    <w:sz w:val="10"/>
                  </w:rPr>
                  <w:t> </w:t>
                </w:r>
                <w:r>
                  <w:rPr>
                    <w:sz w:val="10"/>
                  </w:rPr>
                  <w:t>prior</w:t>
                </w:r>
                <w:r>
                  <w:rPr>
                    <w:spacing w:val="-4"/>
                    <w:sz w:val="10"/>
                  </w:rPr>
                  <w:t> </w:t>
                </w:r>
                <w:r>
                  <w:rPr>
                    <w:sz w:val="10"/>
                  </w:rPr>
                  <w:t>written</w:t>
                </w:r>
                <w:r>
                  <w:rPr>
                    <w:spacing w:val="-4"/>
                    <w:sz w:val="10"/>
                  </w:rPr>
                  <w:t> </w:t>
                </w:r>
                <w:r>
                  <w:rPr>
                    <w:sz w:val="10"/>
                  </w:rPr>
                  <w:t>permission</w:t>
                </w:r>
                <w:r>
                  <w:rPr>
                    <w:spacing w:val="-4"/>
                    <w:sz w:val="10"/>
                  </w:rPr>
                  <w:t> </w:t>
                </w:r>
                <w:r>
                  <w:rPr>
                    <w:sz w:val="10"/>
                  </w:rPr>
                  <w:t>of</w:t>
                </w:r>
                <w:r>
                  <w:rPr>
                    <w:spacing w:val="-4"/>
                    <w:sz w:val="10"/>
                  </w:rPr>
                  <w:t> </w:t>
                </w:r>
                <w:r>
                  <w:rPr>
                    <w:sz w:val="10"/>
                  </w:rPr>
                  <w:t>the</w:t>
                </w:r>
                <w:r>
                  <w:rPr>
                    <w:spacing w:val="-4"/>
                    <w:sz w:val="10"/>
                  </w:rPr>
                  <w:t> </w:t>
                </w:r>
                <w:r>
                  <w:rPr>
                    <w:sz w:val="10"/>
                  </w:rPr>
                  <w:t>Publishers</w:t>
                </w:r>
                <w:r>
                  <w:rPr>
                    <w:spacing w:val="-4"/>
                    <w:sz w:val="10"/>
                  </w:rPr>
                  <w:t> </w:t>
                </w:r>
                <w:r>
                  <w:rPr>
                    <w:sz w:val="10"/>
                  </w:rPr>
                  <w:t>or</w:t>
                </w:r>
                <w:r>
                  <w:rPr>
                    <w:spacing w:val="-4"/>
                    <w:sz w:val="10"/>
                  </w:rPr>
                  <w:t> </w:t>
                </w:r>
                <w:r>
                  <w:rPr>
                    <w:sz w:val="10"/>
                  </w:rPr>
                  <w:t>a</w:t>
                </w:r>
                <w:r>
                  <w:rPr>
                    <w:spacing w:val="-4"/>
                    <w:sz w:val="10"/>
                  </w:rPr>
                  <w:t> </w:t>
                </w:r>
                <w:r>
                  <w:rPr>
                    <w:sz w:val="10"/>
                  </w:rPr>
                  <w:t>licence</w:t>
                </w:r>
                <w:r>
                  <w:rPr>
                    <w:spacing w:val="-4"/>
                    <w:sz w:val="10"/>
                  </w:rPr>
                  <w:t> </w:t>
                </w:r>
                <w:r>
                  <w:rPr>
                    <w:sz w:val="10"/>
                  </w:rPr>
                  <w:t>permitting</w:t>
                </w:r>
                <w:r>
                  <w:rPr>
                    <w:spacing w:val="-4"/>
                    <w:sz w:val="10"/>
                  </w:rPr>
                  <w:t> </w:t>
                </w:r>
                <w:r>
                  <w:rPr>
                    <w:sz w:val="10"/>
                  </w:rPr>
                  <w:t>restricted</w:t>
                </w:r>
                <w:r>
                  <w:rPr>
                    <w:spacing w:val="-4"/>
                    <w:sz w:val="10"/>
                  </w:rPr>
                  <w:t> </w:t>
                </w:r>
                <w:r>
                  <w:rPr>
                    <w:sz w:val="10"/>
                  </w:rPr>
                  <w:t>copying</w:t>
                </w:r>
                <w:r>
                  <w:rPr>
                    <w:spacing w:val="-4"/>
                    <w:sz w:val="10"/>
                  </w:rPr>
                  <w:t> </w:t>
                </w:r>
                <w:r>
                  <w:rPr>
                    <w:sz w:val="10"/>
                  </w:rPr>
                  <w:t>in</w:t>
                </w:r>
                <w:r>
                  <w:rPr>
                    <w:spacing w:val="-4"/>
                    <w:sz w:val="10"/>
                  </w:rPr>
                  <w:t> </w:t>
                </w:r>
                <w:r>
                  <w:rPr>
                    <w:sz w:val="10"/>
                  </w:rPr>
                  <w:t>the</w:t>
                </w:r>
                <w:r>
                  <w:rPr>
                    <w:spacing w:val="-4"/>
                    <w:sz w:val="10"/>
                  </w:rPr>
                  <w:t> </w:t>
                </w:r>
                <w:r>
                  <w:rPr>
                    <w:sz w:val="10"/>
                  </w:rPr>
                  <w:t>United</w:t>
                </w:r>
                <w:r>
                  <w:rPr>
                    <w:spacing w:val="-4"/>
                    <w:sz w:val="10"/>
                  </w:rPr>
                  <w:t> </w:t>
                </w:r>
                <w:r>
                  <w:rPr>
                    <w:sz w:val="10"/>
                  </w:rPr>
                  <w:t>Kingdom</w:t>
                </w:r>
                <w:r>
                  <w:rPr>
                    <w:spacing w:val="-4"/>
                    <w:sz w:val="10"/>
                  </w:rPr>
                  <w:t> </w:t>
                </w:r>
                <w:r>
                  <w:rPr>
                    <w:sz w:val="10"/>
                  </w:rPr>
                  <w:t>issued</w:t>
                </w:r>
                <w:r>
                  <w:rPr>
                    <w:spacing w:val="-4"/>
                    <w:sz w:val="10"/>
                  </w:rPr>
                  <w:t> </w:t>
                </w:r>
                <w:r>
                  <w:rPr>
                    <w:sz w:val="10"/>
                  </w:rPr>
                  <w:t>by</w:t>
                </w:r>
                <w:r>
                  <w:rPr>
                    <w:spacing w:val="-4"/>
                    <w:sz w:val="10"/>
                  </w:rPr>
                  <w:t> </w:t>
                </w:r>
                <w:r>
                  <w:rPr>
                    <w:sz w:val="10"/>
                  </w:rPr>
                  <w:t>the</w:t>
                </w:r>
                <w:r>
                  <w:rPr>
                    <w:spacing w:val="-4"/>
                    <w:sz w:val="10"/>
                  </w:rPr>
                  <w:t> </w:t>
                </w:r>
                <w:r>
                  <w:rPr>
                    <w:sz w:val="10"/>
                  </w:rPr>
                  <w:t>Copyright</w:t>
                </w:r>
                <w:r>
                  <w:rPr>
                    <w:spacing w:val="-4"/>
                    <w:sz w:val="10"/>
                  </w:rPr>
                  <w:t> </w:t>
                </w:r>
                <w:r>
                  <w:rPr>
                    <w:sz w:val="10"/>
                  </w:rPr>
                  <w:t>Licensing</w:t>
                </w:r>
                <w:r>
                  <w:rPr>
                    <w:spacing w:val="-8"/>
                    <w:sz w:val="10"/>
                  </w:rPr>
                  <w:t> </w:t>
                </w:r>
                <w:r>
                  <w:rPr>
                    <w:sz w:val="10"/>
                  </w:rPr>
                  <w:t>Agency.</w:t>
                </w:r>
              </w:p>
              <w:p>
                <w:pPr>
                  <w:spacing w:before="60"/>
                  <w:ind w:left="20" w:right="0" w:firstLine="0"/>
                  <w:jc w:val="left"/>
                  <w:rPr>
                    <w:sz w:val="10"/>
                  </w:rPr>
                </w:pPr>
                <w:r>
                  <w:rPr>
                    <w:sz w:val="10"/>
                  </w:rPr>
                  <w:t>If you would like to purchase this book please visit </w:t>
                </w:r>
                <w:hyperlink r:id="rId1">
                  <w:r>
                    <w:rPr>
                      <w:sz w:val="10"/>
                    </w:rPr>
                    <w:t>www.cipd.co.uk/bookstore.</w:t>
                  </w:r>
                </w:hyperlink>
              </w:p>
            </w:txbxContent>
          </v:textbox>
          <w10:wrap type="none"/>
        </v:shape>
      </w:pict>
    </w:r>
    <w:r>
      <w:rPr/>
      <w:pict>
        <v:shape style="position:absolute;margin-left:59.687931pt;margin-top:663.932556pt;width:13.15pt;height:12pt;mso-position-horizontal-relative:page;mso-position-vertical-relative:page;z-index:-28216" type="#_x0000_t202" filled="false" stroked="false">
          <v:textbox inset="0,0,0,0">
            <w:txbxContent>
              <w:p>
                <w:pPr>
                  <w:spacing w:line="226" w:lineRule="exact" w:before="0"/>
                  <w:ind w:left="40" w:right="0" w:firstLine="0"/>
                  <w:jc w:val="left"/>
                  <w:rPr>
                    <w:rFonts w:ascii="Arial Narrow Bold"/>
                    <w:b/>
                    <w:sz w:val="20"/>
                  </w:rPr>
                </w:pPr>
                <w:r>
                  <w:rPr/>
                  <w:fldChar w:fldCharType="begin"/>
                </w:r>
                <w:r>
                  <w:rPr>
                    <w:rFonts w:ascii="Arial Narrow Bold"/>
                    <w:b/>
                    <w:color w:val="5E792D"/>
                    <w:sz w:val="20"/>
                  </w:rPr>
                  <w:instrText> PAGE </w:instrText>
                </w:r>
                <w:r>
                  <w:rPr/>
                  <w:fldChar w:fldCharType="separate"/>
                </w:r>
                <w:r>
                  <w:rPr/>
                  <w:t>82</w:t>
                </w:r>
                <w:r>
                  <w:rPr/>
                  <w:fldChar w:fldCharType="end"/>
                </w:r>
              </w:p>
            </w:txbxContent>
          </v:textbox>
          <w10:wrap type="none"/>
        </v:shape>
      </w:pict>
    </w:r>
  </w:p>
</w:ftr>
</file>

<file path=word/footer5.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pPr>
    <w:r>
      <w:rPr/>
      <w:pict>
        <v:rect style="position:absolute;margin-left:79.103996pt;margin-top:661.061035pt;width:342.79202pt;height:35.306pt;mso-position-horizontal-relative:page;mso-position-vertical-relative:page;z-index:-28192" filled="false" stroked="true" strokeweight=".216pt" strokecolor="#000000">
          <w10:wrap type="none"/>
        </v:rect>
      </w:pict>
    </w:r>
    <w:r>
      <w:rPr/>
      <w:pict>
        <v:shape style="position:absolute;margin-left:81.203903pt;margin-top:662.69458pt;width:335.95pt;height:31.05pt;mso-position-horizontal-relative:page;mso-position-vertical-relative:page;z-index:-28168" type="#_x0000_t202" filled="false" stroked="false">
          <v:textbox inset="0,0,0,0">
            <w:txbxContent>
              <w:p>
                <w:pPr>
                  <w:spacing w:before="3"/>
                  <w:ind w:left="20" w:right="0" w:firstLine="0"/>
                  <w:jc w:val="left"/>
                  <w:rPr>
                    <w:rFonts w:ascii="Arial Narrow Bold" w:hAnsi="Arial Narrow Bold"/>
                    <w:b/>
                    <w:sz w:val="10"/>
                  </w:rPr>
                </w:pPr>
                <w:r>
                  <w:rPr>
                    <w:sz w:val="10"/>
                  </w:rPr>
                  <w:t>A free sample chapter from </w:t>
                </w:r>
                <w:r>
                  <w:rPr>
                    <w:rFonts w:ascii="Arial Narrow Italic" w:hAnsi="Arial Narrow Italic"/>
                    <w:i/>
                    <w:sz w:val="10"/>
                  </w:rPr>
                  <w:t>Human Resource Management at Work </w:t>
                </w:r>
                <w:r>
                  <w:rPr>
                    <w:sz w:val="10"/>
                  </w:rPr>
                  <w:t>by </w:t>
                </w:r>
                <w:r>
                  <w:rPr>
                    <w:rFonts w:ascii="Arial Narrow Bold" w:hAnsi="Arial Narrow Bold"/>
                    <w:b/>
                    <w:sz w:val="10"/>
                  </w:rPr>
                  <w:t>Mick Marchington and Adrian Wilkinson</w:t>
                </w:r>
                <w:r>
                  <w:rPr>
                    <w:sz w:val="10"/>
                  </w:rPr>
                  <w:t>. Published by the CIPD. Copyright © </w:t>
                </w:r>
                <w:r>
                  <w:rPr>
                    <w:rFonts w:ascii="Arial Narrow Bold" w:hAnsi="Arial Narrow Bold"/>
                    <w:b/>
                    <w:sz w:val="10"/>
                  </w:rPr>
                  <w:t>CIPD  2005</w:t>
                </w:r>
              </w:p>
              <w:p>
                <w:pPr>
                  <w:spacing w:before="60"/>
                  <w:ind w:left="20" w:right="0" w:firstLine="0"/>
                  <w:jc w:val="left"/>
                  <w:rPr>
                    <w:sz w:val="10"/>
                  </w:rPr>
                </w:pPr>
                <w:r>
                  <w:rPr>
                    <w:sz w:val="10"/>
                  </w:rPr>
                  <w:t>All</w:t>
                </w:r>
                <w:r>
                  <w:rPr>
                    <w:spacing w:val="-3"/>
                    <w:sz w:val="10"/>
                  </w:rPr>
                  <w:t> </w:t>
                </w:r>
                <w:r>
                  <w:rPr>
                    <w:sz w:val="10"/>
                  </w:rPr>
                  <w:t>rights</w:t>
                </w:r>
                <w:r>
                  <w:rPr>
                    <w:spacing w:val="-3"/>
                    <w:sz w:val="10"/>
                  </w:rPr>
                  <w:t> </w:t>
                </w:r>
                <w:r>
                  <w:rPr>
                    <w:sz w:val="10"/>
                  </w:rPr>
                  <w:t>reserved;</w:t>
                </w:r>
                <w:r>
                  <w:rPr>
                    <w:spacing w:val="-3"/>
                    <w:sz w:val="10"/>
                  </w:rPr>
                  <w:t> </w:t>
                </w:r>
                <w:r>
                  <w:rPr>
                    <w:sz w:val="10"/>
                  </w:rPr>
                  <w:t>no</w:t>
                </w:r>
                <w:r>
                  <w:rPr>
                    <w:spacing w:val="-3"/>
                    <w:sz w:val="10"/>
                  </w:rPr>
                  <w:t> </w:t>
                </w:r>
                <w:r>
                  <w:rPr>
                    <w:sz w:val="10"/>
                  </w:rPr>
                  <w:t>part</w:t>
                </w:r>
                <w:r>
                  <w:rPr>
                    <w:spacing w:val="-3"/>
                    <w:sz w:val="10"/>
                  </w:rPr>
                  <w:t> </w:t>
                </w:r>
                <w:r>
                  <w:rPr>
                    <w:sz w:val="10"/>
                  </w:rPr>
                  <w:t>of</w:t>
                </w:r>
                <w:r>
                  <w:rPr>
                    <w:spacing w:val="-3"/>
                    <w:sz w:val="10"/>
                  </w:rPr>
                  <w:t> </w:t>
                </w:r>
                <w:r>
                  <w:rPr>
                    <w:sz w:val="10"/>
                  </w:rPr>
                  <w:t>this</w:t>
                </w:r>
                <w:r>
                  <w:rPr>
                    <w:spacing w:val="-3"/>
                    <w:sz w:val="10"/>
                  </w:rPr>
                  <w:t> </w:t>
                </w:r>
                <w:r>
                  <w:rPr>
                    <w:sz w:val="10"/>
                  </w:rPr>
                  <w:t>excerpt</w:t>
                </w:r>
                <w:r>
                  <w:rPr>
                    <w:spacing w:val="-3"/>
                    <w:sz w:val="10"/>
                  </w:rPr>
                  <w:t> </w:t>
                </w:r>
                <w:r>
                  <w:rPr>
                    <w:sz w:val="10"/>
                  </w:rPr>
                  <w:t>may</w:t>
                </w:r>
                <w:r>
                  <w:rPr>
                    <w:spacing w:val="-3"/>
                    <w:sz w:val="10"/>
                  </w:rPr>
                  <w:t> </w:t>
                </w:r>
                <w:r>
                  <w:rPr>
                    <w:sz w:val="10"/>
                  </w:rPr>
                  <w:t>be</w:t>
                </w:r>
                <w:r>
                  <w:rPr>
                    <w:spacing w:val="-3"/>
                    <w:sz w:val="10"/>
                  </w:rPr>
                  <w:t> </w:t>
                </w:r>
                <w:r>
                  <w:rPr>
                    <w:sz w:val="10"/>
                  </w:rPr>
                  <w:t>reproduced,</w:t>
                </w:r>
                <w:r>
                  <w:rPr>
                    <w:spacing w:val="-3"/>
                    <w:sz w:val="10"/>
                  </w:rPr>
                  <w:t> </w:t>
                </w:r>
                <w:r>
                  <w:rPr>
                    <w:sz w:val="10"/>
                  </w:rPr>
                  <w:t>stored</w:t>
                </w:r>
                <w:r>
                  <w:rPr>
                    <w:spacing w:val="-3"/>
                    <w:sz w:val="10"/>
                  </w:rPr>
                  <w:t> </w:t>
                </w:r>
                <w:r>
                  <w:rPr>
                    <w:sz w:val="10"/>
                  </w:rPr>
                  <w:t>in</w:t>
                </w:r>
                <w:r>
                  <w:rPr>
                    <w:spacing w:val="-3"/>
                    <w:sz w:val="10"/>
                  </w:rPr>
                  <w:t> </w:t>
                </w:r>
                <w:r>
                  <w:rPr>
                    <w:sz w:val="10"/>
                  </w:rPr>
                  <w:t>a</w:t>
                </w:r>
                <w:r>
                  <w:rPr>
                    <w:spacing w:val="-3"/>
                    <w:sz w:val="10"/>
                  </w:rPr>
                  <w:t> </w:t>
                </w:r>
                <w:r>
                  <w:rPr>
                    <w:sz w:val="10"/>
                  </w:rPr>
                  <w:t>retrieval</w:t>
                </w:r>
                <w:r>
                  <w:rPr>
                    <w:spacing w:val="-3"/>
                    <w:sz w:val="10"/>
                  </w:rPr>
                  <w:t> </w:t>
                </w:r>
                <w:r>
                  <w:rPr>
                    <w:sz w:val="10"/>
                  </w:rPr>
                  <w:t>system,</w:t>
                </w:r>
                <w:r>
                  <w:rPr>
                    <w:spacing w:val="-3"/>
                    <w:sz w:val="10"/>
                  </w:rPr>
                  <w:t> </w:t>
                </w:r>
                <w:r>
                  <w:rPr>
                    <w:sz w:val="10"/>
                  </w:rPr>
                  <w:t>or</w:t>
                </w:r>
                <w:r>
                  <w:rPr>
                    <w:spacing w:val="-3"/>
                    <w:sz w:val="10"/>
                  </w:rPr>
                  <w:t> </w:t>
                </w:r>
                <w:r>
                  <w:rPr>
                    <w:sz w:val="10"/>
                  </w:rPr>
                  <w:t>transmitted</w:t>
                </w:r>
                <w:r>
                  <w:rPr>
                    <w:spacing w:val="-3"/>
                    <w:sz w:val="10"/>
                  </w:rPr>
                  <w:t> </w:t>
                </w:r>
                <w:r>
                  <w:rPr>
                    <w:sz w:val="10"/>
                  </w:rPr>
                  <w:t>in</w:t>
                </w:r>
                <w:r>
                  <w:rPr>
                    <w:spacing w:val="-3"/>
                    <w:sz w:val="10"/>
                  </w:rPr>
                  <w:t> </w:t>
                </w:r>
                <w:r>
                  <w:rPr>
                    <w:sz w:val="10"/>
                  </w:rPr>
                  <w:t>any</w:t>
                </w:r>
                <w:r>
                  <w:rPr>
                    <w:spacing w:val="-3"/>
                    <w:sz w:val="10"/>
                  </w:rPr>
                  <w:t> </w:t>
                </w:r>
                <w:r>
                  <w:rPr>
                    <w:sz w:val="10"/>
                  </w:rPr>
                  <w:t>form</w:t>
                </w:r>
                <w:r>
                  <w:rPr>
                    <w:spacing w:val="-3"/>
                    <w:sz w:val="10"/>
                  </w:rPr>
                  <w:t> </w:t>
                </w:r>
                <w:r>
                  <w:rPr>
                    <w:sz w:val="10"/>
                  </w:rPr>
                  <w:t>or</w:t>
                </w:r>
                <w:r>
                  <w:rPr>
                    <w:spacing w:val="-3"/>
                    <w:sz w:val="10"/>
                  </w:rPr>
                  <w:t> </w:t>
                </w:r>
                <w:r>
                  <w:rPr>
                    <w:sz w:val="10"/>
                  </w:rPr>
                  <w:t>by</w:t>
                </w:r>
                <w:r>
                  <w:rPr>
                    <w:spacing w:val="-3"/>
                    <w:sz w:val="10"/>
                  </w:rPr>
                  <w:t> </w:t>
                </w:r>
                <w:r>
                  <w:rPr>
                    <w:sz w:val="10"/>
                  </w:rPr>
                  <w:t>any</w:t>
                </w:r>
                <w:r>
                  <w:rPr>
                    <w:spacing w:val="-3"/>
                    <w:sz w:val="10"/>
                  </w:rPr>
                  <w:t> </w:t>
                </w:r>
                <w:r>
                  <w:rPr>
                    <w:sz w:val="10"/>
                  </w:rPr>
                  <w:t>means,</w:t>
                </w:r>
                <w:r>
                  <w:rPr>
                    <w:spacing w:val="-3"/>
                    <w:sz w:val="10"/>
                  </w:rPr>
                  <w:t> </w:t>
                </w:r>
                <w:r>
                  <w:rPr>
                    <w:sz w:val="10"/>
                  </w:rPr>
                  <w:t>electronic,</w:t>
                </w:r>
                <w:r>
                  <w:rPr>
                    <w:spacing w:val="-3"/>
                    <w:sz w:val="10"/>
                  </w:rPr>
                  <w:t> </w:t>
                </w:r>
                <w:r>
                  <w:rPr>
                    <w:sz w:val="10"/>
                  </w:rPr>
                  <w:t>mechanical,</w:t>
                </w:r>
                <w:r>
                  <w:rPr>
                    <w:spacing w:val="-3"/>
                    <w:sz w:val="10"/>
                  </w:rPr>
                  <w:t> </w:t>
                </w:r>
                <w:r>
                  <w:rPr>
                    <w:sz w:val="10"/>
                  </w:rPr>
                  <w:t>photocopying,</w:t>
                </w:r>
                <w:r>
                  <w:rPr>
                    <w:spacing w:val="-3"/>
                    <w:sz w:val="10"/>
                  </w:rPr>
                  <w:t> </w:t>
                </w:r>
                <w:r>
                  <w:rPr>
                    <w:sz w:val="10"/>
                  </w:rPr>
                  <w:t>recording,</w:t>
                </w:r>
                <w:r>
                  <w:rPr>
                    <w:spacing w:val="-3"/>
                    <w:sz w:val="10"/>
                  </w:rPr>
                  <w:t> </w:t>
                </w:r>
                <w:r>
                  <w:rPr>
                    <w:sz w:val="10"/>
                  </w:rPr>
                  <w:t>or otherwise</w:t>
                </w:r>
                <w:r>
                  <w:rPr>
                    <w:spacing w:val="-4"/>
                    <w:sz w:val="10"/>
                  </w:rPr>
                  <w:t> </w:t>
                </w:r>
                <w:r>
                  <w:rPr>
                    <w:sz w:val="10"/>
                  </w:rPr>
                  <w:t>without</w:t>
                </w:r>
                <w:r>
                  <w:rPr>
                    <w:spacing w:val="-4"/>
                    <w:sz w:val="10"/>
                  </w:rPr>
                  <w:t> </w:t>
                </w:r>
                <w:r>
                  <w:rPr>
                    <w:sz w:val="10"/>
                  </w:rPr>
                  <w:t>the</w:t>
                </w:r>
                <w:r>
                  <w:rPr>
                    <w:spacing w:val="-4"/>
                    <w:sz w:val="10"/>
                  </w:rPr>
                  <w:t> </w:t>
                </w:r>
                <w:r>
                  <w:rPr>
                    <w:sz w:val="10"/>
                  </w:rPr>
                  <w:t>prior</w:t>
                </w:r>
                <w:r>
                  <w:rPr>
                    <w:spacing w:val="-4"/>
                    <w:sz w:val="10"/>
                  </w:rPr>
                  <w:t> </w:t>
                </w:r>
                <w:r>
                  <w:rPr>
                    <w:sz w:val="10"/>
                  </w:rPr>
                  <w:t>written</w:t>
                </w:r>
                <w:r>
                  <w:rPr>
                    <w:spacing w:val="-4"/>
                    <w:sz w:val="10"/>
                  </w:rPr>
                  <w:t> </w:t>
                </w:r>
                <w:r>
                  <w:rPr>
                    <w:sz w:val="10"/>
                  </w:rPr>
                  <w:t>permission</w:t>
                </w:r>
                <w:r>
                  <w:rPr>
                    <w:spacing w:val="-4"/>
                    <w:sz w:val="10"/>
                  </w:rPr>
                  <w:t> </w:t>
                </w:r>
                <w:r>
                  <w:rPr>
                    <w:sz w:val="10"/>
                  </w:rPr>
                  <w:t>of</w:t>
                </w:r>
                <w:r>
                  <w:rPr>
                    <w:spacing w:val="-4"/>
                    <w:sz w:val="10"/>
                  </w:rPr>
                  <w:t> </w:t>
                </w:r>
                <w:r>
                  <w:rPr>
                    <w:sz w:val="10"/>
                  </w:rPr>
                  <w:t>the</w:t>
                </w:r>
                <w:r>
                  <w:rPr>
                    <w:spacing w:val="-4"/>
                    <w:sz w:val="10"/>
                  </w:rPr>
                  <w:t> </w:t>
                </w:r>
                <w:r>
                  <w:rPr>
                    <w:sz w:val="10"/>
                  </w:rPr>
                  <w:t>Publishers</w:t>
                </w:r>
                <w:r>
                  <w:rPr>
                    <w:spacing w:val="-4"/>
                    <w:sz w:val="10"/>
                  </w:rPr>
                  <w:t> </w:t>
                </w:r>
                <w:r>
                  <w:rPr>
                    <w:sz w:val="10"/>
                  </w:rPr>
                  <w:t>or</w:t>
                </w:r>
                <w:r>
                  <w:rPr>
                    <w:spacing w:val="-4"/>
                    <w:sz w:val="10"/>
                  </w:rPr>
                  <w:t> </w:t>
                </w:r>
                <w:r>
                  <w:rPr>
                    <w:sz w:val="10"/>
                  </w:rPr>
                  <w:t>a</w:t>
                </w:r>
                <w:r>
                  <w:rPr>
                    <w:spacing w:val="-4"/>
                    <w:sz w:val="10"/>
                  </w:rPr>
                  <w:t> </w:t>
                </w:r>
                <w:r>
                  <w:rPr>
                    <w:sz w:val="10"/>
                  </w:rPr>
                  <w:t>licence</w:t>
                </w:r>
                <w:r>
                  <w:rPr>
                    <w:spacing w:val="-4"/>
                    <w:sz w:val="10"/>
                  </w:rPr>
                  <w:t> </w:t>
                </w:r>
                <w:r>
                  <w:rPr>
                    <w:sz w:val="10"/>
                  </w:rPr>
                  <w:t>permitting</w:t>
                </w:r>
                <w:r>
                  <w:rPr>
                    <w:spacing w:val="-4"/>
                    <w:sz w:val="10"/>
                  </w:rPr>
                  <w:t> </w:t>
                </w:r>
                <w:r>
                  <w:rPr>
                    <w:sz w:val="10"/>
                  </w:rPr>
                  <w:t>restricted</w:t>
                </w:r>
                <w:r>
                  <w:rPr>
                    <w:spacing w:val="-4"/>
                    <w:sz w:val="10"/>
                  </w:rPr>
                  <w:t> </w:t>
                </w:r>
                <w:r>
                  <w:rPr>
                    <w:sz w:val="10"/>
                  </w:rPr>
                  <w:t>copying</w:t>
                </w:r>
                <w:r>
                  <w:rPr>
                    <w:spacing w:val="-4"/>
                    <w:sz w:val="10"/>
                  </w:rPr>
                  <w:t> </w:t>
                </w:r>
                <w:r>
                  <w:rPr>
                    <w:sz w:val="10"/>
                  </w:rPr>
                  <w:t>in</w:t>
                </w:r>
                <w:r>
                  <w:rPr>
                    <w:spacing w:val="-4"/>
                    <w:sz w:val="10"/>
                  </w:rPr>
                  <w:t> </w:t>
                </w:r>
                <w:r>
                  <w:rPr>
                    <w:sz w:val="10"/>
                  </w:rPr>
                  <w:t>the</w:t>
                </w:r>
                <w:r>
                  <w:rPr>
                    <w:spacing w:val="-4"/>
                    <w:sz w:val="10"/>
                  </w:rPr>
                  <w:t> </w:t>
                </w:r>
                <w:r>
                  <w:rPr>
                    <w:sz w:val="10"/>
                  </w:rPr>
                  <w:t>United</w:t>
                </w:r>
                <w:r>
                  <w:rPr>
                    <w:spacing w:val="-4"/>
                    <w:sz w:val="10"/>
                  </w:rPr>
                  <w:t> </w:t>
                </w:r>
                <w:r>
                  <w:rPr>
                    <w:sz w:val="10"/>
                  </w:rPr>
                  <w:t>Kingdom</w:t>
                </w:r>
                <w:r>
                  <w:rPr>
                    <w:spacing w:val="-4"/>
                    <w:sz w:val="10"/>
                  </w:rPr>
                  <w:t> </w:t>
                </w:r>
                <w:r>
                  <w:rPr>
                    <w:sz w:val="10"/>
                  </w:rPr>
                  <w:t>issued</w:t>
                </w:r>
                <w:r>
                  <w:rPr>
                    <w:spacing w:val="-4"/>
                    <w:sz w:val="10"/>
                  </w:rPr>
                  <w:t> </w:t>
                </w:r>
                <w:r>
                  <w:rPr>
                    <w:sz w:val="10"/>
                  </w:rPr>
                  <w:t>by</w:t>
                </w:r>
                <w:r>
                  <w:rPr>
                    <w:spacing w:val="-4"/>
                    <w:sz w:val="10"/>
                  </w:rPr>
                  <w:t> </w:t>
                </w:r>
                <w:r>
                  <w:rPr>
                    <w:sz w:val="10"/>
                  </w:rPr>
                  <w:t>the</w:t>
                </w:r>
                <w:r>
                  <w:rPr>
                    <w:spacing w:val="-4"/>
                    <w:sz w:val="10"/>
                  </w:rPr>
                  <w:t> </w:t>
                </w:r>
                <w:r>
                  <w:rPr>
                    <w:sz w:val="10"/>
                  </w:rPr>
                  <w:t>Copyright</w:t>
                </w:r>
                <w:r>
                  <w:rPr>
                    <w:spacing w:val="-4"/>
                    <w:sz w:val="10"/>
                  </w:rPr>
                  <w:t> </w:t>
                </w:r>
                <w:r>
                  <w:rPr>
                    <w:sz w:val="10"/>
                  </w:rPr>
                  <w:t>Licensing</w:t>
                </w:r>
                <w:r>
                  <w:rPr>
                    <w:spacing w:val="-8"/>
                    <w:sz w:val="10"/>
                  </w:rPr>
                  <w:t> </w:t>
                </w:r>
                <w:r>
                  <w:rPr>
                    <w:sz w:val="10"/>
                  </w:rPr>
                  <w:t>Agency.</w:t>
                </w:r>
              </w:p>
              <w:p>
                <w:pPr>
                  <w:spacing w:before="60"/>
                  <w:ind w:left="20" w:right="0" w:firstLine="0"/>
                  <w:jc w:val="left"/>
                  <w:rPr>
                    <w:sz w:val="10"/>
                  </w:rPr>
                </w:pPr>
                <w:r>
                  <w:rPr>
                    <w:sz w:val="10"/>
                  </w:rPr>
                  <w:t>If you would like to purchase this book please visit </w:t>
                </w:r>
                <w:hyperlink r:id="rId1">
                  <w:r>
                    <w:rPr>
                      <w:sz w:val="10"/>
                    </w:rPr>
                    <w:t>www.cipd.co.uk/bookstore.</w:t>
                  </w:r>
                </w:hyperlink>
              </w:p>
            </w:txbxContent>
          </v:textbox>
          <w10:wrap type="none"/>
        </v:shape>
      </w:pict>
    </w:r>
    <w:r>
      <w:rPr/>
      <w:pict>
        <v:shape style="position:absolute;margin-left:428.189819pt;margin-top:663.932556pt;width:13.15pt;height:12.05pt;mso-position-horizontal-relative:page;mso-position-vertical-relative:page;z-index:-28144" type="#_x0000_t202" filled="false" stroked="false">
          <v:textbox inset="0,0,0,0">
            <w:txbxContent>
              <w:p>
                <w:pPr>
                  <w:spacing w:line="226" w:lineRule="exact" w:before="0"/>
                  <w:ind w:left="40" w:right="0" w:firstLine="0"/>
                  <w:jc w:val="left"/>
                  <w:rPr>
                    <w:rFonts w:ascii="Arial Narrow Bold"/>
                    <w:b/>
                    <w:sz w:val="20"/>
                  </w:rPr>
                </w:pPr>
                <w:r>
                  <w:rPr/>
                  <w:fldChar w:fldCharType="begin"/>
                </w:r>
                <w:r>
                  <w:rPr>
                    <w:rFonts w:ascii="Arial Narrow Bold"/>
                    <w:b/>
                    <w:color w:val="5E792D"/>
                    <w:sz w:val="20"/>
                  </w:rPr>
                  <w:instrText> PAGE </w:instrText>
                </w:r>
                <w:r>
                  <w:rPr/>
                  <w:fldChar w:fldCharType="separate"/>
                </w:r>
                <w:r>
                  <w:rPr/>
                  <w:t>83</w:t>
                </w:r>
                <w:r>
                  <w:rPr/>
                  <w:fldChar w:fldCharType="end"/>
                </w:r>
              </w:p>
            </w:txbxContent>
          </v:textbox>
          <w10:wrap type="none"/>
        </v:shape>
      </w:pict>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pPr>
    <w:r>
      <w:rPr/>
      <w:pict>
        <v:shape style="position:absolute;margin-left:78.003906pt;margin-top:24.75375pt;width:133.25pt;height:9pt;mso-position-horizontal-relative:page;mso-position-vertical-relative:page;z-index:-28552" type="#_x0000_t202" filled="false" stroked="false">
          <v:textbox inset="0,0,0,0">
            <w:txbxContent>
              <w:p>
                <w:pPr>
                  <w:spacing w:line="164" w:lineRule="exact" w:before="0"/>
                  <w:ind w:left="20" w:right="-10" w:firstLine="0"/>
                  <w:jc w:val="left"/>
                  <w:rPr>
                    <w:rFonts w:ascii="Arial Narrow Bold"/>
                    <w:b/>
                    <w:sz w:val="14"/>
                  </w:rPr>
                </w:pPr>
                <w:r>
                  <w:rPr>
                    <w:rFonts w:ascii="Arial Narrow Bold"/>
                    <w:b/>
                    <w:color w:val="5E792D"/>
                    <w:sz w:val="14"/>
                  </w:rPr>
                  <w:t>PART 1  HRM, STRATEGY AND PERFORMANCE</w:t>
                </w:r>
              </w:p>
            </w:txbxContent>
          </v:textbox>
          <w10:wrap type="none"/>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pPr>
    <w:r>
      <w:rPr/>
      <w:pict>
        <v:shape style="position:absolute;margin-left:307.745789pt;margin-top:24.768938pt;width:115.25pt;height:9pt;mso-position-horizontal-relative:page;mso-position-vertical-relative:page;z-index:-28528" type="#_x0000_t202" filled="false" stroked="false">
          <v:textbox inset="0,0,0,0">
            <w:txbxContent>
              <w:p>
                <w:pPr>
                  <w:spacing w:line="164" w:lineRule="exact" w:before="0"/>
                  <w:ind w:left="20" w:right="0" w:firstLine="0"/>
                  <w:jc w:val="left"/>
                  <w:rPr>
                    <w:sz w:val="14"/>
                  </w:rPr>
                </w:pPr>
                <w:r>
                  <w:rPr>
                    <w:color w:val="5E792D"/>
                    <w:sz w:val="14"/>
                  </w:rPr>
                  <w:t>3  High Commitment HRM and Performance</w:t>
                </w:r>
              </w:p>
            </w:txbxContent>
          </v:textbox>
          <w10:wrap type="none"/>
        </v:shape>
      </w:pic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pPr>
    <w:r>
      <w:rPr/>
      <w:pict>
        <v:shape style="position:absolute;margin-left:307.745789pt;margin-top:24.768938pt;width:115.25pt;height:9pt;mso-position-horizontal-relative:page;mso-position-vertical-relative:page;z-index:-28360" type="#_x0000_t202" filled="false" stroked="false">
          <v:textbox inset="0,0,0,0">
            <w:txbxContent>
              <w:p>
                <w:pPr>
                  <w:spacing w:line="164" w:lineRule="exact" w:before="0"/>
                  <w:ind w:left="20" w:right="0" w:firstLine="0"/>
                  <w:jc w:val="left"/>
                  <w:rPr>
                    <w:sz w:val="14"/>
                  </w:rPr>
                </w:pPr>
                <w:r>
                  <w:rPr>
                    <w:color w:val="5E792D"/>
                    <w:sz w:val="14"/>
                  </w:rPr>
                  <w:t>3  High Commitment HRM and Performance</w:t>
                </w:r>
              </w:p>
            </w:txbxContent>
          </v:textbox>
          <w10:wrap type="none"/>
        </v:shape>
      </w:pict>
    </w: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pPr>
    <w:r>
      <w:rPr/>
      <w:pict>
        <v:shape style="position:absolute;margin-left:78.003906pt;margin-top:24.75375pt;width:133.25pt;height:9pt;mso-position-horizontal-relative:page;mso-position-vertical-relative:page;z-index:-28336" type="#_x0000_t202" filled="false" stroked="false">
          <v:textbox inset="0,0,0,0">
            <w:txbxContent>
              <w:p>
                <w:pPr>
                  <w:spacing w:line="164" w:lineRule="exact" w:before="0"/>
                  <w:ind w:left="20" w:right="-10" w:firstLine="0"/>
                  <w:jc w:val="left"/>
                  <w:rPr>
                    <w:rFonts w:ascii="Arial Narrow Bold"/>
                    <w:b/>
                    <w:sz w:val="14"/>
                  </w:rPr>
                </w:pPr>
                <w:r>
                  <w:rPr>
                    <w:rFonts w:ascii="Arial Narrow Bold"/>
                    <w:b/>
                    <w:color w:val="5E792D"/>
                    <w:sz w:val="14"/>
                  </w:rPr>
                  <w:t>PART 1  HRM, STRATEGY AND PERFORMANCE</w:t>
                </w:r>
              </w:p>
            </w:txbxContent>
          </v:textbox>
          <w10:wrap type="none"/>
        </v:shape>
      </w:pict>
    </w:r>
  </w:p>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pPr>
    <w:r>
      <w:rPr/>
      <w:pict>
        <v:shape style="position:absolute;margin-left:78.003906pt;margin-top:24.75375pt;width:133.25pt;height:9pt;mso-position-horizontal-relative:page;mso-position-vertical-relative:page;z-index:-28312" type="#_x0000_t202" filled="false" stroked="false">
          <v:textbox inset="0,0,0,0">
            <w:txbxContent>
              <w:p>
                <w:pPr>
                  <w:spacing w:line="164" w:lineRule="exact" w:before="0"/>
                  <w:ind w:left="20" w:right="-10" w:firstLine="0"/>
                  <w:jc w:val="left"/>
                  <w:rPr>
                    <w:rFonts w:ascii="Arial Narrow Bold"/>
                    <w:b/>
                    <w:sz w:val="14"/>
                  </w:rPr>
                </w:pPr>
                <w:r>
                  <w:rPr>
                    <w:rFonts w:ascii="Arial Narrow Bold"/>
                    <w:b/>
                    <w:color w:val="5E792D"/>
                    <w:sz w:val="14"/>
                  </w:rPr>
                  <w:t>PART 1  HRM, STRATEGY AND PERFORMANCE</w:t>
                </w:r>
              </w:p>
            </w:txbxContent>
          </v:textbox>
          <w10:wrap type="none"/>
        </v:shape>
      </w:pict>
    </w:r>
  </w:p>
</w:hdr>
</file>

<file path=word/header6.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pPr>
    <w:r>
      <w:rPr/>
      <w:pict>
        <v:shape style="position:absolute;margin-left:307.745789pt;margin-top:24.768938pt;width:115.25pt;height:9pt;mso-position-horizontal-relative:page;mso-position-vertical-relative:page;z-index:-28288" type="#_x0000_t202" filled="false" stroked="false">
          <v:textbox inset="0,0,0,0">
            <w:txbxContent>
              <w:p>
                <w:pPr>
                  <w:spacing w:line="164" w:lineRule="exact" w:before="0"/>
                  <w:ind w:left="20" w:right="0" w:firstLine="0"/>
                  <w:jc w:val="left"/>
                  <w:rPr>
                    <w:sz w:val="14"/>
                  </w:rPr>
                </w:pPr>
                <w:r>
                  <w:rPr>
                    <w:color w:val="5E792D"/>
                    <w:sz w:val="14"/>
                  </w:rPr>
                  <w:t>3  High Commitment HRM and Performance</w:t>
                </w:r>
              </w:p>
            </w:txbxContent>
          </v:textbox>
          <w10:wrap type="none"/>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4">
    <w:multiLevelType w:val="hybridMultilevel"/>
    <w:lvl w:ilvl="0">
      <w:start w:val="1"/>
      <w:numFmt w:val="bullet"/>
      <w:lvlText w:val="■"/>
      <w:lvlJc w:val="left"/>
      <w:pPr>
        <w:ind w:left="753" w:hanging="282"/>
      </w:pPr>
      <w:rPr>
        <w:rFonts w:hint="default" w:ascii="MS UI Gothic" w:hAnsi="MS UI Gothic" w:eastAsia="MS UI Gothic" w:cs="MS UI Gothic"/>
        <w:color w:val="5E792D"/>
        <w:w w:val="76"/>
        <w:sz w:val="16"/>
        <w:szCs w:val="16"/>
      </w:rPr>
    </w:lvl>
    <w:lvl w:ilvl="1">
      <w:start w:val="1"/>
      <w:numFmt w:val="bullet"/>
      <w:lvlText w:val="•"/>
      <w:lvlJc w:val="left"/>
      <w:pPr>
        <w:ind w:left="1433" w:hanging="282"/>
      </w:pPr>
      <w:rPr>
        <w:rFonts w:hint="default"/>
      </w:rPr>
    </w:lvl>
    <w:lvl w:ilvl="2">
      <w:start w:val="1"/>
      <w:numFmt w:val="bullet"/>
      <w:lvlText w:val="•"/>
      <w:lvlJc w:val="left"/>
      <w:pPr>
        <w:ind w:left="2106" w:hanging="282"/>
      </w:pPr>
      <w:rPr>
        <w:rFonts w:hint="default"/>
      </w:rPr>
    </w:lvl>
    <w:lvl w:ilvl="3">
      <w:start w:val="1"/>
      <w:numFmt w:val="bullet"/>
      <w:lvlText w:val="•"/>
      <w:lvlJc w:val="left"/>
      <w:pPr>
        <w:ind w:left="2780" w:hanging="282"/>
      </w:pPr>
      <w:rPr>
        <w:rFonts w:hint="default"/>
      </w:rPr>
    </w:lvl>
    <w:lvl w:ilvl="4">
      <w:start w:val="1"/>
      <w:numFmt w:val="bullet"/>
      <w:lvlText w:val="•"/>
      <w:lvlJc w:val="left"/>
      <w:pPr>
        <w:ind w:left="3453" w:hanging="282"/>
      </w:pPr>
      <w:rPr>
        <w:rFonts w:hint="default"/>
      </w:rPr>
    </w:lvl>
    <w:lvl w:ilvl="5">
      <w:start w:val="1"/>
      <w:numFmt w:val="bullet"/>
      <w:lvlText w:val="•"/>
      <w:lvlJc w:val="left"/>
      <w:pPr>
        <w:ind w:left="4127" w:hanging="282"/>
      </w:pPr>
      <w:rPr>
        <w:rFonts w:hint="default"/>
      </w:rPr>
    </w:lvl>
    <w:lvl w:ilvl="6">
      <w:start w:val="1"/>
      <w:numFmt w:val="bullet"/>
      <w:lvlText w:val="•"/>
      <w:lvlJc w:val="left"/>
      <w:pPr>
        <w:ind w:left="4800" w:hanging="282"/>
      </w:pPr>
      <w:rPr>
        <w:rFonts w:hint="default"/>
      </w:rPr>
    </w:lvl>
    <w:lvl w:ilvl="7">
      <w:start w:val="1"/>
      <w:numFmt w:val="bullet"/>
      <w:lvlText w:val="•"/>
      <w:lvlJc w:val="left"/>
      <w:pPr>
        <w:ind w:left="5474" w:hanging="282"/>
      </w:pPr>
      <w:rPr>
        <w:rFonts w:hint="default"/>
      </w:rPr>
    </w:lvl>
    <w:lvl w:ilvl="8">
      <w:start w:val="1"/>
      <w:numFmt w:val="bullet"/>
      <w:lvlText w:val="•"/>
      <w:lvlJc w:val="left"/>
      <w:pPr>
        <w:ind w:left="6147" w:hanging="282"/>
      </w:pPr>
      <w:rPr>
        <w:rFonts w:hint="default"/>
      </w:rPr>
    </w:lvl>
  </w:abstractNum>
  <w:abstractNum w:abstractNumId="3">
    <w:multiLevelType w:val="hybridMultilevel"/>
    <w:lvl w:ilvl="0">
      <w:start w:val="1"/>
      <w:numFmt w:val="bullet"/>
      <w:lvlText w:val="■"/>
      <w:lvlJc w:val="left"/>
      <w:pPr>
        <w:ind w:left="733" w:hanging="282"/>
      </w:pPr>
      <w:rPr>
        <w:rFonts w:hint="default" w:ascii="MS UI Gothic" w:hAnsi="MS UI Gothic" w:eastAsia="MS UI Gothic" w:cs="MS UI Gothic"/>
        <w:color w:val="5E792D"/>
        <w:w w:val="76"/>
        <w:sz w:val="16"/>
        <w:szCs w:val="16"/>
      </w:rPr>
    </w:lvl>
    <w:lvl w:ilvl="1">
      <w:start w:val="1"/>
      <w:numFmt w:val="bullet"/>
      <w:lvlText w:val="•"/>
      <w:lvlJc w:val="left"/>
      <w:pPr>
        <w:ind w:left="1352" w:hanging="282"/>
      </w:pPr>
      <w:rPr>
        <w:rFonts w:hint="default"/>
      </w:rPr>
    </w:lvl>
    <w:lvl w:ilvl="2">
      <w:start w:val="1"/>
      <w:numFmt w:val="bullet"/>
      <w:lvlText w:val="•"/>
      <w:lvlJc w:val="left"/>
      <w:pPr>
        <w:ind w:left="1963" w:hanging="282"/>
      </w:pPr>
      <w:rPr>
        <w:rFonts w:hint="default"/>
      </w:rPr>
    </w:lvl>
    <w:lvl w:ilvl="3">
      <w:start w:val="1"/>
      <w:numFmt w:val="bullet"/>
      <w:lvlText w:val="•"/>
      <w:lvlJc w:val="left"/>
      <w:pPr>
        <w:ind w:left="2575" w:hanging="282"/>
      </w:pPr>
      <w:rPr>
        <w:rFonts w:hint="default"/>
      </w:rPr>
    </w:lvl>
    <w:lvl w:ilvl="4">
      <w:start w:val="1"/>
      <w:numFmt w:val="bullet"/>
      <w:lvlText w:val="•"/>
      <w:lvlJc w:val="left"/>
      <w:pPr>
        <w:ind w:left="3187" w:hanging="282"/>
      </w:pPr>
      <w:rPr>
        <w:rFonts w:hint="default"/>
      </w:rPr>
    </w:lvl>
    <w:lvl w:ilvl="5">
      <w:start w:val="1"/>
      <w:numFmt w:val="bullet"/>
      <w:lvlText w:val="•"/>
      <w:lvlJc w:val="left"/>
      <w:pPr>
        <w:ind w:left="3799" w:hanging="282"/>
      </w:pPr>
      <w:rPr>
        <w:rFonts w:hint="default"/>
      </w:rPr>
    </w:lvl>
    <w:lvl w:ilvl="6">
      <w:start w:val="1"/>
      <w:numFmt w:val="bullet"/>
      <w:lvlText w:val="•"/>
      <w:lvlJc w:val="left"/>
      <w:pPr>
        <w:ind w:left="4411" w:hanging="282"/>
      </w:pPr>
      <w:rPr>
        <w:rFonts w:hint="default"/>
      </w:rPr>
    </w:lvl>
    <w:lvl w:ilvl="7">
      <w:start w:val="1"/>
      <w:numFmt w:val="bullet"/>
      <w:lvlText w:val="•"/>
      <w:lvlJc w:val="left"/>
      <w:pPr>
        <w:ind w:left="5023" w:hanging="282"/>
      </w:pPr>
      <w:rPr>
        <w:rFonts w:hint="default"/>
      </w:rPr>
    </w:lvl>
    <w:lvl w:ilvl="8">
      <w:start w:val="1"/>
      <w:numFmt w:val="bullet"/>
      <w:lvlText w:val="•"/>
      <w:lvlJc w:val="left"/>
      <w:pPr>
        <w:ind w:left="5635" w:hanging="282"/>
      </w:pPr>
      <w:rPr>
        <w:rFonts w:hint="default"/>
      </w:rPr>
    </w:lvl>
  </w:abstractNum>
  <w:abstractNum w:abstractNumId="2">
    <w:multiLevelType w:val="hybridMultilevel"/>
    <w:lvl w:ilvl="0">
      <w:start w:val="1"/>
      <w:numFmt w:val="bullet"/>
      <w:lvlText w:val="■"/>
      <w:lvlJc w:val="left"/>
      <w:pPr>
        <w:ind w:left="443" w:hanging="284"/>
      </w:pPr>
      <w:rPr>
        <w:rFonts w:hint="default" w:ascii="MS UI Gothic" w:hAnsi="MS UI Gothic" w:eastAsia="MS UI Gothic" w:cs="MS UI Gothic"/>
        <w:color w:val="5E792D"/>
        <w:w w:val="76"/>
        <w:sz w:val="16"/>
        <w:szCs w:val="16"/>
      </w:rPr>
    </w:lvl>
    <w:lvl w:ilvl="1">
      <w:start w:val="1"/>
      <w:numFmt w:val="bullet"/>
      <w:lvlText w:val="•"/>
      <w:lvlJc w:val="left"/>
      <w:pPr>
        <w:ind w:left="1082" w:hanging="284"/>
      </w:pPr>
      <w:rPr>
        <w:rFonts w:hint="default"/>
      </w:rPr>
    </w:lvl>
    <w:lvl w:ilvl="2">
      <w:start w:val="1"/>
      <w:numFmt w:val="bullet"/>
      <w:lvlText w:val="•"/>
      <w:lvlJc w:val="left"/>
      <w:pPr>
        <w:ind w:left="1724" w:hanging="284"/>
      </w:pPr>
      <w:rPr>
        <w:rFonts w:hint="default"/>
      </w:rPr>
    </w:lvl>
    <w:lvl w:ilvl="3">
      <w:start w:val="1"/>
      <w:numFmt w:val="bullet"/>
      <w:lvlText w:val="•"/>
      <w:lvlJc w:val="left"/>
      <w:pPr>
        <w:ind w:left="2366" w:hanging="284"/>
      </w:pPr>
      <w:rPr>
        <w:rFonts w:hint="default"/>
      </w:rPr>
    </w:lvl>
    <w:lvl w:ilvl="4">
      <w:start w:val="1"/>
      <w:numFmt w:val="bullet"/>
      <w:lvlText w:val="•"/>
      <w:lvlJc w:val="left"/>
      <w:pPr>
        <w:ind w:left="3008" w:hanging="284"/>
      </w:pPr>
      <w:rPr>
        <w:rFonts w:hint="default"/>
      </w:rPr>
    </w:lvl>
    <w:lvl w:ilvl="5">
      <w:start w:val="1"/>
      <w:numFmt w:val="bullet"/>
      <w:lvlText w:val="•"/>
      <w:lvlJc w:val="left"/>
      <w:pPr>
        <w:ind w:left="3650" w:hanging="284"/>
      </w:pPr>
      <w:rPr>
        <w:rFonts w:hint="default"/>
      </w:rPr>
    </w:lvl>
    <w:lvl w:ilvl="6">
      <w:start w:val="1"/>
      <w:numFmt w:val="bullet"/>
      <w:lvlText w:val="•"/>
      <w:lvlJc w:val="left"/>
      <w:pPr>
        <w:ind w:left="4292" w:hanging="284"/>
      </w:pPr>
      <w:rPr>
        <w:rFonts w:hint="default"/>
      </w:rPr>
    </w:lvl>
    <w:lvl w:ilvl="7">
      <w:start w:val="1"/>
      <w:numFmt w:val="bullet"/>
      <w:lvlText w:val="•"/>
      <w:lvlJc w:val="left"/>
      <w:pPr>
        <w:ind w:left="4934" w:hanging="284"/>
      </w:pPr>
      <w:rPr>
        <w:rFonts w:hint="default"/>
      </w:rPr>
    </w:lvl>
    <w:lvl w:ilvl="8">
      <w:start w:val="1"/>
      <w:numFmt w:val="bullet"/>
      <w:lvlText w:val="•"/>
      <w:lvlJc w:val="left"/>
      <w:pPr>
        <w:ind w:left="5576" w:hanging="284"/>
      </w:pPr>
      <w:rPr>
        <w:rFonts w:hint="default"/>
      </w:rPr>
    </w:lvl>
  </w:abstractNum>
  <w:abstractNum w:abstractNumId="1">
    <w:multiLevelType w:val="hybridMultilevel"/>
    <w:lvl w:ilvl="0">
      <w:start w:val="1"/>
      <w:numFmt w:val="bullet"/>
      <w:lvlText w:val="■"/>
      <w:lvlJc w:val="left"/>
      <w:pPr>
        <w:ind w:left="443" w:hanging="284"/>
      </w:pPr>
      <w:rPr>
        <w:rFonts w:hint="default" w:ascii="MS UI Gothic" w:hAnsi="MS UI Gothic" w:eastAsia="MS UI Gothic" w:cs="MS UI Gothic"/>
        <w:color w:val="5E792D"/>
        <w:w w:val="76"/>
        <w:sz w:val="16"/>
        <w:szCs w:val="16"/>
      </w:rPr>
    </w:lvl>
    <w:lvl w:ilvl="1">
      <w:start w:val="1"/>
      <w:numFmt w:val="bullet"/>
      <w:lvlText w:val="•"/>
      <w:lvlJc w:val="left"/>
      <w:pPr>
        <w:ind w:left="1082" w:hanging="284"/>
      </w:pPr>
      <w:rPr>
        <w:rFonts w:hint="default"/>
      </w:rPr>
    </w:lvl>
    <w:lvl w:ilvl="2">
      <w:start w:val="1"/>
      <w:numFmt w:val="bullet"/>
      <w:lvlText w:val="•"/>
      <w:lvlJc w:val="left"/>
      <w:pPr>
        <w:ind w:left="1723" w:hanging="284"/>
      </w:pPr>
      <w:rPr>
        <w:rFonts w:hint="default"/>
      </w:rPr>
    </w:lvl>
    <w:lvl w:ilvl="3">
      <w:start w:val="1"/>
      <w:numFmt w:val="bullet"/>
      <w:lvlText w:val="•"/>
      <w:lvlJc w:val="left"/>
      <w:pPr>
        <w:ind w:left="2365" w:hanging="284"/>
      </w:pPr>
      <w:rPr>
        <w:rFonts w:hint="default"/>
      </w:rPr>
    </w:lvl>
    <w:lvl w:ilvl="4">
      <w:start w:val="1"/>
      <w:numFmt w:val="bullet"/>
      <w:lvlText w:val="•"/>
      <w:lvlJc w:val="left"/>
      <w:pPr>
        <w:ind w:left="3007" w:hanging="284"/>
      </w:pPr>
      <w:rPr>
        <w:rFonts w:hint="default"/>
      </w:rPr>
    </w:lvl>
    <w:lvl w:ilvl="5">
      <w:start w:val="1"/>
      <w:numFmt w:val="bullet"/>
      <w:lvlText w:val="•"/>
      <w:lvlJc w:val="left"/>
      <w:pPr>
        <w:ind w:left="3649" w:hanging="284"/>
      </w:pPr>
      <w:rPr>
        <w:rFonts w:hint="default"/>
      </w:rPr>
    </w:lvl>
    <w:lvl w:ilvl="6">
      <w:start w:val="1"/>
      <w:numFmt w:val="bullet"/>
      <w:lvlText w:val="•"/>
      <w:lvlJc w:val="left"/>
      <w:pPr>
        <w:ind w:left="4291" w:hanging="284"/>
      </w:pPr>
      <w:rPr>
        <w:rFonts w:hint="default"/>
      </w:rPr>
    </w:lvl>
    <w:lvl w:ilvl="7">
      <w:start w:val="1"/>
      <w:numFmt w:val="bullet"/>
      <w:lvlText w:val="•"/>
      <w:lvlJc w:val="left"/>
      <w:pPr>
        <w:ind w:left="4933" w:hanging="284"/>
      </w:pPr>
      <w:rPr>
        <w:rFonts w:hint="default"/>
      </w:rPr>
    </w:lvl>
    <w:lvl w:ilvl="8">
      <w:start w:val="1"/>
      <w:numFmt w:val="bullet"/>
      <w:lvlText w:val="•"/>
      <w:lvlJc w:val="left"/>
      <w:pPr>
        <w:ind w:left="5575" w:hanging="284"/>
      </w:pPr>
      <w:rPr>
        <w:rFonts w:hint="default"/>
      </w:rPr>
    </w:lvl>
  </w:abstractNum>
  <w:abstractNum w:abstractNumId="0">
    <w:multiLevelType w:val="hybridMultilevel"/>
    <w:lvl w:ilvl="0">
      <w:start w:val="1"/>
      <w:numFmt w:val="bullet"/>
      <w:lvlText w:val="–"/>
      <w:lvlJc w:val="left"/>
      <w:pPr>
        <w:ind w:left="180" w:hanging="154"/>
      </w:pPr>
      <w:rPr>
        <w:rFonts w:hint="default" w:ascii="Arial Narrow" w:hAnsi="Arial Narrow" w:eastAsia="Arial Narrow" w:cs="Arial Narrow"/>
        <w:w w:val="100"/>
        <w:sz w:val="20"/>
        <w:szCs w:val="20"/>
      </w:rPr>
    </w:lvl>
    <w:lvl w:ilvl="1">
      <w:start w:val="1"/>
      <w:numFmt w:val="bullet"/>
      <w:lvlText w:val="■"/>
      <w:lvlJc w:val="left"/>
      <w:pPr>
        <w:ind w:left="1033" w:hanging="282"/>
      </w:pPr>
      <w:rPr>
        <w:rFonts w:hint="default" w:ascii="MS UI Gothic" w:hAnsi="MS UI Gothic" w:eastAsia="MS UI Gothic" w:cs="MS UI Gothic"/>
        <w:color w:val="5E792D"/>
        <w:w w:val="76"/>
        <w:sz w:val="16"/>
        <w:szCs w:val="16"/>
      </w:rPr>
    </w:lvl>
    <w:lvl w:ilvl="2">
      <w:start w:val="1"/>
      <w:numFmt w:val="bullet"/>
      <w:lvlText w:val="•"/>
      <w:lvlJc w:val="left"/>
      <w:pPr>
        <w:ind w:left="1728" w:hanging="282"/>
      </w:pPr>
      <w:rPr>
        <w:rFonts w:hint="default"/>
      </w:rPr>
    </w:lvl>
    <w:lvl w:ilvl="3">
      <w:start w:val="1"/>
      <w:numFmt w:val="bullet"/>
      <w:lvlText w:val="•"/>
      <w:lvlJc w:val="left"/>
      <w:pPr>
        <w:ind w:left="2416" w:hanging="282"/>
      </w:pPr>
      <w:rPr>
        <w:rFonts w:hint="default"/>
      </w:rPr>
    </w:lvl>
    <w:lvl w:ilvl="4">
      <w:start w:val="1"/>
      <w:numFmt w:val="bullet"/>
      <w:lvlText w:val="•"/>
      <w:lvlJc w:val="left"/>
      <w:pPr>
        <w:ind w:left="3104" w:hanging="282"/>
      </w:pPr>
      <w:rPr>
        <w:rFonts w:hint="default"/>
      </w:rPr>
    </w:lvl>
    <w:lvl w:ilvl="5">
      <w:start w:val="1"/>
      <w:numFmt w:val="bullet"/>
      <w:lvlText w:val="•"/>
      <w:lvlJc w:val="left"/>
      <w:pPr>
        <w:ind w:left="3793" w:hanging="282"/>
      </w:pPr>
      <w:rPr>
        <w:rFonts w:hint="default"/>
      </w:rPr>
    </w:lvl>
    <w:lvl w:ilvl="6">
      <w:start w:val="1"/>
      <w:numFmt w:val="bullet"/>
      <w:lvlText w:val="•"/>
      <w:lvlJc w:val="left"/>
      <w:pPr>
        <w:ind w:left="4481" w:hanging="282"/>
      </w:pPr>
      <w:rPr>
        <w:rFonts w:hint="default"/>
      </w:rPr>
    </w:lvl>
    <w:lvl w:ilvl="7">
      <w:start w:val="1"/>
      <w:numFmt w:val="bullet"/>
      <w:lvlText w:val="•"/>
      <w:lvlJc w:val="left"/>
      <w:pPr>
        <w:ind w:left="5169" w:hanging="282"/>
      </w:pPr>
      <w:rPr>
        <w:rFonts w:hint="default"/>
      </w:rPr>
    </w:lvl>
    <w:lvl w:ilvl="8">
      <w:start w:val="1"/>
      <w:numFmt w:val="bullet"/>
      <w:lvlText w:val="•"/>
      <w:lvlJc w:val="left"/>
      <w:pPr>
        <w:ind w:left="5858" w:hanging="282"/>
      </w:pPr>
      <w:rPr>
        <w:rFonts w:hint="default"/>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evenAndOddHeaders/>
  <w:drawingGridHorizontalSpacing w:val="110"/>
  <w:displayHorizontalDrawingGridEvery w:val="2"/>
  <w:characterSpacingControl w:val="doNotCompress"/>
  <w:compat>
    <w:ulTrailSpac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Arial Narrow" w:hAnsi="Arial Narrow" w:eastAsia="Arial Narrow" w:cs="Arial Narrow"/>
    </w:rPr>
  </w:style>
  <w:style w:styleId="BodyText" w:type="paragraph">
    <w:name w:val="Body Text"/>
    <w:basedOn w:val="Normal"/>
    <w:uiPriority w:val="1"/>
    <w:qFormat/>
    <w:pPr/>
    <w:rPr>
      <w:rFonts w:ascii="Arial Narrow" w:hAnsi="Arial Narrow" w:eastAsia="Arial Narrow" w:cs="Arial Narrow"/>
      <w:sz w:val="20"/>
      <w:szCs w:val="20"/>
    </w:rPr>
  </w:style>
  <w:style w:styleId="Heading1" w:type="paragraph">
    <w:name w:val="Heading 1"/>
    <w:basedOn w:val="Normal"/>
    <w:uiPriority w:val="1"/>
    <w:qFormat/>
    <w:pPr>
      <w:spacing w:before="1"/>
      <w:ind w:left="180"/>
      <w:jc w:val="both"/>
      <w:outlineLvl w:val="1"/>
    </w:pPr>
    <w:rPr>
      <w:rFonts w:ascii="Arial Narrow Bold" w:hAnsi="Arial Narrow Bold" w:eastAsia="Arial Narrow Bold" w:cs="Arial Narrow Bold"/>
      <w:b/>
      <w:bCs/>
      <w:sz w:val="24"/>
      <w:szCs w:val="24"/>
    </w:rPr>
  </w:style>
  <w:style w:styleId="Heading2" w:type="paragraph">
    <w:name w:val="Heading 2"/>
    <w:basedOn w:val="Normal"/>
    <w:uiPriority w:val="1"/>
    <w:qFormat/>
    <w:pPr>
      <w:ind w:left="40"/>
      <w:outlineLvl w:val="2"/>
    </w:pPr>
    <w:rPr>
      <w:rFonts w:ascii="Arial Narrow Bold" w:hAnsi="Arial Narrow Bold" w:eastAsia="Arial Narrow Bold" w:cs="Arial Narrow Bold"/>
      <w:b/>
      <w:bCs/>
      <w:sz w:val="20"/>
      <w:szCs w:val="20"/>
    </w:rPr>
  </w:style>
  <w:style w:styleId="ListParagraph" w:type="paragraph">
    <w:name w:val="List Paragraph"/>
    <w:basedOn w:val="Normal"/>
    <w:uiPriority w:val="1"/>
    <w:qFormat/>
    <w:pPr>
      <w:spacing w:before="56"/>
      <w:ind w:left="1033" w:hanging="281"/>
    </w:pPr>
    <w:rPr>
      <w:rFonts w:ascii="Arial Narrow" w:hAnsi="Arial Narrow" w:eastAsia="Arial Narrow" w:cs="Arial Narrow"/>
    </w:rPr>
  </w:style>
  <w:style w:styleId="TableParagraph" w:type="paragraph">
    <w:name w:val="Table Paragraph"/>
    <w:basedOn w:val="Normal"/>
    <w:uiPriority w:val="1"/>
    <w:qFormat/>
    <w:pPr>
      <w:spacing w:before="67"/>
      <w:ind w:left="120"/>
    </w:pPr>
    <w:rPr>
      <w:rFonts w:ascii="Arial Narrow" w:hAnsi="Arial Narrow" w:eastAsia="Arial Narrow" w:cs="Arial Narrow"/>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hyperlink" Target="http://www.cipd.co.uk/bookstore" TargetMode="Externa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header" Target="header3.xml"/><Relationship Id="rId11" Type="http://schemas.openxmlformats.org/officeDocument/2006/relationships/header" Target="header4.xml"/><Relationship Id="rId12" Type="http://schemas.openxmlformats.org/officeDocument/2006/relationships/footer" Target="footer3.xml"/><Relationship Id="rId13" Type="http://schemas.openxmlformats.org/officeDocument/2006/relationships/header" Target="header5.xml"/><Relationship Id="rId14" Type="http://schemas.openxmlformats.org/officeDocument/2006/relationships/header" Target="header6.xml"/><Relationship Id="rId15" Type="http://schemas.openxmlformats.org/officeDocument/2006/relationships/footer" Target="footer4.xml"/><Relationship Id="rId16" Type="http://schemas.openxmlformats.org/officeDocument/2006/relationships/footer" Target="footer5.xml"/><Relationship Id="rId17" Type="http://schemas.openxmlformats.org/officeDocument/2006/relationships/numbering" Target="numbering.xml"/></Relationships>

</file>

<file path=word/_rels/footer1.xml.rels><?xml version="1.0" encoding="UTF-8" standalone="yes"?>
<Relationships xmlns="http://schemas.openxmlformats.org/package/2006/relationships"><Relationship Id="rId1" Type="http://schemas.openxmlformats.org/officeDocument/2006/relationships/hyperlink" Target="http://www.cipd.co.uk/bookstore" TargetMode="External"/></Relationships>

</file>

<file path=word/_rels/footer2.xml.rels><?xml version="1.0" encoding="UTF-8" standalone="yes"?>
<Relationships xmlns="http://schemas.openxmlformats.org/package/2006/relationships"><Relationship Id="rId1" Type="http://schemas.openxmlformats.org/officeDocument/2006/relationships/hyperlink" Target="http://www.cipd.co.uk/bookstore" TargetMode="External"/></Relationships>

</file>

<file path=word/_rels/footer4.xml.rels><?xml version="1.0" encoding="UTF-8" standalone="yes"?>
<Relationships xmlns="http://schemas.openxmlformats.org/package/2006/relationships"><Relationship Id="rId1" Type="http://schemas.openxmlformats.org/officeDocument/2006/relationships/hyperlink" Target="http://www.cipd.co.uk/bookstore" TargetMode="External"/></Relationships>

</file>

<file path=word/_rels/footer5.xml.rels><?xml version="1.0" encoding="UTF-8" standalone="yes"?>
<Relationships xmlns="http://schemas.openxmlformats.org/package/2006/relationships"><Relationship Id="rId1" Type="http://schemas.openxmlformats.org/officeDocument/2006/relationships/hyperlink" Target="http://www.cipd.co.uk/bookst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Terry Money</dc:creator>
  <dc:title>sample.qxp</dc:title>
  <dcterms:created xsi:type="dcterms:W3CDTF">2016-10-14T10:05:10Z</dcterms:created>
  <dcterms:modified xsi:type="dcterms:W3CDTF">2016-10-14T10:05:10Z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2005-01-18T00:00:00Z</vt:filetime>
  </property>
  <property fmtid="{D5CDD505-2E9C-101B-9397-08002B2CF9AE}" pid="3" name="Creator">
    <vt:lpwstr>QuarkXPress: pictwpstops filter 1.0</vt:lpwstr>
  </property>
  <property fmtid="{D5CDD505-2E9C-101B-9397-08002B2CF9AE}" pid="4" name="LastSaved">
    <vt:filetime>2016-10-14T00:00:00Z</vt:filetime>
  </property>
</Properties>
</file>