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8320510" w:displacedByCustomXml="next"/>
    <w:sdt>
      <w:sdtPr>
        <w:rPr>
          <w:rFonts w:eastAsiaTheme="minorHAnsi"/>
          <w:color w:val="4472C4" w:themeColor="accent1"/>
          <w:lang w:val="en-GB"/>
        </w:rPr>
        <w:id w:val="1785912932"/>
        <w:docPartObj>
          <w:docPartGallery w:val="Cover Pages"/>
          <w:docPartUnique/>
        </w:docPartObj>
      </w:sdtPr>
      <w:sdtEndPr>
        <w:rPr>
          <w:rFonts w:ascii="Arial" w:hAnsi="Arial" w:cs="Arial"/>
          <w:b/>
          <w:bCs/>
          <w:color w:val="auto"/>
        </w:rPr>
      </w:sdtEndPr>
      <w:sdtContent>
        <w:p w14:paraId="00FD0ED9" w14:textId="505703CA" w:rsidR="00C26949" w:rsidRDefault="00C26949">
          <w:pPr>
            <w:pStyle w:val="NoSpacing"/>
            <w:spacing w:before="1540" w:after="240"/>
            <w:jc w:val="center"/>
            <w:rPr>
              <w:color w:val="4472C4" w:themeColor="accent1"/>
            </w:rPr>
          </w:pPr>
          <w:r>
            <w:rPr>
              <w:noProof/>
              <w:color w:val="4472C4" w:themeColor="accent1"/>
            </w:rPr>
            <w:drawing>
              <wp:inline distT="0" distB="0" distL="0" distR="0" wp14:anchorId="47D420A8" wp14:editId="2FF5A75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DF472054D87425B8CE4A2F8D6B15E8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72F51C2" w14:textId="3773FB3C" w:rsidR="00C26949" w:rsidRDefault="00C2694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cosumer Rights Act 2015</w:t>
              </w:r>
            </w:p>
          </w:sdtContent>
        </w:sdt>
        <w:sdt>
          <w:sdtPr>
            <w:rPr>
              <w:color w:val="4472C4" w:themeColor="accent1"/>
              <w:sz w:val="28"/>
              <w:szCs w:val="28"/>
            </w:rPr>
            <w:alias w:val="Subtitle"/>
            <w:tag w:val=""/>
            <w:id w:val="328029620"/>
            <w:placeholder>
              <w:docPart w:val="E650866FED134911AA45506B25CA59A4"/>
            </w:placeholder>
            <w:dataBinding w:prefixMappings="xmlns:ns0='http://purl.org/dc/elements/1.1/' xmlns:ns1='http://schemas.openxmlformats.org/package/2006/metadata/core-properties' " w:xpath="/ns1:coreProperties[1]/ns0:subject[1]" w:storeItemID="{6C3C8BC8-F283-45AE-878A-BAB7291924A1}"/>
            <w:text/>
          </w:sdtPr>
          <w:sdtEndPr/>
          <w:sdtContent>
            <w:p w14:paraId="3D60386C" w14:textId="358E23B1" w:rsidR="00C26949" w:rsidRDefault="004E16F6">
              <w:pPr>
                <w:pStyle w:val="NoSpacing"/>
                <w:jc w:val="center"/>
                <w:rPr>
                  <w:color w:val="4472C4" w:themeColor="accent1"/>
                  <w:sz w:val="28"/>
                  <w:szCs w:val="28"/>
                </w:rPr>
              </w:pPr>
              <w:r>
                <w:rPr>
                  <w:color w:val="4472C4" w:themeColor="accent1"/>
                  <w:sz w:val="28"/>
                  <w:szCs w:val="28"/>
                </w:rPr>
                <w:t>Contract</w:t>
              </w:r>
            </w:p>
          </w:sdtContent>
        </w:sdt>
        <w:p w14:paraId="2F616E60" w14:textId="2FBD7FEC" w:rsidR="00C26949" w:rsidRDefault="003748CB">
          <w:pPr>
            <w:pStyle w:val="NoSpacing"/>
            <w:spacing w:before="480"/>
            <w:jc w:val="center"/>
            <w:rPr>
              <w:color w:val="4472C4" w:themeColor="accent1"/>
            </w:rPr>
          </w:pPr>
          <w:r>
            <w:rPr>
              <w:noProof/>
            </w:rPr>
            <w:pict w14:anchorId="302FAAF0">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05T00:00:00Z">
                          <w:dateFormat w:val="MMMM d, yyyy"/>
                          <w:lid w:val="en-US"/>
                          <w:storeMappedDataAs w:val="dateTime"/>
                          <w:calendar w:val="gregorian"/>
                        </w:date>
                      </w:sdtPr>
                      <w:sdtEndPr/>
                      <w:sdtContent>
                        <w:p w14:paraId="33856AC5" w14:textId="3924CEE6" w:rsidR="00C26949" w:rsidRDefault="00C26949">
                          <w:pPr>
                            <w:pStyle w:val="NoSpacing"/>
                            <w:spacing w:after="40"/>
                            <w:jc w:val="center"/>
                            <w:rPr>
                              <w:caps/>
                              <w:color w:val="4472C4" w:themeColor="accent1"/>
                              <w:sz w:val="28"/>
                              <w:szCs w:val="28"/>
                            </w:rPr>
                          </w:pPr>
                          <w:r>
                            <w:rPr>
                              <w:caps/>
                              <w:color w:val="4472C4" w:themeColor="accent1"/>
                              <w:sz w:val="28"/>
                              <w:szCs w:val="28"/>
                            </w:rPr>
                            <w:t>May 5, 2022</w:t>
                          </w:r>
                        </w:p>
                      </w:sdtContent>
                    </w:sdt>
                    <w:p w14:paraId="205DE8DD" w14:textId="6AF96746" w:rsidR="00C26949" w:rsidRDefault="003748C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E16F6">
                            <w:rPr>
                              <w:caps/>
                              <w:color w:val="4472C4" w:themeColor="accent1"/>
                            </w:rPr>
                            <w:t>Beverly Evans</w:t>
                          </w:r>
                        </w:sdtContent>
                      </w:sdt>
                    </w:p>
                    <w:p w14:paraId="4DBB2796" w14:textId="69793333" w:rsidR="00C26949" w:rsidRDefault="003748C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71749">
                            <w:rPr>
                              <w:color w:val="4472C4" w:themeColor="accent1"/>
                            </w:rPr>
                            <w:t xml:space="preserve">Trinity Saint David’s </w:t>
                          </w:r>
                        </w:sdtContent>
                      </w:sdt>
                      <w:r w:rsidR="00D71749">
                        <w:rPr>
                          <w:color w:val="4472C4" w:themeColor="accent1"/>
                        </w:rPr>
                        <w:t xml:space="preserve"> </w:t>
                      </w:r>
                    </w:p>
                  </w:txbxContent>
                </v:textbox>
                <w10:wrap anchorx="margin" anchory="page"/>
              </v:shape>
            </w:pict>
          </w:r>
          <w:r w:rsidR="00C26949">
            <w:rPr>
              <w:noProof/>
              <w:color w:val="4472C4" w:themeColor="accent1"/>
            </w:rPr>
            <w:drawing>
              <wp:inline distT="0" distB="0" distL="0" distR="0" wp14:anchorId="41EE973F" wp14:editId="792D2FD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B0CCE4" w14:textId="7F35DC72" w:rsidR="00C26949" w:rsidRDefault="00C26949">
          <w:pPr>
            <w:rPr>
              <w:rFonts w:ascii="Arial" w:eastAsia="Times New Roman" w:hAnsi="Arial" w:cs="Arial"/>
              <w:b/>
              <w:bCs/>
              <w:sz w:val="24"/>
              <w:szCs w:val="24"/>
              <w:lang w:eastAsia="en-GB"/>
            </w:rPr>
          </w:pPr>
          <w:r>
            <w:rPr>
              <w:rFonts w:ascii="Arial" w:hAnsi="Arial" w:cs="Arial"/>
              <w:b/>
              <w:bCs/>
            </w:rPr>
            <w:br w:type="page"/>
          </w:r>
        </w:p>
      </w:sdtContent>
    </w:sdt>
    <w:p w14:paraId="79E8A995" w14:textId="1C4AE7F1" w:rsidR="00F239D8" w:rsidRPr="00F239D8" w:rsidRDefault="00F239D8" w:rsidP="00F239D8">
      <w:pPr>
        <w:pStyle w:val="NormalWeb"/>
        <w:spacing w:after="0"/>
        <w:rPr>
          <w:rFonts w:ascii="Arial" w:hAnsi="Arial" w:cs="Arial"/>
          <w:b/>
          <w:bCs/>
        </w:rPr>
      </w:pPr>
      <w:r w:rsidRPr="00F239D8">
        <w:rPr>
          <w:rFonts w:ascii="Arial" w:hAnsi="Arial" w:cs="Arial"/>
          <w:b/>
          <w:bCs/>
        </w:rPr>
        <w:lastRenderedPageBreak/>
        <w:t>Introduction</w:t>
      </w:r>
    </w:p>
    <w:p w14:paraId="7782077C" w14:textId="03F090FE" w:rsidR="00A52301" w:rsidRPr="00F239D8" w:rsidRDefault="00D9629C" w:rsidP="00F239D8">
      <w:pPr>
        <w:pStyle w:val="NormalWeb"/>
        <w:spacing w:after="0"/>
        <w:rPr>
          <w:rFonts w:asciiTheme="minorHAnsi" w:eastAsiaTheme="minorHAnsi" w:hAnsiTheme="minorHAnsi" w:cstheme="minorBidi"/>
          <w:lang w:eastAsia="en-US"/>
        </w:rPr>
      </w:pPr>
      <w:r w:rsidRPr="00222E12">
        <w:rPr>
          <w:rFonts w:ascii="Arial" w:hAnsi="Arial" w:cs="Arial"/>
        </w:rPr>
        <w:t>T</w:t>
      </w:r>
      <w:r w:rsidR="007716F9" w:rsidRPr="00222E12">
        <w:rPr>
          <w:rFonts w:ascii="Arial" w:hAnsi="Arial" w:cs="Arial"/>
        </w:rPr>
        <w:t>he C</w:t>
      </w:r>
      <w:r w:rsidR="00033A59" w:rsidRPr="00222E12">
        <w:rPr>
          <w:rFonts w:ascii="Arial" w:hAnsi="Arial" w:cs="Arial"/>
        </w:rPr>
        <w:t xml:space="preserve">onsumer </w:t>
      </w:r>
      <w:r w:rsidR="007716F9" w:rsidRPr="00222E12">
        <w:rPr>
          <w:rFonts w:ascii="Arial" w:hAnsi="Arial" w:cs="Arial"/>
        </w:rPr>
        <w:t>R</w:t>
      </w:r>
      <w:r w:rsidR="00033A59" w:rsidRPr="00222E12">
        <w:rPr>
          <w:rFonts w:ascii="Arial" w:hAnsi="Arial" w:cs="Arial"/>
        </w:rPr>
        <w:t xml:space="preserve">ight </w:t>
      </w:r>
      <w:r w:rsidR="007716F9" w:rsidRPr="00222E12">
        <w:rPr>
          <w:rFonts w:ascii="Arial" w:hAnsi="Arial" w:cs="Arial"/>
        </w:rPr>
        <w:t>A</w:t>
      </w:r>
      <w:r w:rsidR="00033A59" w:rsidRPr="00222E12">
        <w:rPr>
          <w:rFonts w:ascii="Arial" w:hAnsi="Arial" w:cs="Arial"/>
        </w:rPr>
        <w:t>ct</w:t>
      </w:r>
      <w:r w:rsidR="007716F9" w:rsidRPr="00222E12">
        <w:rPr>
          <w:rFonts w:ascii="Arial" w:hAnsi="Arial" w:cs="Arial"/>
        </w:rPr>
        <w:t xml:space="preserve"> 2015 applies only to the trader and the consumer</w:t>
      </w:r>
      <w:r w:rsidR="009B4526" w:rsidRPr="00222E12">
        <w:rPr>
          <w:rFonts w:ascii="Arial" w:hAnsi="Arial" w:cs="Arial"/>
        </w:rPr>
        <w:t xml:space="preserve"> </w:t>
      </w:r>
      <w:r w:rsidR="00CE7D88" w:rsidRPr="00222E12">
        <w:rPr>
          <w:rFonts w:ascii="Arial" w:hAnsi="Arial" w:cs="Arial"/>
        </w:rPr>
        <w:t xml:space="preserve">for the purpose of a trader as per section 2 (2) CRA 2015, a trader is </w:t>
      </w:r>
      <w:r w:rsidR="00B75EA7" w:rsidRPr="00222E12">
        <w:rPr>
          <w:rFonts w:ascii="Arial" w:hAnsi="Arial" w:cs="Arial"/>
        </w:rPr>
        <w:t>someone</w:t>
      </w:r>
      <w:r w:rsidR="00CE7D88" w:rsidRPr="00222E12">
        <w:rPr>
          <w:rFonts w:ascii="Arial" w:hAnsi="Arial" w:cs="Arial"/>
        </w:rPr>
        <w:t xml:space="preserve"> who is selling the goods and for the purpose of a consumer </w:t>
      </w:r>
      <w:r w:rsidR="00B75EA7" w:rsidRPr="00222E12">
        <w:rPr>
          <w:rFonts w:ascii="Arial" w:hAnsi="Arial" w:cs="Arial"/>
        </w:rPr>
        <w:t>in s2 (3) CRA 2015, a consumer is a person who is buying the goods.</w:t>
      </w:r>
      <w:r w:rsidR="00C23090" w:rsidRPr="00222E12">
        <w:rPr>
          <w:rFonts w:ascii="Arial" w:hAnsi="Arial" w:cs="Arial"/>
        </w:rPr>
        <w:t xml:space="preserve"> s1 (1) is an agreement between traders and consumers </w:t>
      </w:r>
      <w:r w:rsidR="00A11A38" w:rsidRPr="00222E12">
        <w:rPr>
          <w:rFonts w:ascii="Arial" w:hAnsi="Arial" w:cs="Arial"/>
        </w:rPr>
        <w:t>The Sale of Products Act 1893, which was modified by the Sale of Goods Act 1979, incorporated this case law into laws that safeguarded customers when purchasing goods</w:t>
      </w:r>
      <w:r w:rsidR="007865DC" w:rsidRPr="00222E12">
        <w:rPr>
          <w:rFonts w:ascii="Arial" w:hAnsi="Arial" w:cs="Arial"/>
        </w:rPr>
        <w:t xml:space="preserve"> (Department for Business, Innovation and Skills, 2015).</w:t>
      </w:r>
      <w:r w:rsidR="00EC369E" w:rsidRPr="00222E12">
        <w:rPr>
          <w:rFonts w:asciiTheme="minorHAnsi" w:eastAsiaTheme="minorHAnsi" w:hAnsiTheme="minorHAnsi" w:cstheme="minorBidi"/>
          <w:lang w:eastAsia="en-US"/>
        </w:rPr>
        <w:t xml:space="preserve"> </w:t>
      </w:r>
      <w:r w:rsidR="00D01047" w:rsidRPr="00BA557A">
        <w:rPr>
          <w:rFonts w:ascii="Arial" w:hAnsi="Arial" w:cs="Arial"/>
        </w:rPr>
        <w:t>These changes</w:t>
      </w:r>
      <w:r w:rsidR="00644AC8" w:rsidRPr="00BA557A">
        <w:rPr>
          <w:rFonts w:ascii="Arial" w:hAnsi="Arial" w:cs="Arial"/>
        </w:rPr>
        <w:t xml:space="preserve"> th</w:t>
      </w:r>
      <w:r w:rsidR="00F76A0D" w:rsidRPr="00BA557A">
        <w:rPr>
          <w:rFonts w:ascii="Arial" w:hAnsi="Arial" w:cs="Arial"/>
        </w:rPr>
        <w:t>at have been made in the CRA 2015</w:t>
      </w:r>
      <w:r w:rsidR="00644AC8" w:rsidRPr="00BA557A">
        <w:rPr>
          <w:rFonts w:ascii="Arial" w:hAnsi="Arial" w:cs="Arial"/>
        </w:rPr>
        <w:t xml:space="preserve"> </w:t>
      </w:r>
      <w:r w:rsidR="00D01047" w:rsidRPr="00BA557A">
        <w:rPr>
          <w:rFonts w:ascii="Arial" w:hAnsi="Arial" w:cs="Arial"/>
        </w:rPr>
        <w:t>will have a significant impact on the success of consumer legislation as a means of protection, increasing standards, and facilitating redress. As a result, they help to secure some of the most important goals of consumer protection legislation. They may also help customers fulfil the role that traditional economic theory envisions for them: making educated decisions based on their preferences and thereby exercising market discipline</w:t>
      </w:r>
      <w:r w:rsidR="002A342D">
        <w:rPr>
          <w:rFonts w:ascii="Arial" w:hAnsi="Arial" w:cs="Arial"/>
        </w:rPr>
        <w:t xml:space="preserve"> </w:t>
      </w:r>
      <w:r w:rsidR="00EC369E" w:rsidRPr="00BA557A">
        <w:rPr>
          <w:rFonts w:ascii="Arial" w:hAnsi="Arial" w:cs="Arial"/>
        </w:rPr>
        <w:t>(Cartwright, 2016).</w:t>
      </w:r>
      <w:r w:rsidR="00D01047" w:rsidRPr="00BA557A">
        <w:t xml:space="preserve"> </w:t>
      </w:r>
      <w:r w:rsidR="00284BF1" w:rsidRPr="00507C60">
        <w:rPr>
          <w:rFonts w:ascii="Arial" w:hAnsi="Arial" w:cs="Arial"/>
        </w:rPr>
        <w:t xml:space="preserve">The introduction of the CRA 2015 was the most significant legislative change. </w:t>
      </w:r>
      <w:r w:rsidR="00C7545A" w:rsidRPr="00507C60">
        <w:rPr>
          <w:rFonts w:ascii="Arial" w:hAnsi="Arial" w:cs="Arial"/>
        </w:rPr>
        <w:t>This Act unifies consumer rights in one location, strengthens consumer protections, and modernises the law to accommodate technological advancements. CRA 2015, Chapter 3 The legislation had previously been ambiguous, and this revision has brought us up to speed with the evolution of digital products. Part 1 of the CRA 2015 has replaced the Sales of Goods Act of 1979</w:t>
      </w:r>
      <w:r w:rsidR="002A342D">
        <w:rPr>
          <w:rFonts w:ascii="Arial" w:hAnsi="Arial" w:cs="Arial"/>
        </w:rPr>
        <w:t xml:space="preserve"> </w:t>
      </w:r>
      <w:r w:rsidR="00C7545A" w:rsidRPr="00890675">
        <w:rPr>
          <w:rFonts w:ascii="Arial" w:hAnsi="Arial" w:cs="Arial"/>
        </w:rPr>
        <w:t>(MRN Ltd, 2015)</w:t>
      </w:r>
      <w:r w:rsidR="00C7545A">
        <w:rPr>
          <w:rFonts w:ascii="Arial" w:hAnsi="Arial" w:cs="Arial"/>
        </w:rPr>
        <w:t>.</w:t>
      </w:r>
      <w:r w:rsidR="00C7545A" w:rsidRPr="000A6840">
        <w:rPr>
          <w:rFonts w:ascii="Arial" w:hAnsi="Arial" w:cs="Arial"/>
        </w:rPr>
        <w:t xml:space="preserve"> </w:t>
      </w:r>
      <w:r w:rsidR="00D01047" w:rsidRPr="00C7545A">
        <w:rPr>
          <w:rFonts w:ascii="Arial" w:hAnsi="Arial" w:cs="Arial"/>
        </w:rPr>
        <w:t>This former regime was criticised for being needlessly complex, fragmented, and, in some parts, ambiguous, despite providing a high level of consumer protection. In addition, the legislation had not kept pace with technological advancements. Furthermore, there were discrepancies and overlaps between EU and pre-existing UK legislation</w:t>
      </w:r>
      <w:r w:rsidR="00D01047">
        <w:rPr>
          <w:rFonts w:ascii="Arial" w:hAnsi="Arial" w:cs="Arial"/>
          <w:sz w:val="28"/>
          <w:szCs w:val="28"/>
        </w:rPr>
        <w:t xml:space="preserve"> </w:t>
      </w:r>
      <w:r w:rsidR="000C70CD" w:rsidRPr="00C7545A">
        <w:rPr>
          <w:rFonts w:ascii="Arial" w:hAnsi="Arial" w:cs="Arial"/>
        </w:rPr>
        <w:t xml:space="preserve">(Swinson, 2015). </w:t>
      </w:r>
      <w:r w:rsidR="00D01047" w:rsidRPr="00C7545A">
        <w:rPr>
          <w:rFonts w:ascii="Arial" w:hAnsi="Arial" w:cs="Arial"/>
        </w:rPr>
        <w:t xml:space="preserve">The introduction of the CRA 2015 was the most significant legislative change. This Act unifies consumer rights in one location, strengthens consumer protections, and modernises the law to accommodate technological advancements. CRA 2015, s3 This would make consumer law clearer and easier to understand, allowing consumers to buy with confidence and firms to sell to them, as well as resolving consumer disputes more swiftly and cheaply </w:t>
      </w:r>
      <w:r w:rsidR="000A3DE3" w:rsidRPr="00C7545A">
        <w:rPr>
          <w:rFonts w:ascii="Arial" w:hAnsi="Arial" w:cs="Arial"/>
        </w:rPr>
        <w:t>(Citizens Advice, 2022).</w:t>
      </w:r>
      <w:r w:rsidR="00D01047">
        <w:rPr>
          <w:rFonts w:ascii="Arial" w:hAnsi="Arial" w:cs="Arial"/>
        </w:rPr>
        <w:t xml:space="preserve"> </w:t>
      </w:r>
    </w:p>
    <w:bookmarkEnd w:id="0"/>
    <w:p w14:paraId="48D5E3D4" w14:textId="77777777" w:rsidR="00F239D8" w:rsidRDefault="00F239D8" w:rsidP="00A34975">
      <w:pPr>
        <w:rPr>
          <w:rFonts w:ascii="Arial" w:hAnsi="Arial" w:cs="Arial"/>
          <w:sz w:val="24"/>
          <w:szCs w:val="24"/>
        </w:rPr>
      </w:pPr>
    </w:p>
    <w:p w14:paraId="1203A5B6" w14:textId="77777777" w:rsidR="00F239D8" w:rsidRDefault="00F239D8" w:rsidP="00A34975">
      <w:pPr>
        <w:rPr>
          <w:rFonts w:ascii="Arial" w:hAnsi="Arial" w:cs="Arial"/>
          <w:sz w:val="24"/>
          <w:szCs w:val="24"/>
        </w:rPr>
      </w:pPr>
    </w:p>
    <w:p w14:paraId="5BF5B0BB" w14:textId="77777777" w:rsidR="00F239D8" w:rsidRDefault="00F239D8" w:rsidP="00A34975">
      <w:pPr>
        <w:rPr>
          <w:rFonts w:ascii="Arial" w:hAnsi="Arial" w:cs="Arial"/>
          <w:sz w:val="24"/>
          <w:szCs w:val="24"/>
        </w:rPr>
      </w:pPr>
    </w:p>
    <w:p w14:paraId="70C6B2AB" w14:textId="77777777" w:rsidR="00F239D8" w:rsidRDefault="00F239D8" w:rsidP="00A34975">
      <w:pPr>
        <w:rPr>
          <w:rFonts w:ascii="Arial" w:hAnsi="Arial" w:cs="Arial"/>
          <w:sz w:val="24"/>
          <w:szCs w:val="24"/>
        </w:rPr>
      </w:pPr>
    </w:p>
    <w:p w14:paraId="3DA3B70A" w14:textId="77777777" w:rsidR="00F239D8" w:rsidRDefault="00F239D8" w:rsidP="00A34975">
      <w:pPr>
        <w:rPr>
          <w:rFonts w:ascii="Arial" w:hAnsi="Arial" w:cs="Arial"/>
          <w:sz w:val="24"/>
          <w:szCs w:val="24"/>
        </w:rPr>
      </w:pPr>
    </w:p>
    <w:p w14:paraId="5D95931A" w14:textId="77777777" w:rsidR="00F239D8" w:rsidRDefault="00F239D8" w:rsidP="00A34975">
      <w:pPr>
        <w:rPr>
          <w:rFonts w:ascii="Arial" w:hAnsi="Arial" w:cs="Arial"/>
          <w:sz w:val="24"/>
          <w:szCs w:val="24"/>
        </w:rPr>
      </w:pPr>
    </w:p>
    <w:p w14:paraId="02CEE110" w14:textId="77777777" w:rsidR="00F239D8" w:rsidRDefault="00F239D8" w:rsidP="00A34975">
      <w:pPr>
        <w:rPr>
          <w:rFonts w:ascii="Arial" w:hAnsi="Arial" w:cs="Arial"/>
          <w:sz w:val="24"/>
          <w:szCs w:val="24"/>
        </w:rPr>
      </w:pPr>
    </w:p>
    <w:p w14:paraId="7F3FAAC0" w14:textId="77777777" w:rsidR="00F239D8" w:rsidRDefault="00F239D8" w:rsidP="00A34975">
      <w:pPr>
        <w:rPr>
          <w:rFonts w:ascii="Arial" w:hAnsi="Arial" w:cs="Arial"/>
          <w:sz w:val="24"/>
          <w:szCs w:val="24"/>
        </w:rPr>
      </w:pPr>
    </w:p>
    <w:p w14:paraId="692F0F03" w14:textId="77777777" w:rsidR="00F239D8" w:rsidRDefault="00F239D8" w:rsidP="00A34975">
      <w:pPr>
        <w:rPr>
          <w:rFonts w:ascii="Arial" w:hAnsi="Arial" w:cs="Arial"/>
          <w:sz w:val="24"/>
          <w:szCs w:val="24"/>
        </w:rPr>
      </w:pPr>
    </w:p>
    <w:p w14:paraId="6DE57889" w14:textId="77777777" w:rsidR="00F239D8" w:rsidRDefault="00F239D8" w:rsidP="00A34975">
      <w:pPr>
        <w:rPr>
          <w:rFonts w:ascii="Arial" w:hAnsi="Arial" w:cs="Arial"/>
          <w:sz w:val="24"/>
          <w:szCs w:val="24"/>
        </w:rPr>
      </w:pPr>
    </w:p>
    <w:p w14:paraId="1E346252" w14:textId="11D00DA7" w:rsidR="00A34975" w:rsidRDefault="00062ABF" w:rsidP="00A34975">
      <w:pPr>
        <w:rPr>
          <w:rFonts w:ascii="Arial" w:hAnsi="Arial" w:cs="Arial"/>
          <w:sz w:val="24"/>
          <w:szCs w:val="24"/>
        </w:rPr>
      </w:pPr>
      <w:r>
        <w:rPr>
          <w:rFonts w:ascii="Arial" w:hAnsi="Arial" w:cs="Arial"/>
          <w:sz w:val="24"/>
          <w:szCs w:val="24"/>
        </w:rPr>
        <w:lastRenderedPageBreak/>
        <w:t xml:space="preserve">Part 1 s3-32 of the CRA 2015 covers goods, s33-47 covers digital contents and s48-57 covers </w:t>
      </w:r>
      <w:r w:rsidR="003D2B17">
        <w:rPr>
          <w:rFonts w:ascii="Arial" w:hAnsi="Arial" w:cs="Arial"/>
          <w:sz w:val="24"/>
          <w:szCs w:val="24"/>
        </w:rPr>
        <w:t>services</w:t>
      </w:r>
      <w:r w:rsidR="002A342D">
        <w:rPr>
          <w:rFonts w:ascii="Arial" w:hAnsi="Arial" w:cs="Arial"/>
          <w:sz w:val="24"/>
          <w:szCs w:val="24"/>
        </w:rPr>
        <w:t xml:space="preserve"> </w:t>
      </w:r>
      <w:r w:rsidR="003D2B17" w:rsidRPr="003D2B17">
        <w:rPr>
          <w:rFonts w:ascii="Arial" w:hAnsi="Arial" w:cs="Arial"/>
          <w:sz w:val="24"/>
          <w:szCs w:val="24"/>
        </w:rPr>
        <w:t>(Legislation.gov.uk, 2015)</w:t>
      </w:r>
      <w:r w:rsidR="003D2B17">
        <w:rPr>
          <w:rFonts w:ascii="Arial" w:hAnsi="Arial" w:cs="Arial"/>
          <w:sz w:val="24"/>
          <w:szCs w:val="24"/>
        </w:rPr>
        <w:t>.</w:t>
      </w:r>
      <w:r w:rsidR="00421304">
        <w:rPr>
          <w:rFonts w:ascii="Arial" w:hAnsi="Arial" w:cs="Arial"/>
          <w:sz w:val="24"/>
          <w:szCs w:val="24"/>
        </w:rPr>
        <w:t xml:space="preserve"> </w:t>
      </w:r>
      <w:r w:rsidR="000C7DA1" w:rsidRPr="000C7DA1">
        <w:rPr>
          <w:rFonts w:ascii="Arial" w:hAnsi="Arial" w:cs="Arial"/>
          <w:sz w:val="24"/>
          <w:szCs w:val="24"/>
        </w:rPr>
        <w:t xml:space="preserve">The goods contracts are governed by section 332 of the CRA 2015. The new consumer standards are remarkably similar to the former consumer regime when it comes to the selling of products. Recognized implied phrases, such as </w:t>
      </w:r>
      <w:r w:rsidR="000C3BA7">
        <w:rPr>
          <w:rFonts w:ascii="Arial" w:hAnsi="Arial" w:cs="Arial"/>
          <w:sz w:val="24"/>
          <w:szCs w:val="24"/>
        </w:rPr>
        <w:t xml:space="preserve">s10 </w:t>
      </w:r>
      <w:r w:rsidR="000C7DA1" w:rsidRPr="000C7DA1">
        <w:rPr>
          <w:rFonts w:ascii="Arial" w:hAnsi="Arial" w:cs="Arial"/>
          <w:sz w:val="24"/>
          <w:szCs w:val="24"/>
        </w:rPr>
        <w:t>"fitness for purpose,</w:t>
      </w:r>
      <w:r w:rsidR="00424EFC" w:rsidRPr="000C7DA1">
        <w:rPr>
          <w:rFonts w:ascii="Arial" w:hAnsi="Arial" w:cs="Arial"/>
          <w:sz w:val="24"/>
          <w:szCs w:val="24"/>
        </w:rPr>
        <w:t>” s</w:t>
      </w:r>
      <w:r w:rsidR="00D46BCD">
        <w:rPr>
          <w:rFonts w:ascii="Arial" w:hAnsi="Arial" w:cs="Arial"/>
          <w:sz w:val="24"/>
          <w:szCs w:val="24"/>
        </w:rPr>
        <w:t xml:space="preserve">9 </w:t>
      </w:r>
      <w:r w:rsidR="000C7DA1" w:rsidRPr="000C7DA1">
        <w:rPr>
          <w:rFonts w:ascii="Arial" w:hAnsi="Arial" w:cs="Arial"/>
          <w:sz w:val="24"/>
          <w:szCs w:val="24"/>
        </w:rPr>
        <w:t xml:space="preserve">"acceptable quality," and </w:t>
      </w:r>
      <w:r w:rsidR="00D46BCD">
        <w:rPr>
          <w:rFonts w:ascii="Arial" w:hAnsi="Arial" w:cs="Arial"/>
          <w:sz w:val="24"/>
          <w:szCs w:val="24"/>
        </w:rPr>
        <w:t xml:space="preserve">s11 </w:t>
      </w:r>
      <w:r w:rsidR="000C7DA1" w:rsidRPr="000C7DA1">
        <w:rPr>
          <w:rFonts w:ascii="Arial" w:hAnsi="Arial" w:cs="Arial"/>
          <w:sz w:val="24"/>
          <w:szCs w:val="24"/>
        </w:rPr>
        <w:t>"goods that conform to description,</w:t>
      </w:r>
      <w:r w:rsidR="00424EFC" w:rsidRPr="000C7DA1">
        <w:rPr>
          <w:rFonts w:ascii="Arial" w:hAnsi="Arial" w:cs="Arial"/>
          <w:sz w:val="24"/>
          <w:szCs w:val="24"/>
        </w:rPr>
        <w:t>” of</w:t>
      </w:r>
      <w:r w:rsidR="00D46BCD">
        <w:rPr>
          <w:rFonts w:ascii="Arial" w:hAnsi="Arial" w:cs="Arial"/>
          <w:sz w:val="24"/>
          <w:szCs w:val="24"/>
        </w:rPr>
        <w:t xml:space="preserve"> the CRA 2015 </w:t>
      </w:r>
      <w:r w:rsidR="000C7DA1" w:rsidRPr="000C7DA1">
        <w:rPr>
          <w:rFonts w:ascii="Arial" w:hAnsi="Arial" w:cs="Arial"/>
          <w:sz w:val="24"/>
          <w:szCs w:val="24"/>
        </w:rPr>
        <w:t>remain unaffected. Consumers, on the other hand, have better legislative remedies. CRA s4857, 2015. Consumers also have a clear right to have damaged digital content repaired or replaced under the Act (such as online film and games, music downloads and e-books</w:t>
      </w:r>
      <w:r w:rsidR="00DD3E21">
        <w:rPr>
          <w:rFonts w:ascii="Arial" w:hAnsi="Arial" w:cs="Arial"/>
          <w:sz w:val="24"/>
          <w:szCs w:val="24"/>
        </w:rPr>
        <w:t>)</w:t>
      </w:r>
      <w:r w:rsidR="00DD3E21" w:rsidRPr="00DD3E21">
        <w:t xml:space="preserve"> </w:t>
      </w:r>
      <w:r w:rsidR="00DD3E21" w:rsidRPr="00DD3E21">
        <w:rPr>
          <w:rFonts w:ascii="Arial" w:hAnsi="Arial" w:cs="Arial"/>
          <w:sz w:val="24"/>
          <w:szCs w:val="24"/>
        </w:rPr>
        <w:t>(Bradgate, 2010)</w:t>
      </w:r>
      <w:r w:rsidR="00DD3E21">
        <w:rPr>
          <w:rFonts w:ascii="Arial" w:hAnsi="Arial" w:cs="Arial"/>
          <w:sz w:val="24"/>
          <w:szCs w:val="24"/>
        </w:rPr>
        <w:t xml:space="preserve">. </w:t>
      </w:r>
      <w:r w:rsidR="00B11DC9" w:rsidRPr="00B11DC9">
        <w:rPr>
          <w:rFonts w:ascii="Arial" w:hAnsi="Arial" w:cs="Arial"/>
          <w:sz w:val="24"/>
          <w:szCs w:val="24"/>
        </w:rPr>
        <w:t xml:space="preserve">The law had not got to grips with technical advancements, lacked accuracy, and was written in legal </w:t>
      </w:r>
      <w:r w:rsidR="00424EFC" w:rsidRPr="00B11DC9">
        <w:rPr>
          <w:rFonts w:ascii="Arial" w:hAnsi="Arial" w:cs="Arial"/>
          <w:sz w:val="24"/>
          <w:szCs w:val="24"/>
        </w:rPr>
        <w:t>jargon.</w:t>
      </w:r>
      <w:r w:rsidR="00424EFC" w:rsidRPr="00507C60">
        <w:rPr>
          <w:rFonts w:ascii="Arial" w:hAnsi="Arial" w:cs="Arial"/>
          <w:sz w:val="24"/>
          <w:szCs w:val="24"/>
        </w:rPr>
        <w:t xml:space="preserve"> The</w:t>
      </w:r>
      <w:r w:rsidR="00507C60" w:rsidRPr="00507C60">
        <w:rPr>
          <w:rFonts w:ascii="Arial" w:hAnsi="Arial" w:cs="Arial"/>
          <w:sz w:val="24"/>
          <w:szCs w:val="24"/>
        </w:rPr>
        <w:t xml:space="preserve"> Consumer Rights Act 2015 will largely replace the Sale of Goods Act 1979 for business-to-consumer contracts</w:t>
      </w:r>
      <w:r w:rsidR="002A2949">
        <w:rPr>
          <w:rFonts w:ascii="Arial" w:hAnsi="Arial" w:cs="Arial"/>
          <w:sz w:val="24"/>
          <w:szCs w:val="24"/>
        </w:rPr>
        <w:t xml:space="preserve"> </w:t>
      </w:r>
      <w:r w:rsidR="00217505" w:rsidRPr="00410713">
        <w:rPr>
          <w:rFonts w:ascii="Arial" w:hAnsi="Arial" w:cs="Arial"/>
          <w:sz w:val="24"/>
          <w:szCs w:val="24"/>
        </w:rPr>
        <w:t>(</w:t>
      </w:r>
      <w:proofErr w:type="spellStart"/>
      <w:r w:rsidR="00217505" w:rsidRPr="00410713">
        <w:rPr>
          <w:rFonts w:ascii="Arial" w:hAnsi="Arial" w:cs="Arial"/>
          <w:sz w:val="24"/>
          <w:szCs w:val="24"/>
        </w:rPr>
        <w:t>Gillker</w:t>
      </w:r>
      <w:proofErr w:type="spellEnd"/>
      <w:r w:rsidR="00217505" w:rsidRPr="00410713">
        <w:rPr>
          <w:rFonts w:ascii="Arial" w:hAnsi="Arial" w:cs="Arial"/>
          <w:sz w:val="24"/>
          <w:szCs w:val="24"/>
        </w:rPr>
        <w:t>, 2017)</w:t>
      </w:r>
      <w:r w:rsidR="00217505">
        <w:rPr>
          <w:rFonts w:ascii="Arial" w:hAnsi="Arial" w:cs="Arial"/>
          <w:sz w:val="24"/>
          <w:szCs w:val="24"/>
        </w:rPr>
        <w:t xml:space="preserve">. </w:t>
      </w:r>
    </w:p>
    <w:p w14:paraId="5F73133A" w14:textId="517B474F" w:rsidR="00FE4CA7" w:rsidRPr="004B1C18" w:rsidRDefault="0022356B" w:rsidP="00FE4CA7">
      <w:r w:rsidRPr="0022356B">
        <w:rPr>
          <w:rFonts w:ascii="Arial" w:hAnsi="Arial" w:cs="Arial"/>
          <w:sz w:val="24"/>
          <w:szCs w:val="24"/>
        </w:rPr>
        <w:t>P</w:t>
      </w:r>
      <w:r w:rsidR="00356F1F">
        <w:rPr>
          <w:rFonts w:ascii="Arial" w:hAnsi="Arial" w:cs="Arial"/>
          <w:sz w:val="24"/>
          <w:szCs w:val="24"/>
        </w:rPr>
        <w:t>ar</w:t>
      </w:r>
      <w:r w:rsidRPr="0022356B">
        <w:rPr>
          <w:rFonts w:ascii="Arial" w:hAnsi="Arial" w:cs="Arial"/>
          <w:sz w:val="24"/>
          <w:szCs w:val="24"/>
        </w:rPr>
        <w:t xml:space="preserve">t 1 </w:t>
      </w:r>
      <w:r w:rsidR="00356F1F">
        <w:rPr>
          <w:rFonts w:ascii="Arial" w:hAnsi="Arial" w:cs="Arial"/>
          <w:sz w:val="24"/>
          <w:szCs w:val="24"/>
        </w:rPr>
        <w:t xml:space="preserve">of the CRA 2015 </w:t>
      </w:r>
      <w:r w:rsidRPr="0022356B">
        <w:rPr>
          <w:rFonts w:ascii="Arial" w:hAnsi="Arial" w:cs="Arial"/>
          <w:sz w:val="24"/>
          <w:szCs w:val="24"/>
        </w:rPr>
        <w:t>establishes a new statutory right that states that if a trader gives information about a service and the consumer considers it, the provider must follow that information. There are also new legislative remedies, making it clear that when a trader provides a service to them, customers can always request these rights and remedies. Part 1 also adds a new category of digital content that has its own set of quality rights and remedies if they aren't met</w:t>
      </w:r>
      <w:bookmarkStart w:id="1" w:name="_Hlk101440510"/>
      <w:r>
        <w:rPr>
          <w:rFonts w:ascii="Arial" w:hAnsi="Arial" w:cs="Arial"/>
          <w:sz w:val="24"/>
          <w:szCs w:val="24"/>
        </w:rPr>
        <w:t xml:space="preserve"> </w:t>
      </w:r>
      <w:r w:rsidR="000A6840" w:rsidRPr="000A6840">
        <w:rPr>
          <w:rFonts w:ascii="Arial" w:hAnsi="Arial" w:cs="Arial"/>
          <w:sz w:val="24"/>
          <w:szCs w:val="24"/>
        </w:rPr>
        <w:t>(</w:t>
      </w:r>
      <w:proofErr w:type="spellStart"/>
      <w:r w:rsidR="000A6840" w:rsidRPr="000A6840">
        <w:rPr>
          <w:rFonts w:ascii="Arial" w:hAnsi="Arial" w:cs="Arial"/>
          <w:sz w:val="24"/>
          <w:szCs w:val="24"/>
        </w:rPr>
        <w:t>Gillker</w:t>
      </w:r>
      <w:proofErr w:type="spellEnd"/>
      <w:r w:rsidR="000A6840" w:rsidRPr="000A6840">
        <w:rPr>
          <w:rFonts w:ascii="Arial" w:hAnsi="Arial" w:cs="Arial"/>
          <w:sz w:val="24"/>
          <w:szCs w:val="24"/>
        </w:rPr>
        <w:t>, 2017)</w:t>
      </w:r>
      <w:r w:rsidR="000A6840">
        <w:rPr>
          <w:rFonts w:ascii="Arial" w:hAnsi="Arial" w:cs="Arial"/>
          <w:sz w:val="24"/>
          <w:szCs w:val="24"/>
        </w:rPr>
        <w:t>.</w:t>
      </w:r>
      <w:r w:rsidR="00217505">
        <w:rPr>
          <w:rFonts w:ascii="Arial" w:hAnsi="Arial" w:cs="Arial"/>
          <w:sz w:val="24"/>
          <w:szCs w:val="24"/>
        </w:rPr>
        <w:t xml:space="preserve"> </w:t>
      </w:r>
      <w:r w:rsidRPr="0022356B">
        <w:rPr>
          <w:rFonts w:ascii="Arial" w:hAnsi="Arial" w:cs="Arial"/>
          <w:sz w:val="24"/>
          <w:szCs w:val="24"/>
        </w:rPr>
        <w:t>In Chapter 3 of the SRA 2015, there is a new section on digital content, as well as the right to a refund. If a consumer discovers a flaw with a product during the first 6 months of purchase, the retailer is believed to have known about it at the time of purchase, unless the store can prove otherwise. If the item is intended to last longer than 30 days, the 30-day period will apply</w:t>
      </w:r>
      <w:r w:rsidR="002A2949">
        <w:rPr>
          <w:rFonts w:ascii="Arial" w:hAnsi="Arial" w:cs="Arial"/>
          <w:sz w:val="24"/>
          <w:szCs w:val="24"/>
        </w:rPr>
        <w:t xml:space="preserve"> </w:t>
      </w:r>
      <w:r w:rsidR="000A6840" w:rsidRPr="00EE5342">
        <w:rPr>
          <w:rFonts w:ascii="Arial" w:hAnsi="Arial" w:cs="Arial"/>
          <w:sz w:val="24"/>
          <w:szCs w:val="24"/>
        </w:rPr>
        <w:t>(GOV.UK, 2015)</w:t>
      </w:r>
      <w:r w:rsidR="000A6840">
        <w:rPr>
          <w:rFonts w:ascii="Arial" w:hAnsi="Arial" w:cs="Arial"/>
          <w:sz w:val="24"/>
          <w:szCs w:val="24"/>
        </w:rPr>
        <w:t>.</w:t>
      </w:r>
      <w:r w:rsidR="000A6840" w:rsidRPr="000A6840">
        <w:t xml:space="preserve"> </w:t>
      </w:r>
      <w:r w:rsidR="00FE4CA7" w:rsidRPr="000811A0">
        <w:rPr>
          <w:rFonts w:ascii="Arial" w:hAnsi="Arial" w:cs="Arial"/>
          <w:color w:val="32214C"/>
          <w:spacing w:val="11"/>
          <w:sz w:val="24"/>
          <w:szCs w:val="24"/>
          <w:shd w:val="clear" w:color="auto" w:fill="FFFFFF"/>
        </w:rPr>
        <w:t>The consumer has a 30-day period during which he or she has the right to reject the items. If the customer requests a repair or replacement during this time, the customer will have the remainder of the 30-day period or seven days to do so (whichever is longer)</w:t>
      </w:r>
      <w:r w:rsidR="00FE4CA7" w:rsidRPr="00FC0C99">
        <w:rPr>
          <w:rFonts w:ascii="Arial" w:hAnsi="Arial" w:cs="Arial"/>
          <w:color w:val="32214C"/>
          <w:spacing w:val="11"/>
          <w:sz w:val="24"/>
          <w:szCs w:val="24"/>
          <w:shd w:val="clear" w:color="auto" w:fill="FFFFFF"/>
        </w:rPr>
        <w:t> </w:t>
      </w:r>
      <w:r w:rsidR="00FE4CA7" w:rsidRPr="000811A0">
        <w:rPr>
          <w:rFonts w:ascii="Arial" w:hAnsi="Arial" w:cs="Arial"/>
          <w:color w:val="32214C"/>
          <w:spacing w:val="11"/>
          <w:sz w:val="24"/>
          <w:szCs w:val="24"/>
          <w:shd w:val="clear" w:color="auto" w:fill="FFFFFF"/>
        </w:rPr>
        <w:t>(French, 2021)</w:t>
      </w:r>
      <w:r w:rsidR="00FE4CA7">
        <w:rPr>
          <w:rFonts w:ascii="Arial" w:hAnsi="Arial" w:cs="Arial"/>
          <w:color w:val="32214C"/>
          <w:spacing w:val="11"/>
          <w:sz w:val="24"/>
          <w:szCs w:val="24"/>
          <w:shd w:val="clear" w:color="auto" w:fill="FFFFFF"/>
        </w:rPr>
        <w:t xml:space="preserve">.  </w:t>
      </w:r>
    </w:p>
    <w:bookmarkEnd w:id="1"/>
    <w:p w14:paraId="17CBB410" w14:textId="75A86E28" w:rsidR="004711E7" w:rsidRPr="00E43EF3" w:rsidRDefault="00A36CD3" w:rsidP="00023AB5">
      <w:pPr>
        <w:rPr>
          <w:rFonts w:ascii="Arial" w:hAnsi="Arial" w:cs="Arial"/>
          <w:sz w:val="24"/>
          <w:szCs w:val="24"/>
        </w:rPr>
      </w:pPr>
      <w:r>
        <w:rPr>
          <w:rFonts w:ascii="Arial" w:hAnsi="Arial" w:cs="Arial"/>
          <w:sz w:val="24"/>
          <w:szCs w:val="24"/>
        </w:rPr>
        <w:t>Part 2 of the CRA 2015</w:t>
      </w:r>
      <w:r w:rsidR="001E21D4">
        <w:rPr>
          <w:rFonts w:ascii="Arial" w:hAnsi="Arial" w:cs="Arial"/>
          <w:sz w:val="24"/>
          <w:szCs w:val="24"/>
        </w:rPr>
        <w:t xml:space="preserve"> is </w:t>
      </w:r>
      <w:r w:rsidR="00B61306">
        <w:rPr>
          <w:rFonts w:ascii="Arial" w:hAnsi="Arial" w:cs="Arial"/>
          <w:sz w:val="24"/>
          <w:szCs w:val="24"/>
        </w:rPr>
        <w:t xml:space="preserve">concerned with unfair terms </w:t>
      </w:r>
      <w:r w:rsidR="00677B65" w:rsidRPr="00677B65">
        <w:rPr>
          <w:rFonts w:ascii="Arial" w:hAnsi="Arial" w:cs="Arial"/>
          <w:sz w:val="24"/>
          <w:szCs w:val="24"/>
        </w:rPr>
        <w:t>It is between the trader and the consumer for unfair dealing s61</w:t>
      </w:r>
      <w:r>
        <w:rPr>
          <w:rFonts w:ascii="Arial" w:hAnsi="Arial" w:cs="Arial"/>
          <w:sz w:val="24"/>
          <w:szCs w:val="24"/>
        </w:rPr>
        <w:t>-</w:t>
      </w:r>
      <w:r w:rsidR="00677B65" w:rsidRPr="00677B65">
        <w:rPr>
          <w:rFonts w:ascii="Arial" w:hAnsi="Arial" w:cs="Arial"/>
          <w:sz w:val="24"/>
          <w:szCs w:val="24"/>
        </w:rPr>
        <w:t>76 SRA 2015, and it deals with unfair contract conditions in consumer contracts and notices. Consumers can challenge most non-negotiated contract conditions under the Unfair Terms in Consumer Contract Regulations 1999 ("UTCCRs") on the basis that they are unfair.</w:t>
      </w:r>
      <w:r>
        <w:rPr>
          <w:rFonts w:ascii="Arial" w:hAnsi="Arial" w:cs="Arial"/>
          <w:sz w:val="24"/>
          <w:szCs w:val="24"/>
        </w:rPr>
        <w:t xml:space="preserve"> </w:t>
      </w:r>
      <w:r w:rsidR="003008D4" w:rsidRPr="003008D4">
        <w:rPr>
          <w:rFonts w:ascii="Arial" w:hAnsi="Arial" w:cs="Arial"/>
          <w:sz w:val="24"/>
          <w:szCs w:val="24"/>
        </w:rPr>
        <w:t>(Department for Business, Innovation and Skills, 2015)</w:t>
      </w:r>
      <w:r w:rsidR="003008D4">
        <w:rPr>
          <w:rFonts w:ascii="Arial" w:hAnsi="Arial" w:cs="Arial"/>
          <w:sz w:val="24"/>
          <w:szCs w:val="24"/>
        </w:rPr>
        <w:t>.</w:t>
      </w:r>
      <w:r w:rsidR="00511EBA">
        <w:rPr>
          <w:rFonts w:ascii="Arial" w:hAnsi="Arial" w:cs="Arial"/>
          <w:sz w:val="24"/>
          <w:szCs w:val="24"/>
        </w:rPr>
        <w:t xml:space="preserve"> </w:t>
      </w:r>
      <w:r w:rsidR="008543C0" w:rsidRPr="008543C0">
        <w:rPr>
          <w:rFonts w:ascii="Arial" w:hAnsi="Arial" w:cs="Arial"/>
          <w:sz w:val="24"/>
          <w:szCs w:val="24"/>
        </w:rPr>
        <w:t xml:space="preserve"> </w:t>
      </w:r>
      <w:r w:rsidR="004711E7" w:rsidRPr="00511EBA">
        <w:rPr>
          <w:rFonts w:ascii="Arial" w:hAnsi="Arial" w:cs="Arial"/>
          <w:sz w:val="24"/>
          <w:szCs w:val="24"/>
        </w:rPr>
        <w:t xml:space="preserve">The Consumer Rights Act 2015 will replace the Unfair Terms in Consumer Contracts Regulations of 1999. </w:t>
      </w:r>
      <w:r w:rsidR="004711E7" w:rsidRPr="00D153CF">
        <w:rPr>
          <w:rFonts w:ascii="Arial" w:hAnsi="Arial" w:cs="Arial"/>
          <w:sz w:val="24"/>
          <w:szCs w:val="24"/>
        </w:rPr>
        <w:t>Your Consumer Protections Act rights make it easier to contest hidden fees and expenses. A contract term cannot be judged for fairness unless it is both noticeable and clear</w:t>
      </w:r>
      <w:r w:rsidR="004711E7" w:rsidRPr="00DA2205">
        <w:t xml:space="preserve"> </w:t>
      </w:r>
      <w:r w:rsidR="004711E7" w:rsidRPr="00DA2205">
        <w:rPr>
          <w:rFonts w:ascii="Arial" w:hAnsi="Arial" w:cs="Arial"/>
          <w:sz w:val="24"/>
          <w:szCs w:val="24"/>
        </w:rPr>
        <w:t>(Willett, 2010)</w:t>
      </w:r>
      <w:r w:rsidR="004711E7">
        <w:rPr>
          <w:rFonts w:ascii="Arial" w:hAnsi="Arial" w:cs="Arial"/>
          <w:sz w:val="24"/>
          <w:szCs w:val="24"/>
        </w:rPr>
        <w:t xml:space="preserve">. </w:t>
      </w:r>
      <w:r w:rsidR="00511EBA" w:rsidRPr="00511EBA">
        <w:rPr>
          <w:rFonts w:ascii="Arial" w:hAnsi="Arial" w:cs="Arial"/>
          <w:sz w:val="24"/>
          <w:szCs w:val="24"/>
        </w:rPr>
        <w:t xml:space="preserve">Prior to the Act's implementation, the Unjust Contract Conditions Act 1977 (UCTA 1977) and the Unfair Terms in Consumer Contracts Regulations 1999 were two independent pieces of legislation that dealt with unfair terms (UTCCRs).  Some contractual conditions were immediately non-binding under the UCTA 1977, while others were subject to a reasonableness test. Consumers might contest most non-negotiated contract provisions under the UTCCRs if they were unjust. The problem was that the UCTA 1977 and the UTCCRs contained inconsistencies and </w:t>
      </w:r>
      <w:r w:rsidR="00511EBA" w:rsidRPr="00511EBA">
        <w:rPr>
          <w:rFonts w:ascii="Arial" w:hAnsi="Arial" w:cs="Arial"/>
          <w:sz w:val="24"/>
          <w:szCs w:val="24"/>
        </w:rPr>
        <w:lastRenderedPageBreak/>
        <w:t>overlapped requirements, leaving consumers and businesses in the dark</w:t>
      </w:r>
      <w:r w:rsidR="008543C0">
        <w:rPr>
          <w:rFonts w:ascii="Arial" w:hAnsi="Arial" w:cs="Arial"/>
          <w:sz w:val="24"/>
          <w:szCs w:val="24"/>
        </w:rPr>
        <w:t xml:space="preserve"> </w:t>
      </w:r>
      <w:r w:rsidR="00E7224F" w:rsidRPr="00E7224F">
        <w:rPr>
          <w:rFonts w:ascii="Arial" w:hAnsi="Arial" w:cs="Arial"/>
          <w:sz w:val="24"/>
          <w:szCs w:val="24"/>
        </w:rPr>
        <w:t>(</w:t>
      </w:r>
      <w:proofErr w:type="spellStart"/>
      <w:r w:rsidR="00E7224F" w:rsidRPr="00E7224F">
        <w:rPr>
          <w:rFonts w:ascii="Arial" w:hAnsi="Arial" w:cs="Arial"/>
          <w:sz w:val="24"/>
          <w:szCs w:val="24"/>
        </w:rPr>
        <w:t>Gillker</w:t>
      </w:r>
      <w:proofErr w:type="spellEnd"/>
      <w:r w:rsidR="00E7224F" w:rsidRPr="00E7224F">
        <w:rPr>
          <w:rFonts w:ascii="Arial" w:hAnsi="Arial" w:cs="Arial"/>
          <w:sz w:val="24"/>
          <w:szCs w:val="24"/>
        </w:rPr>
        <w:t>, 2017)</w:t>
      </w:r>
      <w:r w:rsidR="00E7224F">
        <w:rPr>
          <w:rFonts w:ascii="Arial" w:hAnsi="Arial" w:cs="Arial"/>
          <w:sz w:val="24"/>
          <w:szCs w:val="24"/>
        </w:rPr>
        <w:t>.</w:t>
      </w:r>
      <w:r w:rsidR="00511EBA" w:rsidRPr="00511EBA">
        <w:t xml:space="preserve"> </w:t>
      </w:r>
    </w:p>
    <w:p w14:paraId="4698F9C2" w14:textId="4499FDC6" w:rsidR="00E43EF3" w:rsidRDefault="00511EBA" w:rsidP="00AF5727">
      <w:pPr>
        <w:rPr>
          <w:rFonts w:ascii="Arial" w:hAnsi="Arial" w:cs="Arial"/>
          <w:sz w:val="24"/>
          <w:szCs w:val="24"/>
        </w:rPr>
      </w:pPr>
      <w:r w:rsidRPr="00511EBA">
        <w:rPr>
          <w:rFonts w:ascii="Arial" w:hAnsi="Arial" w:cs="Arial"/>
          <w:sz w:val="24"/>
          <w:szCs w:val="24"/>
        </w:rPr>
        <w:t>Exemption provisions in business-to-consumer contracts are governed by CRA 2015. Furthermore, as the Act's name implies, most of the terms indicated by CRA 2015 are functionally 'rights,' because liability for violation of contract cannot be eliminated or reduced by contract provisions. UCTA 1977, on the other hand, was only concerned with exclusion clauses</w:t>
      </w:r>
      <w:r w:rsidR="002A2949">
        <w:rPr>
          <w:rFonts w:ascii="Arial" w:hAnsi="Arial" w:cs="Arial"/>
          <w:sz w:val="24"/>
          <w:szCs w:val="24"/>
        </w:rPr>
        <w:t xml:space="preserve"> </w:t>
      </w:r>
      <w:r w:rsidR="00764699" w:rsidRPr="00764699">
        <w:rPr>
          <w:sz w:val="28"/>
          <w:szCs w:val="28"/>
        </w:rPr>
        <w:t>(Unfair Terms in Consumer Contracts: a new approach? Summary of the Issues Paper, 2012)</w:t>
      </w:r>
      <w:r w:rsidR="00764699">
        <w:rPr>
          <w:sz w:val="28"/>
          <w:szCs w:val="28"/>
        </w:rPr>
        <w:t>.</w:t>
      </w:r>
      <w:r>
        <w:rPr>
          <w:sz w:val="28"/>
          <w:szCs w:val="28"/>
        </w:rPr>
        <w:t xml:space="preserve"> </w:t>
      </w:r>
      <w:bookmarkStart w:id="2" w:name="_Hlk102307260"/>
    </w:p>
    <w:bookmarkEnd w:id="2"/>
    <w:p w14:paraId="01F0C07E" w14:textId="7A681536" w:rsidR="00E80612" w:rsidRDefault="00D23297" w:rsidP="00C84584">
      <w:pPr>
        <w:rPr>
          <w:rFonts w:ascii="Arial" w:hAnsi="Arial" w:cs="Arial"/>
          <w:sz w:val="24"/>
          <w:szCs w:val="24"/>
        </w:rPr>
      </w:pPr>
      <w:r w:rsidRPr="00D23297">
        <w:rPr>
          <w:rFonts w:ascii="Arial" w:hAnsi="Arial" w:cs="Arial"/>
          <w:sz w:val="24"/>
          <w:szCs w:val="24"/>
        </w:rPr>
        <w:t xml:space="preserve">The goal of Part 2 of the Act is simple: to bring together in one place the legislation controlling unfair contract terms in consumer contracts, which was previously scattered across two separate pieces of legislation, eliminating inconsistencies and overlapping prohibitions. The general norms of fairness are established in Sections 62–69. Section 64, in particular, aims to clarify when the price or subject matter of a contract cannot be evaluated for fairness, adding the additional requirement of prominence to the existing condition of transparency. Section 63 and </w:t>
      </w:r>
      <w:proofErr w:type="spellStart"/>
      <w:r w:rsidRPr="00D23297">
        <w:rPr>
          <w:rFonts w:ascii="Arial" w:hAnsi="Arial" w:cs="Arial"/>
          <w:sz w:val="24"/>
          <w:szCs w:val="24"/>
        </w:rPr>
        <w:t>Sch</w:t>
      </w:r>
      <w:proofErr w:type="spellEnd"/>
      <w:r w:rsidRPr="00D23297">
        <w:rPr>
          <w:rFonts w:ascii="Arial" w:hAnsi="Arial" w:cs="Arial"/>
          <w:sz w:val="24"/>
          <w:szCs w:val="24"/>
        </w:rPr>
        <w:t xml:space="preserve"> 2 also define the role of the suggestive list of phrases that may be considered unjust (the so-called "grey list"), as well as expand it</w:t>
      </w:r>
      <w:r w:rsidR="0009466D">
        <w:rPr>
          <w:rFonts w:ascii="Arial" w:hAnsi="Arial" w:cs="Arial"/>
          <w:sz w:val="24"/>
          <w:szCs w:val="24"/>
        </w:rPr>
        <w:t xml:space="preserve"> </w:t>
      </w:r>
      <w:r w:rsidR="0009466D" w:rsidRPr="0009466D">
        <w:rPr>
          <w:rFonts w:ascii="Arial" w:hAnsi="Arial" w:cs="Arial"/>
          <w:sz w:val="24"/>
          <w:szCs w:val="24"/>
        </w:rPr>
        <w:t>(</w:t>
      </w:r>
      <w:proofErr w:type="spellStart"/>
      <w:r w:rsidR="0009466D" w:rsidRPr="0009466D">
        <w:rPr>
          <w:rFonts w:ascii="Arial" w:hAnsi="Arial" w:cs="Arial"/>
          <w:sz w:val="24"/>
          <w:szCs w:val="24"/>
        </w:rPr>
        <w:t>Gillker</w:t>
      </w:r>
      <w:proofErr w:type="spellEnd"/>
      <w:r w:rsidR="0009466D" w:rsidRPr="0009466D">
        <w:rPr>
          <w:rFonts w:ascii="Arial" w:hAnsi="Arial" w:cs="Arial"/>
          <w:sz w:val="24"/>
          <w:szCs w:val="24"/>
        </w:rPr>
        <w:t>, 2017)</w:t>
      </w:r>
      <w:r w:rsidR="0009466D">
        <w:rPr>
          <w:rFonts w:ascii="Arial" w:hAnsi="Arial" w:cs="Arial"/>
          <w:sz w:val="24"/>
          <w:szCs w:val="24"/>
        </w:rPr>
        <w:t>.</w:t>
      </w:r>
      <w:r w:rsidRPr="00D23297">
        <w:rPr>
          <w:rFonts w:ascii="Arial" w:hAnsi="Arial" w:cs="Arial"/>
          <w:sz w:val="24"/>
          <w:szCs w:val="24"/>
        </w:rPr>
        <w:t xml:space="preserve"> </w:t>
      </w:r>
      <w:r w:rsidRPr="005B6E03">
        <w:rPr>
          <w:rFonts w:ascii="Arial" w:hAnsi="Arial" w:cs="Arial"/>
          <w:sz w:val="24"/>
          <w:szCs w:val="24"/>
        </w:rPr>
        <w:t>R &amp; B Customs Brokers Co Ltd v United Dominions Trust Ltd, a 1988 case in which the Court of Appeal was willing to allow that a firm may be seen to be dealing as a consumer for the purposes of s 12 of the Unfair Contract Terms Act 1977, makes this term somewhat problematic</w:t>
      </w:r>
      <w:r>
        <w:rPr>
          <w:rFonts w:ascii="Arial" w:hAnsi="Arial" w:cs="Arial"/>
          <w:sz w:val="24"/>
          <w:szCs w:val="24"/>
        </w:rPr>
        <w:t xml:space="preserve"> </w:t>
      </w:r>
      <w:r w:rsidRPr="0027382F">
        <w:rPr>
          <w:rFonts w:ascii="Arial" w:hAnsi="Arial" w:cs="Arial"/>
          <w:sz w:val="24"/>
          <w:szCs w:val="24"/>
        </w:rPr>
        <w:t>(</w:t>
      </w:r>
      <w:proofErr w:type="spellStart"/>
      <w:r w:rsidRPr="0027382F">
        <w:rPr>
          <w:rFonts w:ascii="Arial" w:hAnsi="Arial" w:cs="Arial"/>
          <w:sz w:val="24"/>
          <w:szCs w:val="24"/>
        </w:rPr>
        <w:t>Gillker</w:t>
      </w:r>
      <w:proofErr w:type="spellEnd"/>
      <w:r w:rsidRPr="0027382F">
        <w:rPr>
          <w:rFonts w:ascii="Arial" w:hAnsi="Arial" w:cs="Arial"/>
          <w:sz w:val="24"/>
          <w:szCs w:val="24"/>
        </w:rPr>
        <w:t>, 2017)</w:t>
      </w:r>
      <w:r>
        <w:rPr>
          <w:rFonts w:ascii="Arial" w:hAnsi="Arial" w:cs="Arial"/>
          <w:sz w:val="24"/>
          <w:szCs w:val="24"/>
        </w:rPr>
        <w:t>.</w:t>
      </w:r>
      <w:r w:rsidRPr="00D23297">
        <w:t xml:space="preserve"> </w:t>
      </w:r>
      <w:r w:rsidRPr="00D23297">
        <w:rPr>
          <w:rFonts w:ascii="Arial" w:hAnsi="Arial" w:cs="Arial"/>
          <w:sz w:val="24"/>
          <w:szCs w:val="24"/>
        </w:rPr>
        <w:t xml:space="preserve">The rule in Hadley v Baxendale [1854] 9 </w:t>
      </w:r>
      <w:proofErr w:type="spellStart"/>
      <w:r w:rsidRPr="00D23297">
        <w:rPr>
          <w:rFonts w:ascii="Arial" w:hAnsi="Arial" w:cs="Arial"/>
          <w:sz w:val="24"/>
          <w:szCs w:val="24"/>
        </w:rPr>
        <w:t>Exch</w:t>
      </w:r>
      <w:proofErr w:type="spellEnd"/>
      <w:r w:rsidRPr="00D23297">
        <w:rPr>
          <w:rFonts w:ascii="Arial" w:hAnsi="Arial" w:cs="Arial"/>
          <w:sz w:val="24"/>
          <w:szCs w:val="24"/>
        </w:rPr>
        <w:t xml:space="preserve"> 341, which governs contract breach, applies to remoteness. This rule states that the damage claimed must be within the reasonable contemplation of the parties as a likely result of their breach when they made the contract, that is, the loss must "arise naturally," that is, according to the normal course of events, from such a breach of contract</w:t>
      </w:r>
      <w:r w:rsidR="002A2949">
        <w:rPr>
          <w:rFonts w:ascii="Arial" w:hAnsi="Arial" w:cs="Arial"/>
          <w:sz w:val="24"/>
          <w:szCs w:val="24"/>
        </w:rPr>
        <w:t xml:space="preserve"> </w:t>
      </w:r>
      <w:r w:rsidR="00B263F4" w:rsidRPr="00B263F4">
        <w:rPr>
          <w:rFonts w:ascii="Arial" w:hAnsi="Arial" w:cs="Arial"/>
          <w:sz w:val="24"/>
          <w:szCs w:val="24"/>
        </w:rPr>
        <w:t>(Richards, 2019)</w:t>
      </w:r>
      <w:r w:rsidR="00B263F4">
        <w:rPr>
          <w:rFonts w:ascii="Arial" w:hAnsi="Arial" w:cs="Arial"/>
          <w:sz w:val="24"/>
          <w:szCs w:val="24"/>
        </w:rPr>
        <w:t>.</w:t>
      </w:r>
    </w:p>
    <w:p w14:paraId="01125EC6" w14:textId="2548DE09" w:rsidR="00C84584" w:rsidRPr="004E16F6" w:rsidRDefault="00106CF5" w:rsidP="00C84584">
      <w:bookmarkStart w:id="3" w:name="_Hlk99891761"/>
      <w:r w:rsidRPr="00106CF5">
        <w:rPr>
          <w:rFonts w:ascii="Arial" w:hAnsi="Arial" w:cs="Arial"/>
          <w:sz w:val="24"/>
          <w:szCs w:val="24"/>
        </w:rPr>
        <w:t>Since the Consumer Sales Directive was enacted in the United Kingdom in 2002, there has been criticism of the law's remedies for customers who purchase faulty goods. The fundamental issue voiced by critics, businesses, and consumer advocacy groups is that consumer remedies law is overly complicated. It is difficult for consumers to grasp their rights, which results in unsatisfied customers and greater lawsuits</w:t>
      </w:r>
      <w:r>
        <w:t xml:space="preserve"> </w:t>
      </w:r>
      <w:r w:rsidR="00C84584" w:rsidRPr="00285B4D">
        <w:rPr>
          <w:rFonts w:ascii="Arial" w:hAnsi="Arial" w:cs="Arial"/>
          <w:sz w:val="24"/>
          <w:szCs w:val="24"/>
        </w:rPr>
        <w:t>(Davidson Review Final Report, 2006)</w:t>
      </w:r>
      <w:r w:rsidR="00D97151">
        <w:rPr>
          <w:rFonts w:ascii="Arial" w:hAnsi="Arial" w:cs="Arial"/>
          <w:sz w:val="24"/>
          <w:szCs w:val="24"/>
        </w:rPr>
        <w:t>.</w:t>
      </w:r>
      <w:r w:rsidR="00223988" w:rsidRPr="00223988">
        <w:t xml:space="preserve"> </w:t>
      </w:r>
      <w:r w:rsidRPr="00106CF5">
        <w:rPr>
          <w:rFonts w:ascii="Arial" w:hAnsi="Arial" w:cs="Arial"/>
          <w:sz w:val="24"/>
          <w:szCs w:val="24"/>
        </w:rPr>
        <w:t>The old act made it unclear how long you had until you could get your money back if an item stopped working after three weeks, but the CRA 2015 clarifies that you had 30 days. Because the government is hesitant to see these actions taken together, cases that deserve to be prosecuted may still be diverted from the criminal courts. This is unfortunate not only in terms of proper labelling, but also from a practical standpoint, since it may weaken the law's ability to incentivize compliance. The amendments made by the Consumer Rights Act of 2015 might be considered as both a step forward and a step backward in this regard</w:t>
      </w:r>
      <w:r w:rsidR="00F1556D">
        <w:rPr>
          <w:rFonts w:ascii="Arial" w:hAnsi="Arial" w:cs="Arial"/>
          <w:sz w:val="24"/>
          <w:szCs w:val="24"/>
        </w:rPr>
        <w:t xml:space="preserve"> </w:t>
      </w:r>
      <w:r w:rsidR="001537DD">
        <w:rPr>
          <w:rFonts w:ascii="Arial" w:hAnsi="Arial" w:cs="Arial"/>
          <w:sz w:val="24"/>
          <w:szCs w:val="24"/>
        </w:rPr>
        <w:t>(Cartwright, 2016).</w:t>
      </w:r>
      <w:r w:rsidR="00F1556D">
        <w:rPr>
          <w:rFonts w:ascii="Arial" w:hAnsi="Arial" w:cs="Arial"/>
          <w:sz w:val="24"/>
          <w:szCs w:val="24"/>
        </w:rPr>
        <w:t xml:space="preserve"> </w:t>
      </w:r>
    </w:p>
    <w:p w14:paraId="4843D01C" w14:textId="0602BE98" w:rsidR="00D02410" w:rsidRPr="00981153" w:rsidRDefault="00F1556D" w:rsidP="00981153">
      <w:pPr>
        <w:rPr>
          <w:sz w:val="28"/>
          <w:szCs w:val="28"/>
        </w:rPr>
      </w:pPr>
      <w:r w:rsidRPr="00F1556D">
        <w:rPr>
          <w:sz w:val="28"/>
          <w:szCs w:val="28"/>
        </w:rPr>
        <w:t xml:space="preserve">Consumers who have a better grasp of their legal rights when purchasing faulty items will be more confident in asserting their rights and will be able to do so more readily (Studios, 2015). These changes will have a significant impact on </w:t>
      </w:r>
      <w:r w:rsidRPr="00F1556D">
        <w:rPr>
          <w:sz w:val="28"/>
          <w:szCs w:val="28"/>
        </w:rPr>
        <w:lastRenderedPageBreak/>
        <w:t>the success of consumer legislation as a means of protection, increasing standards, and facilitating redress</w:t>
      </w:r>
      <w:r>
        <w:rPr>
          <w:sz w:val="28"/>
          <w:szCs w:val="28"/>
        </w:rPr>
        <w:t xml:space="preserve"> </w:t>
      </w:r>
      <w:r w:rsidR="00981153" w:rsidRPr="00981153">
        <w:rPr>
          <w:sz w:val="28"/>
          <w:szCs w:val="28"/>
        </w:rPr>
        <w:t xml:space="preserve">(Cartwright, 2016). </w:t>
      </w:r>
      <w:r w:rsidRPr="00F1556D">
        <w:rPr>
          <w:sz w:val="28"/>
          <w:szCs w:val="28"/>
        </w:rPr>
        <w:t xml:space="preserve">Consumers who buy digital content under a contract that damages their device or other digital content may have legal recourse against the trader, regardless of whether the digital content was paid for or not; the merchant must repair or reimburse the consumer. A court is likely to find a contract in place, and traders will want to make sure there is one in place to protect themselves in such </w:t>
      </w:r>
      <w:r w:rsidR="00A63ECB" w:rsidRPr="00F1556D">
        <w:rPr>
          <w:sz w:val="28"/>
          <w:szCs w:val="28"/>
        </w:rPr>
        <w:t>situations</w:t>
      </w:r>
      <w:r w:rsidR="00A63ECB">
        <w:rPr>
          <w:sz w:val="28"/>
          <w:szCs w:val="28"/>
        </w:rPr>
        <w:t xml:space="preserve"> (</w:t>
      </w:r>
      <w:r w:rsidR="00B757D3" w:rsidRPr="00B757D3">
        <w:rPr>
          <w:sz w:val="28"/>
          <w:szCs w:val="28"/>
        </w:rPr>
        <w:t>Morgan, 2015)</w:t>
      </w:r>
      <w:r w:rsidR="00B757D3">
        <w:rPr>
          <w:sz w:val="28"/>
          <w:szCs w:val="28"/>
        </w:rPr>
        <w:t xml:space="preserve">. </w:t>
      </w:r>
      <w:r w:rsidR="00044CDE" w:rsidRPr="00044CDE">
        <w:rPr>
          <w:sz w:val="28"/>
          <w:szCs w:val="28"/>
        </w:rPr>
        <w:t>There is little question that the creation of Enhanced Consumer Measures strengthens the ability of courts and enforcers to win beneficial outcomes for consumers</w:t>
      </w:r>
      <w:r w:rsidR="00383486">
        <w:rPr>
          <w:sz w:val="28"/>
          <w:szCs w:val="28"/>
        </w:rPr>
        <w:t xml:space="preserve"> </w:t>
      </w:r>
      <w:r w:rsidR="004A40A1" w:rsidRPr="004A40A1">
        <w:rPr>
          <w:sz w:val="28"/>
          <w:szCs w:val="28"/>
        </w:rPr>
        <w:t>(Cartwright, 2016)</w:t>
      </w:r>
      <w:r w:rsidR="00044CDE">
        <w:rPr>
          <w:sz w:val="28"/>
          <w:szCs w:val="28"/>
        </w:rPr>
        <w:t>.</w:t>
      </w:r>
    </w:p>
    <w:bookmarkEnd w:id="3"/>
    <w:p w14:paraId="74C4CF52" w14:textId="77777777" w:rsidR="00D9629C" w:rsidRDefault="00D9629C" w:rsidP="00FD1657">
      <w:pPr>
        <w:rPr>
          <w:rFonts w:ascii="Arial" w:hAnsi="Arial" w:cs="Arial"/>
          <w:b/>
          <w:bCs/>
          <w:sz w:val="32"/>
          <w:szCs w:val="32"/>
        </w:rPr>
      </w:pPr>
    </w:p>
    <w:p w14:paraId="1D8CB0E3" w14:textId="77777777" w:rsidR="00D9629C" w:rsidRDefault="00D9629C" w:rsidP="00FD1657">
      <w:pPr>
        <w:rPr>
          <w:rFonts w:ascii="Arial" w:hAnsi="Arial" w:cs="Arial"/>
          <w:b/>
          <w:bCs/>
          <w:sz w:val="32"/>
          <w:szCs w:val="32"/>
        </w:rPr>
      </w:pPr>
    </w:p>
    <w:p w14:paraId="0DFF6A96" w14:textId="77777777" w:rsidR="0003650A" w:rsidRDefault="0003650A" w:rsidP="00FD1657">
      <w:pPr>
        <w:rPr>
          <w:rFonts w:ascii="Arial" w:hAnsi="Arial" w:cs="Arial"/>
          <w:b/>
          <w:bCs/>
          <w:sz w:val="32"/>
          <w:szCs w:val="32"/>
        </w:rPr>
      </w:pPr>
    </w:p>
    <w:p w14:paraId="541D52A5" w14:textId="77777777" w:rsidR="0003650A" w:rsidRDefault="0003650A" w:rsidP="00FD1657">
      <w:pPr>
        <w:rPr>
          <w:rFonts w:ascii="Arial" w:hAnsi="Arial" w:cs="Arial"/>
          <w:b/>
          <w:bCs/>
          <w:sz w:val="32"/>
          <w:szCs w:val="32"/>
        </w:rPr>
      </w:pPr>
    </w:p>
    <w:p w14:paraId="6B69055C" w14:textId="77777777" w:rsidR="0003650A" w:rsidRDefault="0003650A" w:rsidP="00FD1657">
      <w:pPr>
        <w:rPr>
          <w:rFonts w:ascii="Arial" w:hAnsi="Arial" w:cs="Arial"/>
          <w:b/>
          <w:bCs/>
          <w:sz w:val="32"/>
          <w:szCs w:val="32"/>
        </w:rPr>
      </w:pPr>
    </w:p>
    <w:p w14:paraId="0355267C" w14:textId="77777777" w:rsidR="0003650A" w:rsidRDefault="0003650A" w:rsidP="00FD1657">
      <w:pPr>
        <w:rPr>
          <w:rFonts w:ascii="Arial" w:hAnsi="Arial" w:cs="Arial"/>
          <w:b/>
          <w:bCs/>
          <w:sz w:val="32"/>
          <w:szCs w:val="32"/>
        </w:rPr>
      </w:pPr>
    </w:p>
    <w:p w14:paraId="6F41C78A" w14:textId="77777777" w:rsidR="003F5AF4" w:rsidRDefault="003F5AF4" w:rsidP="00FD1657">
      <w:pPr>
        <w:rPr>
          <w:rFonts w:ascii="Arial" w:hAnsi="Arial" w:cs="Arial"/>
          <w:b/>
          <w:bCs/>
          <w:sz w:val="32"/>
          <w:szCs w:val="32"/>
        </w:rPr>
      </w:pPr>
    </w:p>
    <w:p w14:paraId="59F3A767" w14:textId="77777777" w:rsidR="003F5AF4" w:rsidRDefault="003F5AF4" w:rsidP="00FD1657">
      <w:pPr>
        <w:rPr>
          <w:rFonts w:ascii="Arial" w:hAnsi="Arial" w:cs="Arial"/>
          <w:b/>
          <w:bCs/>
          <w:sz w:val="32"/>
          <w:szCs w:val="32"/>
        </w:rPr>
      </w:pPr>
    </w:p>
    <w:p w14:paraId="42EBF83A" w14:textId="77777777" w:rsidR="003F5AF4" w:rsidRDefault="003F5AF4" w:rsidP="00FD1657">
      <w:pPr>
        <w:rPr>
          <w:rFonts w:ascii="Arial" w:hAnsi="Arial" w:cs="Arial"/>
          <w:b/>
          <w:bCs/>
          <w:sz w:val="32"/>
          <w:szCs w:val="32"/>
        </w:rPr>
      </w:pPr>
    </w:p>
    <w:p w14:paraId="6CC2E2FD" w14:textId="77777777" w:rsidR="003F5AF4" w:rsidRDefault="003F5AF4" w:rsidP="00FD1657">
      <w:pPr>
        <w:rPr>
          <w:rFonts w:ascii="Arial" w:hAnsi="Arial" w:cs="Arial"/>
          <w:b/>
          <w:bCs/>
          <w:sz w:val="32"/>
          <w:szCs w:val="32"/>
        </w:rPr>
      </w:pPr>
    </w:p>
    <w:p w14:paraId="6C60BE5A" w14:textId="77777777" w:rsidR="003F5AF4" w:rsidRDefault="003F5AF4" w:rsidP="00FD1657">
      <w:pPr>
        <w:rPr>
          <w:rFonts w:ascii="Arial" w:hAnsi="Arial" w:cs="Arial"/>
          <w:b/>
          <w:bCs/>
          <w:sz w:val="32"/>
          <w:szCs w:val="32"/>
        </w:rPr>
      </w:pPr>
    </w:p>
    <w:p w14:paraId="275AAFEC" w14:textId="77777777" w:rsidR="003F5AF4" w:rsidRDefault="003F5AF4" w:rsidP="00FD1657">
      <w:pPr>
        <w:rPr>
          <w:rFonts w:ascii="Arial" w:hAnsi="Arial" w:cs="Arial"/>
          <w:b/>
          <w:bCs/>
          <w:sz w:val="32"/>
          <w:szCs w:val="32"/>
        </w:rPr>
      </w:pPr>
    </w:p>
    <w:p w14:paraId="0CE6EA35" w14:textId="77777777" w:rsidR="003F5AF4" w:rsidRDefault="003F5AF4" w:rsidP="00FD1657">
      <w:pPr>
        <w:rPr>
          <w:rFonts w:ascii="Arial" w:hAnsi="Arial" w:cs="Arial"/>
          <w:b/>
          <w:bCs/>
          <w:sz w:val="32"/>
          <w:szCs w:val="32"/>
        </w:rPr>
      </w:pPr>
    </w:p>
    <w:p w14:paraId="5BDA5BA9" w14:textId="77777777" w:rsidR="004B7F6E" w:rsidRDefault="004B7F6E" w:rsidP="00FD1657">
      <w:pPr>
        <w:rPr>
          <w:rFonts w:ascii="Arial" w:hAnsi="Arial" w:cs="Arial"/>
          <w:b/>
          <w:bCs/>
          <w:sz w:val="32"/>
          <w:szCs w:val="32"/>
        </w:rPr>
      </w:pPr>
    </w:p>
    <w:p w14:paraId="4C670142" w14:textId="77777777" w:rsidR="009466E7" w:rsidRDefault="009466E7" w:rsidP="00FD1657">
      <w:pPr>
        <w:rPr>
          <w:rFonts w:ascii="Arial" w:hAnsi="Arial" w:cs="Arial"/>
          <w:b/>
          <w:bCs/>
          <w:sz w:val="32"/>
          <w:szCs w:val="32"/>
        </w:rPr>
      </w:pPr>
    </w:p>
    <w:p w14:paraId="1CC5B6D2" w14:textId="77777777" w:rsidR="009466E7" w:rsidRDefault="009466E7" w:rsidP="00FD1657">
      <w:pPr>
        <w:rPr>
          <w:rFonts w:ascii="Arial" w:hAnsi="Arial" w:cs="Arial"/>
          <w:b/>
          <w:bCs/>
          <w:sz w:val="32"/>
          <w:szCs w:val="32"/>
        </w:rPr>
      </w:pPr>
    </w:p>
    <w:p w14:paraId="3A468D57" w14:textId="77777777" w:rsidR="002A2949" w:rsidRDefault="002A2949" w:rsidP="00FD1657">
      <w:pPr>
        <w:rPr>
          <w:rFonts w:ascii="Arial" w:hAnsi="Arial" w:cs="Arial"/>
          <w:b/>
          <w:bCs/>
          <w:sz w:val="32"/>
          <w:szCs w:val="32"/>
        </w:rPr>
      </w:pPr>
    </w:p>
    <w:p w14:paraId="528A778E" w14:textId="77777777" w:rsidR="002A2949" w:rsidRDefault="002A2949" w:rsidP="00FD1657">
      <w:pPr>
        <w:rPr>
          <w:rFonts w:ascii="Arial" w:hAnsi="Arial" w:cs="Arial"/>
          <w:b/>
          <w:bCs/>
          <w:sz w:val="32"/>
          <w:szCs w:val="32"/>
        </w:rPr>
      </w:pPr>
    </w:p>
    <w:p w14:paraId="2387B7B6" w14:textId="3FA90751" w:rsidR="00840A29" w:rsidRDefault="00164711" w:rsidP="00FD1657">
      <w:pPr>
        <w:rPr>
          <w:rFonts w:ascii="Arial" w:hAnsi="Arial" w:cs="Arial"/>
          <w:sz w:val="24"/>
          <w:szCs w:val="24"/>
        </w:rPr>
      </w:pPr>
      <w:r w:rsidRPr="00164711">
        <w:rPr>
          <w:rFonts w:ascii="Arial" w:hAnsi="Arial" w:cs="Arial"/>
          <w:b/>
          <w:bCs/>
          <w:sz w:val="32"/>
          <w:szCs w:val="32"/>
        </w:rPr>
        <w:lastRenderedPageBreak/>
        <w:t>conclusion</w:t>
      </w:r>
      <w:r w:rsidR="007301A4" w:rsidRPr="00FD1657">
        <w:rPr>
          <w:rFonts w:ascii="Arial" w:hAnsi="Arial" w:cs="Arial"/>
          <w:sz w:val="24"/>
          <w:szCs w:val="24"/>
        </w:rPr>
        <w:t xml:space="preserve"> </w:t>
      </w:r>
    </w:p>
    <w:p w14:paraId="76E56B47" w14:textId="4DE927B6" w:rsidR="00FD1657" w:rsidRPr="00840A29" w:rsidRDefault="00840A29" w:rsidP="00FD1657">
      <w:pPr>
        <w:rPr>
          <w:rFonts w:ascii="Arial" w:hAnsi="Arial" w:cs="Arial"/>
          <w:sz w:val="24"/>
          <w:szCs w:val="24"/>
        </w:rPr>
      </w:pPr>
      <w:r w:rsidRPr="00840A29">
        <w:rPr>
          <w:rFonts w:ascii="Arial" w:hAnsi="Arial" w:cs="Arial"/>
          <w:sz w:val="24"/>
          <w:szCs w:val="24"/>
        </w:rPr>
        <w:t>The CRA has totally removed consumer contracts from UCTA, meaning that UCTA now only applies to B2B (and, if applicable, C2C) contracts, and the UTCCRs have been substituted by the CRA</w:t>
      </w:r>
      <w:r w:rsidR="002A2949">
        <w:rPr>
          <w:rFonts w:ascii="Arial" w:hAnsi="Arial" w:cs="Arial"/>
          <w:sz w:val="24"/>
          <w:szCs w:val="24"/>
        </w:rPr>
        <w:t xml:space="preserve"> </w:t>
      </w:r>
      <w:r w:rsidR="00135D1C">
        <w:rPr>
          <w:rFonts w:ascii="Arial" w:hAnsi="Arial" w:cs="Arial"/>
          <w:sz w:val="24"/>
          <w:szCs w:val="24"/>
        </w:rPr>
        <w:t>(Morgan, 2015).</w:t>
      </w:r>
    </w:p>
    <w:p w14:paraId="022FB86D" w14:textId="77777777" w:rsidR="00FD1657" w:rsidRDefault="00FD1657" w:rsidP="00FD1657">
      <w:pPr>
        <w:pStyle w:val="ListParagraph"/>
        <w:rPr>
          <w:rFonts w:ascii="Arial" w:hAnsi="Arial" w:cs="Arial"/>
          <w:sz w:val="24"/>
          <w:szCs w:val="24"/>
        </w:rPr>
      </w:pPr>
    </w:p>
    <w:p w14:paraId="004F6FEA" w14:textId="77777777" w:rsidR="00FD1657" w:rsidRDefault="00FD1657" w:rsidP="00FD1657">
      <w:pPr>
        <w:pStyle w:val="ListParagraph"/>
        <w:rPr>
          <w:rFonts w:ascii="Arial" w:hAnsi="Arial" w:cs="Arial"/>
          <w:sz w:val="24"/>
          <w:szCs w:val="24"/>
        </w:rPr>
      </w:pPr>
    </w:p>
    <w:p w14:paraId="467B4660" w14:textId="77777777" w:rsidR="00FD1657" w:rsidRDefault="00FD1657" w:rsidP="00FD1657">
      <w:pPr>
        <w:pStyle w:val="ListParagraph"/>
        <w:rPr>
          <w:rFonts w:ascii="Arial" w:hAnsi="Arial" w:cs="Arial"/>
          <w:sz w:val="24"/>
          <w:szCs w:val="24"/>
        </w:rPr>
      </w:pPr>
    </w:p>
    <w:p w14:paraId="1209E6D1" w14:textId="30B22629" w:rsidR="008018F9" w:rsidRPr="00FD1657" w:rsidRDefault="008018F9" w:rsidP="00FD1657">
      <w:pPr>
        <w:rPr>
          <w:rFonts w:ascii="Arial" w:hAnsi="Arial" w:cs="Arial"/>
          <w:sz w:val="24"/>
          <w:szCs w:val="24"/>
        </w:rPr>
      </w:pPr>
    </w:p>
    <w:p w14:paraId="360D3E65" w14:textId="77777777" w:rsidR="00FC709A" w:rsidRDefault="00FC709A" w:rsidP="00A858FE">
      <w:pPr>
        <w:rPr>
          <w:rFonts w:ascii="Arial" w:hAnsi="Arial" w:cs="Arial"/>
          <w:sz w:val="24"/>
          <w:szCs w:val="24"/>
        </w:rPr>
      </w:pPr>
    </w:p>
    <w:p w14:paraId="11110463" w14:textId="77777777" w:rsidR="00FC709A" w:rsidRDefault="00FC709A" w:rsidP="00A858FE">
      <w:pPr>
        <w:rPr>
          <w:rFonts w:ascii="Arial" w:hAnsi="Arial" w:cs="Arial"/>
          <w:sz w:val="24"/>
          <w:szCs w:val="24"/>
        </w:rPr>
      </w:pPr>
    </w:p>
    <w:p w14:paraId="7DE41CC9" w14:textId="77777777" w:rsidR="00FC709A" w:rsidRDefault="00FC709A" w:rsidP="00A858FE">
      <w:pPr>
        <w:rPr>
          <w:rFonts w:ascii="Arial" w:hAnsi="Arial" w:cs="Arial"/>
          <w:sz w:val="24"/>
          <w:szCs w:val="24"/>
        </w:rPr>
      </w:pPr>
    </w:p>
    <w:p w14:paraId="0689CB2A" w14:textId="77777777" w:rsidR="00FC709A" w:rsidRDefault="00FC709A" w:rsidP="00A858FE">
      <w:pPr>
        <w:rPr>
          <w:rFonts w:ascii="Arial" w:hAnsi="Arial" w:cs="Arial"/>
          <w:sz w:val="24"/>
          <w:szCs w:val="24"/>
        </w:rPr>
      </w:pPr>
    </w:p>
    <w:p w14:paraId="12B91F28" w14:textId="77777777" w:rsidR="00FC709A" w:rsidRDefault="00FC709A" w:rsidP="00A858FE">
      <w:pPr>
        <w:rPr>
          <w:rFonts w:ascii="Arial" w:hAnsi="Arial" w:cs="Arial"/>
          <w:sz w:val="24"/>
          <w:szCs w:val="24"/>
        </w:rPr>
      </w:pPr>
    </w:p>
    <w:p w14:paraId="37F31A3A" w14:textId="77777777" w:rsidR="00FC709A" w:rsidRDefault="00FC709A" w:rsidP="00A858FE">
      <w:pPr>
        <w:rPr>
          <w:rFonts w:ascii="Arial" w:hAnsi="Arial" w:cs="Arial"/>
          <w:sz w:val="24"/>
          <w:szCs w:val="24"/>
        </w:rPr>
      </w:pPr>
    </w:p>
    <w:p w14:paraId="70CA1CBF" w14:textId="77777777" w:rsidR="00FC709A" w:rsidRDefault="00FC709A" w:rsidP="00A858FE">
      <w:pPr>
        <w:rPr>
          <w:rFonts w:ascii="Arial" w:hAnsi="Arial" w:cs="Arial"/>
          <w:sz w:val="24"/>
          <w:szCs w:val="24"/>
        </w:rPr>
      </w:pPr>
    </w:p>
    <w:p w14:paraId="4FFEB430" w14:textId="77777777" w:rsidR="00FC709A" w:rsidRDefault="00FC709A" w:rsidP="00A858FE">
      <w:pPr>
        <w:rPr>
          <w:rFonts w:ascii="Arial" w:hAnsi="Arial" w:cs="Arial"/>
          <w:sz w:val="24"/>
          <w:szCs w:val="24"/>
        </w:rPr>
      </w:pPr>
    </w:p>
    <w:p w14:paraId="12B55363" w14:textId="77777777" w:rsidR="00FC709A" w:rsidRDefault="00FC709A" w:rsidP="00A858FE">
      <w:pPr>
        <w:rPr>
          <w:rFonts w:ascii="Arial" w:hAnsi="Arial" w:cs="Arial"/>
          <w:sz w:val="24"/>
          <w:szCs w:val="24"/>
        </w:rPr>
      </w:pPr>
    </w:p>
    <w:p w14:paraId="08DCD0EA" w14:textId="77777777" w:rsidR="00FC709A" w:rsidRDefault="00FC709A" w:rsidP="00A858FE">
      <w:pPr>
        <w:rPr>
          <w:rFonts w:ascii="Arial" w:hAnsi="Arial" w:cs="Arial"/>
          <w:sz w:val="24"/>
          <w:szCs w:val="24"/>
        </w:rPr>
      </w:pPr>
    </w:p>
    <w:p w14:paraId="3AFD07B0" w14:textId="77777777" w:rsidR="00FC709A" w:rsidRDefault="00FC709A" w:rsidP="00A858FE">
      <w:pPr>
        <w:rPr>
          <w:rFonts w:ascii="Arial" w:hAnsi="Arial" w:cs="Arial"/>
          <w:sz w:val="24"/>
          <w:szCs w:val="24"/>
        </w:rPr>
      </w:pPr>
    </w:p>
    <w:p w14:paraId="786A108D" w14:textId="77777777" w:rsidR="004568ED" w:rsidRDefault="004568ED" w:rsidP="00A858FE">
      <w:pPr>
        <w:rPr>
          <w:rFonts w:ascii="Arial" w:hAnsi="Arial" w:cs="Arial"/>
          <w:sz w:val="24"/>
          <w:szCs w:val="24"/>
        </w:rPr>
      </w:pPr>
    </w:p>
    <w:p w14:paraId="7B704F5D" w14:textId="77777777" w:rsidR="000A233C" w:rsidRDefault="000A233C" w:rsidP="00A858FE">
      <w:pPr>
        <w:rPr>
          <w:rFonts w:ascii="Arial" w:hAnsi="Arial" w:cs="Arial"/>
        </w:rPr>
      </w:pPr>
    </w:p>
    <w:p w14:paraId="37029798" w14:textId="77777777" w:rsidR="000A233C" w:rsidRDefault="000A233C" w:rsidP="00A858FE">
      <w:pPr>
        <w:rPr>
          <w:rFonts w:ascii="Arial" w:hAnsi="Arial" w:cs="Arial"/>
        </w:rPr>
      </w:pPr>
    </w:p>
    <w:p w14:paraId="05CBAD38" w14:textId="77777777" w:rsidR="000A233C" w:rsidRDefault="000A233C" w:rsidP="00A858FE">
      <w:pPr>
        <w:rPr>
          <w:rFonts w:ascii="Arial" w:hAnsi="Arial" w:cs="Arial"/>
        </w:rPr>
      </w:pPr>
    </w:p>
    <w:p w14:paraId="109BC8B5" w14:textId="77777777" w:rsidR="000A233C" w:rsidRDefault="000A233C" w:rsidP="00A858FE">
      <w:pPr>
        <w:rPr>
          <w:rFonts w:ascii="Arial" w:hAnsi="Arial" w:cs="Arial"/>
        </w:rPr>
      </w:pPr>
    </w:p>
    <w:p w14:paraId="28304897" w14:textId="77777777" w:rsidR="000A233C" w:rsidRDefault="000A233C" w:rsidP="00A858FE">
      <w:pPr>
        <w:rPr>
          <w:rFonts w:ascii="Arial" w:hAnsi="Arial" w:cs="Arial"/>
        </w:rPr>
      </w:pPr>
    </w:p>
    <w:p w14:paraId="21075416" w14:textId="77777777" w:rsidR="000A233C" w:rsidRDefault="000A233C" w:rsidP="00A858FE">
      <w:pPr>
        <w:rPr>
          <w:rFonts w:ascii="Arial" w:hAnsi="Arial" w:cs="Arial"/>
        </w:rPr>
      </w:pPr>
    </w:p>
    <w:p w14:paraId="5D22A5DF" w14:textId="77777777" w:rsidR="004B7F6E" w:rsidRDefault="004B7F6E" w:rsidP="00A858FE">
      <w:pPr>
        <w:rPr>
          <w:rFonts w:ascii="Arial" w:hAnsi="Arial" w:cs="Arial"/>
        </w:rPr>
      </w:pPr>
    </w:p>
    <w:p w14:paraId="28609AA3" w14:textId="77777777" w:rsidR="004B7F6E" w:rsidRDefault="004B7F6E" w:rsidP="00A858FE">
      <w:pPr>
        <w:rPr>
          <w:rFonts w:ascii="Arial" w:hAnsi="Arial" w:cs="Arial"/>
        </w:rPr>
      </w:pPr>
    </w:p>
    <w:p w14:paraId="67AC6DED" w14:textId="77777777" w:rsidR="004B7F6E" w:rsidRDefault="004B7F6E" w:rsidP="00A858FE">
      <w:pPr>
        <w:rPr>
          <w:rFonts w:ascii="Arial" w:hAnsi="Arial" w:cs="Arial"/>
        </w:rPr>
      </w:pPr>
    </w:p>
    <w:p w14:paraId="315C707D" w14:textId="77777777" w:rsidR="004B7F6E" w:rsidRDefault="004B7F6E" w:rsidP="00A858FE">
      <w:pPr>
        <w:rPr>
          <w:rFonts w:ascii="Arial" w:hAnsi="Arial" w:cs="Arial"/>
        </w:rPr>
      </w:pPr>
    </w:p>
    <w:p w14:paraId="3284C15E" w14:textId="77777777" w:rsidR="004B7F6E" w:rsidRDefault="004B7F6E" w:rsidP="00A858FE">
      <w:pPr>
        <w:rPr>
          <w:rFonts w:ascii="Arial" w:hAnsi="Arial" w:cs="Arial"/>
        </w:rPr>
      </w:pPr>
    </w:p>
    <w:p w14:paraId="1DC10802" w14:textId="77777777" w:rsidR="004B7F6E" w:rsidRDefault="004B7F6E" w:rsidP="00A858FE">
      <w:pPr>
        <w:rPr>
          <w:rFonts w:ascii="Arial" w:hAnsi="Arial" w:cs="Arial"/>
        </w:rPr>
      </w:pPr>
    </w:p>
    <w:p w14:paraId="37E55ACB" w14:textId="77777777" w:rsidR="004B7F6E" w:rsidRDefault="004B7F6E" w:rsidP="00A858FE">
      <w:pPr>
        <w:rPr>
          <w:rFonts w:ascii="Arial" w:hAnsi="Arial" w:cs="Arial"/>
        </w:rPr>
      </w:pPr>
    </w:p>
    <w:p w14:paraId="0E4847CB" w14:textId="115D0068" w:rsidR="00A54FB7" w:rsidRPr="00400703" w:rsidRDefault="00874213" w:rsidP="00A858FE">
      <w:pPr>
        <w:rPr>
          <w:rFonts w:ascii="Arial" w:hAnsi="Arial" w:cs="Arial"/>
          <w:sz w:val="24"/>
          <w:szCs w:val="24"/>
        </w:rPr>
      </w:pPr>
      <w:r>
        <w:rPr>
          <w:rFonts w:ascii="Arial" w:hAnsi="Arial" w:cs="Arial"/>
        </w:rPr>
        <w:lastRenderedPageBreak/>
        <w:t>REFERENCE LIST</w:t>
      </w:r>
    </w:p>
    <w:p w14:paraId="06E50961" w14:textId="77777777" w:rsidR="004568ED" w:rsidRDefault="00874213" w:rsidP="00285B4D">
      <w:pPr>
        <w:pStyle w:val="NormalWeb"/>
        <w:spacing w:before="0" w:beforeAutospacing="0" w:after="240" w:afterAutospacing="0" w:line="360" w:lineRule="auto"/>
      </w:pPr>
      <w:r>
        <w:t xml:space="preserve">Cartwright, P. (2016). REDRESS COMPLIANCE AND CHOICE: ENHANCED CONSUMER MEASURES AND THE RETREAT FROM PUNISHMENT IN THE CONSUMER RIGHTS ACT 2015. </w:t>
      </w:r>
      <w:r>
        <w:rPr>
          <w:i/>
          <w:iCs/>
        </w:rPr>
        <w:t>The Cambridge Law Journal</w:t>
      </w:r>
      <w:r>
        <w:t xml:space="preserve">, [online] 75(2), pp.271–300. Available at: </w:t>
      </w:r>
      <w:hyperlink r:id="rId10" w:history="1">
        <w:r w:rsidR="00D12F6B" w:rsidRPr="0052676F">
          <w:rPr>
            <w:rStyle w:val="Hyperlink"/>
          </w:rPr>
          <w:t>https://www.cambridge.org/core/services/aop-cambridge-core/content/view/87D1211567DC20FAD2A33128B2B62640/S0008197316000210a.pdf/redress_compliance_and_choice_enhanced_consumer_measures_and_the_retreat_from_punishment_in_the_consumer_rights_act_2015.pdf</w:t>
        </w:r>
      </w:hyperlink>
      <w:r w:rsidR="00D12F6B">
        <w:t xml:space="preserve">  </w:t>
      </w:r>
      <w:r>
        <w:t>[Accessed 3 Apr</w:t>
      </w:r>
      <w:r w:rsidR="00D53ADF">
        <w:t>il.</w:t>
      </w:r>
      <w:r>
        <w:t xml:space="preserve"> 20</w:t>
      </w:r>
      <w:r w:rsidR="00F61AE8">
        <w:t>22]</w:t>
      </w:r>
    </w:p>
    <w:p w14:paraId="654D07BB" w14:textId="2F4F0E51" w:rsidR="00285B4D" w:rsidRDefault="00F61AE8" w:rsidP="00285B4D">
      <w:pPr>
        <w:pStyle w:val="NormalWeb"/>
        <w:spacing w:before="0" w:beforeAutospacing="0" w:after="240" w:afterAutospacing="0" w:line="360" w:lineRule="auto"/>
      </w:pPr>
      <w:r w:rsidRPr="00F61AE8">
        <w:t xml:space="preserve">Citizens Advice (2022). The Consumer Rights Act 2015. [online] www.citizensadvice.org.uk. Available at: </w:t>
      </w:r>
      <w:hyperlink r:id="rId11" w:history="1">
        <w:r w:rsidRPr="008D4A15">
          <w:rPr>
            <w:rStyle w:val="Hyperlink"/>
          </w:rPr>
          <w:t>https://www.citizensadvice.org.uk/about-us/our-work/citizens-advice-consumer-work/the-consumer-rights-act-2015/</w:t>
        </w:r>
      </w:hyperlink>
      <w:proofErr w:type="gramStart"/>
      <w:r>
        <w:t xml:space="preserve"> </w:t>
      </w:r>
      <w:r w:rsidRPr="00F61AE8">
        <w:t xml:space="preserve">  [</w:t>
      </w:r>
      <w:proofErr w:type="gramEnd"/>
      <w:r w:rsidRPr="00F61AE8">
        <w:t xml:space="preserve">Accessed 4 Apr. </w:t>
      </w:r>
      <w:r w:rsidR="00D657B8">
        <w:t>[</w:t>
      </w:r>
      <w:r w:rsidRPr="00F61AE8">
        <w:t>2022].</w:t>
      </w:r>
      <w:r>
        <w:t xml:space="preserve"> </w:t>
      </w:r>
    </w:p>
    <w:p w14:paraId="3F1DA367" w14:textId="77777777" w:rsidR="00915313" w:rsidRDefault="00285B4D" w:rsidP="00BC1262">
      <w:pPr>
        <w:pStyle w:val="NormalWeb"/>
        <w:spacing w:before="0" w:beforeAutospacing="0" w:after="240" w:afterAutospacing="0" w:line="360" w:lineRule="auto"/>
      </w:pPr>
      <w:r>
        <w:t xml:space="preserve">Davidson Review Final Report. (2006). [online] Available at:  </w:t>
      </w:r>
      <w:hyperlink r:id="rId12" w:history="1">
        <w:r w:rsidRPr="0052676F">
          <w:rPr>
            <w:rStyle w:val="Hyperlink"/>
          </w:rPr>
          <w:t>https://www.regulation.org.uk/library/2006_davidson_review.pdf?msclkid=fb4dc877b34e11ecbf72c3956cb42b40</w:t>
        </w:r>
      </w:hyperlink>
      <w:r>
        <w:t xml:space="preserve">  [Accessed 3 Ap</w:t>
      </w:r>
      <w:r w:rsidR="00D53ADF">
        <w:t>ril</w:t>
      </w:r>
      <w:r>
        <w:t xml:space="preserve">. 2022]. </w:t>
      </w:r>
    </w:p>
    <w:p w14:paraId="0B96F071" w14:textId="77777777" w:rsidR="000811A0" w:rsidRDefault="00DB14A0" w:rsidP="004568ED">
      <w:pPr>
        <w:pStyle w:val="NormalWeb"/>
        <w:spacing w:before="0" w:beforeAutospacing="0" w:after="240" w:afterAutospacing="0" w:line="360" w:lineRule="auto"/>
      </w:pPr>
      <w:r w:rsidRPr="00DB14A0">
        <w:t>Department for Business, Innovation and Skills (2015c). Consumer Rights Act 2015</w:t>
      </w:r>
      <w:r w:rsidR="00915313">
        <w:t xml:space="preserve"> </w:t>
      </w:r>
      <w:r w:rsidRPr="00DB14A0">
        <w:t xml:space="preserve">Explanatory Notes. [online] Legislation.gov.uk. Available at: </w:t>
      </w:r>
      <w:hyperlink r:id="rId13" w:history="1">
        <w:r w:rsidR="00915313" w:rsidRPr="00F63E87">
          <w:rPr>
            <w:rStyle w:val="Hyperlink"/>
          </w:rPr>
          <w:t>https://www.legislation.gov.uk/ukpga/2015/15/notes</w:t>
        </w:r>
      </w:hyperlink>
      <w:r w:rsidR="00915313">
        <w:t xml:space="preserve"> [Accessed 13 April 2022].</w:t>
      </w:r>
      <w:r w:rsidR="000811A0" w:rsidRPr="000811A0">
        <w:t xml:space="preserve"> </w:t>
      </w:r>
    </w:p>
    <w:p w14:paraId="251C68D1" w14:textId="77777777" w:rsidR="00977188" w:rsidRDefault="000811A0" w:rsidP="004568ED">
      <w:pPr>
        <w:pStyle w:val="NormalWeb"/>
        <w:spacing w:before="0" w:beforeAutospacing="0" w:after="240" w:afterAutospacing="0" w:line="360" w:lineRule="auto"/>
      </w:pPr>
      <w:r w:rsidRPr="000811A0">
        <w:t xml:space="preserve">French, A. (2021). Consumer Rights Act 2015. [online] Which? Available at: </w:t>
      </w:r>
      <w:hyperlink r:id="rId14" w:history="1">
        <w:r w:rsidRPr="002F36CB">
          <w:rPr>
            <w:rStyle w:val="Hyperlink"/>
          </w:rPr>
          <w:t>https://www.which.co.uk/consumer-rights/regulation/consumer-rights-act-aKJYx8n5KiSl</w:t>
        </w:r>
      </w:hyperlink>
      <w:r w:rsidRPr="000811A0">
        <w:t>.</w:t>
      </w:r>
      <w:r>
        <w:t xml:space="preserve"> [Accessed 1 May 2022].</w:t>
      </w:r>
      <w:r w:rsidR="00977188" w:rsidRPr="00977188">
        <w:t xml:space="preserve"> </w:t>
      </w:r>
    </w:p>
    <w:p w14:paraId="0F96C9BF" w14:textId="26C66BA5" w:rsidR="00977188" w:rsidRDefault="00977188" w:rsidP="004568ED">
      <w:pPr>
        <w:pStyle w:val="NormalWeb"/>
        <w:spacing w:before="0" w:beforeAutospacing="0" w:after="240" w:afterAutospacing="0" w:line="360" w:lineRule="auto"/>
      </w:pPr>
      <w:proofErr w:type="spellStart"/>
      <w:r w:rsidRPr="00977188">
        <w:t>Gillker</w:t>
      </w:r>
      <w:proofErr w:type="spellEnd"/>
      <w:r w:rsidRPr="00977188">
        <w:t xml:space="preserve">, P. (2017). The Consumer Rights Act 2015 – a bastion of - ProQuest. [online] www.proquest.com. Available at: </w:t>
      </w:r>
      <w:hyperlink r:id="rId15" w:history="1">
        <w:r w:rsidRPr="002F36CB">
          <w:rPr>
            <w:rStyle w:val="Hyperlink"/>
          </w:rPr>
          <w:t>https://www.proquest.com/docview/2210371534/8250D035320D454CPQ/2?accountid=1304</w:t>
        </w:r>
      </w:hyperlink>
      <w:r>
        <w:t xml:space="preserve"> </w:t>
      </w:r>
      <w:r w:rsidRPr="00977188">
        <w:t>72 [Accessed 4 Apr. 2022].</w:t>
      </w:r>
    </w:p>
    <w:p w14:paraId="3F52F881" w14:textId="5CED6BD8" w:rsidR="00A46798" w:rsidRDefault="003748CB" w:rsidP="004568ED">
      <w:pPr>
        <w:pStyle w:val="NormalWeb"/>
        <w:spacing w:before="0" w:beforeAutospacing="0" w:after="240" w:afterAutospacing="0" w:line="360" w:lineRule="auto"/>
      </w:pPr>
      <w:r>
        <w:t>UK.Government</w:t>
      </w:r>
      <w:r w:rsidR="00BC1262">
        <w:t xml:space="preserve">. (2015). </w:t>
      </w:r>
      <w:r w:rsidR="00BC1262">
        <w:rPr>
          <w:i/>
          <w:iCs/>
        </w:rPr>
        <w:t>Biggest overhaul of consumer rights in a generation</w:t>
      </w:r>
      <w:r w:rsidR="00BC1262">
        <w:t>. [online] Available at:</w:t>
      </w:r>
      <w:r w:rsidR="00BC1262" w:rsidRPr="00BC1262">
        <w:t xml:space="preserve"> </w:t>
      </w:r>
      <w:hyperlink r:id="rId16" w:history="1">
        <w:r w:rsidR="00BC1262" w:rsidRPr="0052676F">
          <w:rPr>
            <w:rStyle w:val="Hyperlink"/>
          </w:rPr>
          <w:t>https://www.gov.uk/government/news/biggest-overhaul-of-consumer-rights-in-a-generation?msclkid=f4f7b363b38c11ec9ec5c165d6f381d4</w:t>
        </w:r>
      </w:hyperlink>
      <w:r w:rsidR="00BC1262">
        <w:t xml:space="preserve">  [Accessed 3 Apr</w:t>
      </w:r>
      <w:r w:rsidR="00D53ADF">
        <w:t>il.</w:t>
      </w:r>
      <w:r w:rsidR="00BC1262">
        <w:t xml:space="preserve"> 2022].</w:t>
      </w:r>
      <w:r w:rsidR="0057529D" w:rsidRPr="0057529D">
        <w:t xml:space="preserve"> GOV.UK. (2015). </w:t>
      </w:r>
      <w:r w:rsidR="0057529D" w:rsidRPr="0057529D">
        <w:rPr>
          <w:i/>
          <w:iCs/>
        </w:rPr>
        <w:t>Consumer Rights Act 2015</w:t>
      </w:r>
      <w:r w:rsidR="0057529D" w:rsidRPr="0057529D">
        <w:t xml:space="preserve">. [online] Available at: </w:t>
      </w:r>
      <w:hyperlink r:id="rId17" w:anchor="consumers" w:history="1">
        <w:r w:rsidR="0057529D" w:rsidRPr="00F63E87">
          <w:rPr>
            <w:rStyle w:val="Hyperlink"/>
          </w:rPr>
          <w:t>https://www.gov.uk/government/publications/consumer-rights-act-2015/consumer-rights-act-2015#consumers</w:t>
        </w:r>
      </w:hyperlink>
      <w:r w:rsidR="0057529D">
        <w:t xml:space="preserve"> [Accessed 13 April 2022].</w:t>
      </w:r>
      <w:r w:rsidR="00FC709A" w:rsidRPr="00FC709A">
        <w:t xml:space="preserve"> </w:t>
      </w:r>
    </w:p>
    <w:p w14:paraId="421F3D45" w14:textId="0357187C" w:rsidR="0057529D" w:rsidRPr="0057529D" w:rsidRDefault="00FC709A" w:rsidP="004568ED">
      <w:pPr>
        <w:pStyle w:val="NormalWeb"/>
        <w:spacing w:before="0" w:beforeAutospacing="0" w:after="240" w:afterAutospacing="0" w:line="360" w:lineRule="auto"/>
      </w:pPr>
      <w:r w:rsidRPr="00FC709A">
        <w:t xml:space="preserve">Legislation.gov.uk. (2015). Consumer Rights Act 2015. [online] Available at: </w:t>
      </w:r>
      <w:hyperlink r:id="rId18" w:history="1">
        <w:r w:rsidRPr="00657702">
          <w:rPr>
            <w:rStyle w:val="Hyperlink"/>
          </w:rPr>
          <w:t>https://www.legislation.gov.uk/ukpga/2015/15/section/2/enacted</w:t>
        </w:r>
      </w:hyperlink>
      <w:r w:rsidRPr="00FC709A">
        <w:t>.</w:t>
      </w:r>
      <w:r>
        <w:t xml:space="preserve"> [Accessed 21 April 2022].</w:t>
      </w:r>
    </w:p>
    <w:p w14:paraId="339B0C81" w14:textId="6849F8C8" w:rsidR="00B757D3" w:rsidRPr="00A858FE" w:rsidRDefault="00B757D3" w:rsidP="00B757D3">
      <w:pPr>
        <w:rPr>
          <w:rFonts w:ascii="Arial" w:hAnsi="Arial" w:cs="Arial"/>
        </w:rPr>
      </w:pPr>
      <w:r w:rsidRPr="00A858FE">
        <w:rPr>
          <w:rFonts w:ascii="Arial" w:hAnsi="Arial" w:cs="Arial"/>
        </w:rPr>
        <w:t xml:space="preserve">Morgan, B. (2015). </w:t>
      </w:r>
      <w:r w:rsidRPr="00A858FE">
        <w:rPr>
          <w:rFonts w:ascii="Arial" w:hAnsi="Arial" w:cs="Arial"/>
          <w:i/>
          <w:iCs/>
        </w:rPr>
        <w:t>The Consumer Rights Act 2015 – all change for consumer contracts for goods, digital content, services and unfair terms - BM Insights - Blake Morgan</w:t>
      </w:r>
      <w:r w:rsidRPr="00A858FE">
        <w:rPr>
          <w:rFonts w:ascii="Arial" w:hAnsi="Arial" w:cs="Arial"/>
        </w:rPr>
        <w:t>. [online] Blake Morgan. Available at:</w:t>
      </w:r>
      <w:r w:rsidRPr="00B757D3">
        <w:t xml:space="preserve"> </w:t>
      </w:r>
      <w:hyperlink r:id="rId19" w:history="1">
        <w:r w:rsidRPr="00F63E87">
          <w:rPr>
            <w:rStyle w:val="Hyperlink"/>
            <w:rFonts w:ascii="Arial" w:hAnsi="Arial" w:cs="Arial"/>
          </w:rPr>
          <w:t>https://www.blakemorgan.co.uk/the-consumer-rights-act-2015-all-change-for-consumer-contracts-for-goods-digital-content-services-and-unfair-terms/</w:t>
        </w:r>
      </w:hyperlink>
      <w:r>
        <w:rPr>
          <w:rFonts w:ascii="Arial" w:hAnsi="Arial" w:cs="Arial"/>
        </w:rPr>
        <w:t xml:space="preserve">  [Accessed 13 April 2022].</w:t>
      </w:r>
      <w:r w:rsidRPr="00A858FE">
        <w:rPr>
          <w:rFonts w:ascii="Arial" w:hAnsi="Arial" w:cs="Arial"/>
        </w:rPr>
        <w:t xml:space="preserve"> </w:t>
      </w:r>
    </w:p>
    <w:p w14:paraId="672CBF19" w14:textId="3CA98927" w:rsidR="003D6677" w:rsidRDefault="008F167F" w:rsidP="008F167F">
      <w:pPr>
        <w:pStyle w:val="NormalWeb"/>
        <w:spacing w:before="0" w:beforeAutospacing="0" w:after="240" w:afterAutospacing="0" w:line="360" w:lineRule="auto"/>
      </w:pPr>
      <w:r>
        <w:t xml:space="preserve">MRN Ltd (2015). </w:t>
      </w:r>
      <w:r>
        <w:rPr>
          <w:i/>
          <w:iCs/>
        </w:rPr>
        <w:t>Consumer Rights Act 2015 explained - ProQuest</w:t>
      </w:r>
      <w:r>
        <w:t>. [online] www.proquest.com. Available at:</w:t>
      </w:r>
      <w:r w:rsidR="00A922C2" w:rsidRPr="00A922C2">
        <w:t xml:space="preserve"> </w:t>
      </w:r>
      <w:hyperlink r:id="rId20" w:history="1">
        <w:r w:rsidR="00A922C2" w:rsidRPr="008D4A15">
          <w:rPr>
            <w:rStyle w:val="Hyperlink"/>
          </w:rPr>
          <w:t>https://www.proquest.com/docview/1709673404/abstract/EBCC84A43EBE40D1PQ/1?accountid=130472</w:t>
        </w:r>
      </w:hyperlink>
      <w:r w:rsidR="00A922C2">
        <w:t xml:space="preserve">  </w:t>
      </w:r>
      <w:r>
        <w:t>[Accessed 4 Apr. 2022].</w:t>
      </w:r>
    </w:p>
    <w:p w14:paraId="7B87C4CB" w14:textId="77777777" w:rsidR="00A46798" w:rsidRDefault="00383E06" w:rsidP="00A46798">
      <w:pPr>
        <w:pStyle w:val="NormalWeb"/>
        <w:spacing w:before="0" w:beforeAutospacing="0" w:after="240" w:afterAutospacing="0" w:line="360" w:lineRule="auto"/>
      </w:pPr>
      <w:r w:rsidRPr="00383E06">
        <w:t xml:space="preserve">Richards, P. (2019). Law of contract. [online] login.microsoftonline.com. Available at: </w:t>
      </w:r>
      <w:hyperlink r:id="rId21" w:history="1">
        <w:r w:rsidRPr="00850BE9">
          <w:rPr>
            <w:rStyle w:val="Hyperlink"/>
          </w:rPr>
          <w:t>https://ebookcentral.proquest.com/lib/trinity/reader.action?docID=5749426</w:t>
        </w:r>
      </w:hyperlink>
      <w:r>
        <w:t xml:space="preserve"> </w:t>
      </w:r>
      <w:r w:rsidRPr="00383E06">
        <w:t>[Accessed 22 Apr. 2022].</w:t>
      </w:r>
      <w:r>
        <w:t xml:space="preserve"> </w:t>
      </w:r>
    </w:p>
    <w:p w14:paraId="1893F57C" w14:textId="77777777" w:rsidR="00A46798" w:rsidRDefault="00EE4961" w:rsidP="00A46798">
      <w:pPr>
        <w:pStyle w:val="NormalWeb"/>
        <w:spacing w:before="0" w:beforeAutospacing="0" w:after="240" w:afterAutospacing="0" w:line="360" w:lineRule="auto"/>
      </w:pPr>
      <w:r>
        <w:t xml:space="preserve">Studios, V. (2015). </w:t>
      </w:r>
      <w:r>
        <w:rPr>
          <w:i/>
          <w:iCs/>
        </w:rPr>
        <w:t>Biggest overhaul of consumer rights in a generation | Steve Beasant</w:t>
      </w:r>
      <w:r>
        <w:t>. [online] stevebeasant.4mp.org.uk. Available at:</w:t>
      </w:r>
      <w:r w:rsidRPr="00EE4961">
        <w:t xml:space="preserve"> </w:t>
      </w:r>
      <w:hyperlink r:id="rId22" w:history="1">
        <w:r w:rsidRPr="0052676F">
          <w:rPr>
            <w:rStyle w:val="Hyperlink"/>
          </w:rPr>
          <w:t>https://stevebeasant.4mp.org.uk/2015/03/27/biggest-overhaul-of-consumer-rights-in-a-generation/?msclkid=85a33c22b39011ecb2780bc5d47115d7</w:t>
        </w:r>
      </w:hyperlink>
      <w:proofErr w:type="gramStart"/>
      <w:r>
        <w:t xml:space="preserve">   [</w:t>
      </w:r>
      <w:proofErr w:type="gramEnd"/>
      <w:r>
        <w:t>Accessed 3 Apr</w:t>
      </w:r>
      <w:r w:rsidR="00D53ADF">
        <w:t>il.</w:t>
      </w:r>
      <w:r>
        <w:t xml:space="preserve"> 2022].</w:t>
      </w:r>
      <w:r w:rsidR="009420C5" w:rsidRPr="009420C5">
        <w:t xml:space="preserve"> </w:t>
      </w:r>
      <w:r w:rsidR="009420C5">
        <w:t xml:space="preserve">Swinson, J. (2015). </w:t>
      </w:r>
      <w:r w:rsidR="009420C5">
        <w:rPr>
          <w:i/>
          <w:iCs/>
        </w:rPr>
        <w:t>The Consumer Rights Act – what it means for you</w:t>
      </w:r>
      <w:r w:rsidR="009420C5">
        <w:t>. [online] Which? Conversation. Available at:</w:t>
      </w:r>
      <w:r w:rsidR="009420C5" w:rsidRPr="009420C5">
        <w:t xml:space="preserve"> </w:t>
      </w:r>
      <w:hyperlink r:id="rId23" w:history="1">
        <w:r w:rsidR="009420C5" w:rsidRPr="0052676F">
          <w:rPr>
            <w:rStyle w:val="Hyperlink"/>
          </w:rPr>
          <w:t>https://conversation.which.co.uk/technology/consumer-rights-act-law-faulty-goods-digital-film-music-video-game-download/?msclkid=bae650b3b39211ec9046f2c1c9baafcf</w:t>
        </w:r>
      </w:hyperlink>
      <w:r w:rsidR="009420C5">
        <w:t xml:space="preserve">   [Accessed 3 Apr</w:t>
      </w:r>
      <w:r w:rsidR="00D53ADF">
        <w:t>il.</w:t>
      </w:r>
      <w:r w:rsidR="009420C5">
        <w:t xml:space="preserve"> 2022].</w:t>
      </w:r>
      <w:r w:rsidR="004568ED" w:rsidRPr="004568ED">
        <w:t xml:space="preserve"> </w:t>
      </w:r>
    </w:p>
    <w:p w14:paraId="23EEFF4E" w14:textId="77777777" w:rsidR="00D11BDC" w:rsidRDefault="004568ED" w:rsidP="009420C5">
      <w:pPr>
        <w:pStyle w:val="NormalWeb"/>
        <w:spacing w:before="0" w:beforeAutospacing="0" w:after="240" w:afterAutospacing="0" w:line="360" w:lineRule="auto"/>
      </w:pPr>
      <w:r w:rsidRPr="00D53ADF">
        <w:t xml:space="preserve">The Houses of Parliament Shop 12 Bridge Street, Parliament Square London SW1A 2JX CONTENTS. (n.d.). [online] Available at: </w:t>
      </w:r>
      <w:hyperlink r:id="rId24" w:history="1">
        <w:r w:rsidRPr="0052676F">
          <w:rPr>
            <w:rStyle w:val="Hyperlink"/>
          </w:rPr>
          <w:t>https://www.legislation.gov.uk/ukpga/2015/15/pdfs/ukpga_20150015_en.pdf</w:t>
        </w:r>
      </w:hyperlink>
      <w:r w:rsidRPr="00D53ADF">
        <w:t>.</w:t>
      </w:r>
      <w:r>
        <w:t xml:space="preserve"> [Accessed 3 April. 2022].</w:t>
      </w:r>
    </w:p>
    <w:p w14:paraId="7D25A63D" w14:textId="77777777" w:rsidR="00DA2205" w:rsidRDefault="00DA2205" w:rsidP="009420C5">
      <w:pPr>
        <w:pStyle w:val="NormalWeb"/>
        <w:spacing w:before="0" w:beforeAutospacing="0" w:after="240" w:afterAutospacing="0" w:line="360" w:lineRule="auto"/>
      </w:pPr>
    </w:p>
    <w:p w14:paraId="252219F2" w14:textId="77777777" w:rsidR="00DA2205" w:rsidRDefault="00DA2205" w:rsidP="009420C5">
      <w:pPr>
        <w:pStyle w:val="NormalWeb"/>
        <w:spacing w:before="0" w:beforeAutospacing="0" w:after="240" w:afterAutospacing="0" w:line="360" w:lineRule="auto"/>
      </w:pPr>
    </w:p>
    <w:p w14:paraId="119BD755" w14:textId="77777777" w:rsidR="00DA2205" w:rsidRDefault="00D11BDC" w:rsidP="00DA2205">
      <w:pPr>
        <w:pStyle w:val="NormalWeb"/>
        <w:spacing w:before="0" w:beforeAutospacing="0" w:after="240" w:afterAutospacing="0" w:line="360" w:lineRule="auto"/>
      </w:pPr>
      <w:r w:rsidRPr="00D11BDC">
        <w:lastRenderedPageBreak/>
        <w:t xml:space="preserve">Unfair Terms in Consumer Contracts: a new approach? Summary of the Issues Paper. (2012). [online] Available at: </w:t>
      </w:r>
      <w:hyperlink r:id="rId25" w:history="1">
        <w:r w:rsidRPr="00850BE9">
          <w:rPr>
            <w:rStyle w:val="Hyperlink"/>
          </w:rPr>
          <w:t>https://s3-eu-west-2.amazonaws.com/lawcom-prod-storage-11jsxou24uy7q/uploads/2015/06/unfair_terms_in_consumer_contracts_issues_summary.pdf</w:t>
        </w:r>
      </w:hyperlink>
      <w:r w:rsidRPr="00D11BDC">
        <w:t>.</w:t>
      </w:r>
      <w:r>
        <w:t xml:space="preserve"> [Accessed 22April 2022].</w:t>
      </w:r>
      <w:r w:rsidR="00DA2205">
        <w:t xml:space="preserve"> </w:t>
      </w:r>
    </w:p>
    <w:p w14:paraId="6700788B" w14:textId="4DEDE587" w:rsidR="009420C5" w:rsidRDefault="00BA720A" w:rsidP="009420C5">
      <w:pPr>
        <w:pStyle w:val="NormalWeb"/>
        <w:spacing w:before="0" w:beforeAutospacing="0" w:after="240" w:afterAutospacing="0" w:line="360" w:lineRule="auto"/>
      </w:pPr>
      <w:r w:rsidRPr="00BA720A">
        <w:t xml:space="preserve">Willett, C. (2010). Fairness and Consumer Decision Making under the Unfair Commercial Practices Directive. Journal of Consumer Policy, [online] 33(3), pp.247–273. Available at: </w:t>
      </w:r>
      <w:hyperlink r:id="rId26" w:anchor="citeas" w:history="1">
        <w:r w:rsidRPr="002F36CB">
          <w:rPr>
            <w:rStyle w:val="Hyperlink"/>
          </w:rPr>
          <w:t>https://link.springer.com/article/10.1007/s10603-010-9128-3#citeas</w:t>
        </w:r>
      </w:hyperlink>
      <w:r w:rsidRPr="00BA720A">
        <w:t>.</w:t>
      </w:r>
      <w:r>
        <w:t xml:space="preserve"> [Accessed 2 May 2022].</w:t>
      </w:r>
    </w:p>
    <w:p w14:paraId="4D66612A" w14:textId="77777777" w:rsidR="004568ED" w:rsidRDefault="004568ED" w:rsidP="00EE4961">
      <w:pPr>
        <w:pStyle w:val="NormalWeb"/>
        <w:spacing w:before="0" w:beforeAutospacing="0" w:after="240" w:afterAutospacing="0" w:line="360" w:lineRule="auto"/>
      </w:pPr>
    </w:p>
    <w:p w14:paraId="6D9D53E0" w14:textId="77777777" w:rsidR="004568ED" w:rsidRDefault="004568ED" w:rsidP="00EE4961">
      <w:pPr>
        <w:pStyle w:val="NormalWeb"/>
        <w:spacing w:before="0" w:beforeAutospacing="0" w:after="240" w:afterAutospacing="0" w:line="360" w:lineRule="auto"/>
      </w:pPr>
    </w:p>
    <w:p w14:paraId="43AAA6DD" w14:textId="6A8F85EF" w:rsidR="002B656D" w:rsidRDefault="00235E80" w:rsidP="00EE4961">
      <w:pPr>
        <w:pStyle w:val="NormalWeb"/>
        <w:spacing w:before="0" w:beforeAutospacing="0" w:after="240" w:afterAutospacing="0" w:line="360" w:lineRule="auto"/>
      </w:pPr>
      <w:r>
        <w:t>CASES</w:t>
      </w:r>
      <w:r w:rsidRPr="00235E80">
        <w:t xml:space="preserve"> </w:t>
      </w:r>
    </w:p>
    <w:p w14:paraId="3E606132" w14:textId="5DA5FB68" w:rsidR="00235E80" w:rsidRDefault="002B656D" w:rsidP="00EE4961">
      <w:pPr>
        <w:pStyle w:val="NormalWeb"/>
        <w:spacing w:before="0" w:beforeAutospacing="0" w:after="240" w:afterAutospacing="0" w:line="360" w:lineRule="auto"/>
      </w:pPr>
      <w:r w:rsidRPr="002B656D">
        <w:t xml:space="preserve">Hadley &amp; Anor v Baxendale &amp; </w:t>
      </w:r>
      <w:proofErr w:type="spellStart"/>
      <w:r w:rsidRPr="002B656D">
        <w:t>Ors</w:t>
      </w:r>
      <w:proofErr w:type="spellEnd"/>
      <w:r w:rsidRPr="002B656D">
        <w:t xml:space="preserve"> [1854] EWHC </w:t>
      </w:r>
      <w:proofErr w:type="spellStart"/>
      <w:r w:rsidRPr="002B656D">
        <w:t>Exch</w:t>
      </w:r>
      <w:proofErr w:type="spellEnd"/>
      <w:r w:rsidRPr="002B656D">
        <w:t xml:space="preserve"> J70</w:t>
      </w:r>
      <w:r>
        <w:t xml:space="preserve"> </w:t>
      </w:r>
    </w:p>
    <w:p w14:paraId="733A540F" w14:textId="4C5A46F1" w:rsidR="009420C5" w:rsidRDefault="00235E80" w:rsidP="00EE4961">
      <w:pPr>
        <w:pStyle w:val="NormalWeb"/>
        <w:spacing w:before="0" w:beforeAutospacing="0" w:after="240" w:afterAutospacing="0" w:line="360" w:lineRule="auto"/>
      </w:pPr>
      <w:r w:rsidRPr="00235E80">
        <w:t>R&amp;B Custom Brokers Co Ltd v United Dominions Trust Ltd [1998] 1 WLR 321</w:t>
      </w:r>
      <w:r>
        <w:t xml:space="preserve"> </w:t>
      </w:r>
    </w:p>
    <w:p w14:paraId="25E36FA3" w14:textId="77777777" w:rsidR="00235E80" w:rsidRDefault="00235E80" w:rsidP="00EE4961">
      <w:pPr>
        <w:pStyle w:val="NormalWeb"/>
        <w:spacing w:before="0" w:beforeAutospacing="0" w:after="240" w:afterAutospacing="0" w:line="360" w:lineRule="auto"/>
      </w:pPr>
    </w:p>
    <w:p w14:paraId="5D9481CE" w14:textId="77777777" w:rsidR="00235E80" w:rsidRDefault="00235E80" w:rsidP="00EE4961">
      <w:pPr>
        <w:pStyle w:val="NormalWeb"/>
        <w:spacing w:before="0" w:beforeAutospacing="0" w:after="240" w:afterAutospacing="0" w:line="360" w:lineRule="auto"/>
      </w:pPr>
    </w:p>
    <w:p w14:paraId="5268CC36" w14:textId="0599C7F4" w:rsidR="00BC1262" w:rsidRDefault="00EE4961" w:rsidP="00BC1262">
      <w:pPr>
        <w:pStyle w:val="NormalWeb"/>
        <w:spacing w:before="0" w:beforeAutospacing="0" w:after="240" w:afterAutospacing="0" w:line="360" w:lineRule="auto"/>
      </w:pPr>
      <w:r>
        <w:t xml:space="preserve"> </w:t>
      </w:r>
    </w:p>
    <w:p w14:paraId="1F7201FE" w14:textId="77777777" w:rsidR="00EE4961" w:rsidRDefault="00EE4961" w:rsidP="00BC1262">
      <w:pPr>
        <w:pStyle w:val="NormalWeb"/>
        <w:spacing w:before="0" w:beforeAutospacing="0" w:after="240" w:afterAutospacing="0" w:line="360" w:lineRule="auto"/>
      </w:pPr>
    </w:p>
    <w:p w14:paraId="0608265E" w14:textId="77777777" w:rsidR="00FE2122" w:rsidRDefault="00FE2122" w:rsidP="00B80A47">
      <w:pPr>
        <w:pStyle w:val="NormalWeb"/>
        <w:spacing w:before="0" w:beforeAutospacing="0" w:after="240" w:afterAutospacing="0" w:line="360" w:lineRule="auto"/>
        <w:rPr>
          <w:rFonts w:ascii="Arial" w:hAnsi="Arial" w:cs="Arial"/>
        </w:rPr>
      </w:pPr>
    </w:p>
    <w:p w14:paraId="05A8A3A4" w14:textId="77777777" w:rsidR="00FE2122" w:rsidRDefault="00FE2122" w:rsidP="00B80A47">
      <w:pPr>
        <w:pStyle w:val="NormalWeb"/>
        <w:spacing w:before="0" w:beforeAutospacing="0" w:after="240" w:afterAutospacing="0" w:line="360" w:lineRule="auto"/>
        <w:rPr>
          <w:rFonts w:ascii="Arial" w:hAnsi="Arial" w:cs="Arial"/>
        </w:rPr>
      </w:pPr>
    </w:p>
    <w:p w14:paraId="0E8F6B81" w14:textId="77777777" w:rsidR="00FE2122" w:rsidRDefault="00FE2122" w:rsidP="00B80A47">
      <w:pPr>
        <w:pStyle w:val="NormalWeb"/>
        <w:spacing w:before="0" w:beforeAutospacing="0" w:after="240" w:afterAutospacing="0" w:line="360" w:lineRule="auto"/>
        <w:rPr>
          <w:rFonts w:ascii="Arial" w:hAnsi="Arial" w:cs="Arial"/>
        </w:rPr>
      </w:pPr>
    </w:p>
    <w:p w14:paraId="5F3A172C" w14:textId="77777777" w:rsidR="00FE2122" w:rsidRDefault="00FE2122" w:rsidP="00B80A47">
      <w:pPr>
        <w:pStyle w:val="NormalWeb"/>
        <w:spacing w:before="0" w:beforeAutospacing="0" w:after="240" w:afterAutospacing="0" w:line="360" w:lineRule="auto"/>
        <w:rPr>
          <w:rFonts w:ascii="Arial" w:hAnsi="Arial" w:cs="Arial"/>
        </w:rPr>
      </w:pPr>
    </w:p>
    <w:p w14:paraId="7C42EB92" w14:textId="268A0A0A" w:rsidR="00D210C4" w:rsidRDefault="00D210C4" w:rsidP="00D210C4">
      <w:pPr>
        <w:rPr>
          <w:rFonts w:ascii="Arial" w:hAnsi="Arial" w:cs="Arial"/>
          <w:sz w:val="24"/>
          <w:szCs w:val="24"/>
        </w:rPr>
      </w:pPr>
    </w:p>
    <w:p w14:paraId="697600DD" w14:textId="77777777" w:rsidR="00220D35" w:rsidRDefault="00220D35" w:rsidP="00D210C4">
      <w:pPr>
        <w:rPr>
          <w:rFonts w:ascii="Arial" w:hAnsi="Arial" w:cs="Arial"/>
          <w:sz w:val="24"/>
          <w:szCs w:val="24"/>
        </w:rPr>
      </w:pPr>
    </w:p>
    <w:p w14:paraId="6F4BA920" w14:textId="77777777" w:rsidR="00D210C4" w:rsidRDefault="00D210C4" w:rsidP="00D210C4">
      <w:pPr>
        <w:rPr>
          <w:rFonts w:ascii="Arial" w:hAnsi="Arial" w:cs="Arial"/>
          <w:sz w:val="24"/>
          <w:szCs w:val="24"/>
        </w:rPr>
      </w:pPr>
    </w:p>
    <w:p w14:paraId="6A7360DE" w14:textId="77777777" w:rsidR="00D210C4" w:rsidRDefault="00D210C4" w:rsidP="00D210C4">
      <w:pPr>
        <w:rPr>
          <w:rFonts w:ascii="Arial" w:hAnsi="Arial" w:cs="Arial"/>
          <w:sz w:val="24"/>
          <w:szCs w:val="24"/>
        </w:rPr>
      </w:pPr>
    </w:p>
    <w:p w14:paraId="36ADE8DE" w14:textId="77777777" w:rsidR="00D210C4" w:rsidRDefault="00D210C4" w:rsidP="00D210C4">
      <w:pPr>
        <w:rPr>
          <w:rFonts w:ascii="Arial" w:hAnsi="Arial" w:cs="Arial"/>
          <w:sz w:val="24"/>
          <w:szCs w:val="24"/>
        </w:rPr>
      </w:pPr>
    </w:p>
    <w:p w14:paraId="2C3404CB" w14:textId="77777777" w:rsidR="00D210C4" w:rsidRDefault="00D210C4" w:rsidP="007301A4">
      <w:pPr>
        <w:rPr>
          <w:rFonts w:ascii="Arial" w:hAnsi="Arial" w:cs="Arial"/>
          <w:sz w:val="24"/>
          <w:szCs w:val="24"/>
        </w:rPr>
      </w:pPr>
    </w:p>
    <w:p w14:paraId="332100C5" w14:textId="14274FC0" w:rsidR="00D210C4" w:rsidRDefault="00D210C4" w:rsidP="007301A4">
      <w:pPr>
        <w:rPr>
          <w:rFonts w:ascii="Arial" w:hAnsi="Arial" w:cs="Arial"/>
          <w:sz w:val="24"/>
          <w:szCs w:val="24"/>
        </w:rPr>
      </w:pPr>
    </w:p>
    <w:p w14:paraId="432B257B" w14:textId="6949CA61" w:rsidR="00D210C4" w:rsidRDefault="00D210C4" w:rsidP="007301A4">
      <w:pPr>
        <w:rPr>
          <w:rFonts w:ascii="Arial" w:hAnsi="Arial" w:cs="Arial"/>
          <w:sz w:val="24"/>
          <w:szCs w:val="24"/>
        </w:rPr>
      </w:pPr>
    </w:p>
    <w:p w14:paraId="4EE5DE41" w14:textId="638C367B" w:rsidR="00D210C4" w:rsidRDefault="00D210C4" w:rsidP="007301A4">
      <w:pPr>
        <w:rPr>
          <w:rFonts w:ascii="Arial" w:hAnsi="Arial" w:cs="Arial"/>
          <w:sz w:val="24"/>
          <w:szCs w:val="24"/>
        </w:rPr>
      </w:pPr>
    </w:p>
    <w:p w14:paraId="151308D8" w14:textId="1646F920" w:rsidR="00D210C4" w:rsidRDefault="00D210C4" w:rsidP="007301A4">
      <w:pPr>
        <w:rPr>
          <w:rFonts w:ascii="Arial" w:hAnsi="Arial" w:cs="Arial"/>
          <w:sz w:val="24"/>
          <w:szCs w:val="24"/>
        </w:rPr>
      </w:pPr>
    </w:p>
    <w:sectPr w:rsidR="00D210C4" w:rsidSect="00C26949">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CF5BD" w14:textId="77777777" w:rsidR="004654C0" w:rsidRDefault="004654C0" w:rsidP="00C249D2">
      <w:pPr>
        <w:spacing w:after="0" w:line="240" w:lineRule="auto"/>
      </w:pPr>
      <w:r>
        <w:separator/>
      </w:r>
    </w:p>
  </w:endnote>
  <w:endnote w:type="continuationSeparator" w:id="0">
    <w:p w14:paraId="09E19E9B" w14:textId="77777777" w:rsidR="004654C0" w:rsidRDefault="004654C0" w:rsidP="00C24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6F10E" w14:textId="77777777" w:rsidR="00C249D2" w:rsidRDefault="00C249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D7E01" w14:textId="77777777" w:rsidR="00C249D2" w:rsidRDefault="00C249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C8934" w14:textId="77777777" w:rsidR="00C249D2" w:rsidRDefault="00C24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80E6F" w14:textId="77777777" w:rsidR="004654C0" w:rsidRDefault="004654C0" w:rsidP="00C249D2">
      <w:pPr>
        <w:spacing w:after="0" w:line="240" w:lineRule="auto"/>
      </w:pPr>
      <w:r>
        <w:separator/>
      </w:r>
    </w:p>
  </w:footnote>
  <w:footnote w:type="continuationSeparator" w:id="0">
    <w:p w14:paraId="12053030" w14:textId="77777777" w:rsidR="004654C0" w:rsidRDefault="004654C0" w:rsidP="00C24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D77A4" w14:textId="77777777" w:rsidR="00C249D2" w:rsidRDefault="00C249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DCAEF" w14:textId="77777777" w:rsidR="00C249D2" w:rsidRPr="00C249D2" w:rsidRDefault="00C249D2" w:rsidP="00C249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EBD33" w14:textId="77777777" w:rsidR="00C249D2" w:rsidRDefault="00C24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7560B"/>
    <w:multiLevelType w:val="hybridMultilevel"/>
    <w:tmpl w:val="D85CF8EE"/>
    <w:lvl w:ilvl="0" w:tplc="014C228C">
      <w:start w:val="2000"/>
      <w:numFmt w:val="bullet"/>
      <w:lvlText w:val="-"/>
      <w:lvlJc w:val="left"/>
      <w:pPr>
        <w:ind w:left="720" w:hanging="360"/>
      </w:pPr>
      <w:rPr>
        <w:rFonts w:ascii="Times New Roman" w:eastAsia="Times New Roman" w:hAnsi="Times New Roman" w:cs="Times New Roman" w:hint="default"/>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41744407">
    <w:abstractNumId w:val="0"/>
  </w:num>
  <w:num w:numId="2" w16cid:durableId="2038461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01A4"/>
    <w:rsid w:val="00002193"/>
    <w:rsid w:val="00005012"/>
    <w:rsid w:val="00011ED0"/>
    <w:rsid w:val="00023AB5"/>
    <w:rsid w:val="00033A59"/>
    <w:rsid w:val="00034227"/>
    <w:rsid w:val="0003650A"/>
    <w:rsid w:val="00044CDE"/>
    <w:rsid w:val="00062ABF"/>
    <w:rsid w:val="000747FE"/>
    <w:rsid w:val="000811A0"/>
    <w:rsid w:val="0009466D"/>
    <w:rsid w:val="00095421"/>
    <w:rsid w:val="000A233C"/>
    <w:rsid w:val="000A32C8"/>
    <w:rsid w:val="000A3DE3"/>
    <w:rsid w:val="000A6840"/>
    <w:rsid w:val="000C3BA7"/>
    <w:rsid w:val="000C70CD"/>
    <w:rsid w:val="000C7DA1"/>
    <w:rsid w:val="00106CF5"/>
    <w:rsid w:val="00124D87"/>
    <w:rsid w:val="00135D1C"/>
    <w:rsid w:val="001375D7"/>
    <w:rsid w:val="001537DD"/>
    <w:rsid w:val="00162A77"/>
    <w:rsid w:val="00164711"/>
    <w:rsid w:val="0018204D"/>
    <w:rsid w:val="00191973"/>
    <w:rsid w:val="001C1752"/>
    <w:rsid w:val="001D55A9"/>
    <w:rsid w:val="001E09B0"/>
    <w:rsid w:val="001E21D4"/>
    <w:rsid w:val="00217505"/>
    <w:rsid w:val="00220D35"/>
    <w:rsid w:val="00221FD6"/>
    <w:rsid w:val="00222E12"/>
    <w:rsid w:val="0022356B"/>
    <w:rsid w:val="00223988"/>
    <w:rsid w:val="00224552"/>
    <w:rsid w:val="00235E80"/>
    <w:rsid w:val="00251BAA"/>
    <w:rsid w:val="00254FF3"/>
    <w:rsid w:val="0027382F"/>
    <w:rsid w:val="00284BF1"/>
    <w:rsid w:val="00285B4D"/>
    <w:rsid w:val="002A2949"/>
    <w:rsid w:val="002A342D"/>
    <w:rsid w:val="002B656D"/>
    <w:rsid w:val="002D20E1"/>
    <w:rsid w:val="003008D4"/>
    <w:rsid w:val="003026F8"/>
    <w:rsid w:val="0030475A"/>
    <w:rsid w:val="00304A2E"/>
    <w:rsid w:val="00305DC2"/>
    <w:rsid w:val="00305E32"/>
    <w:rsid w:val="00305EA8"/>
    <w:rsid w:val="00341A29"/>
    <w:rsid w:val="003479BD"/>
    <w:rsid w:val="00356F1F"/>
    <w:rsid w:val="003748CB"/>
    <w:rsid w:val="00375184"/>
    <w:rsid w:val="00383486"/>
    <w:rsid w:val="00383E06"/>
    <w:rsid w:val="003B0B7A"/>
    <w:rsid w:val="003D2B17"/>
    <w:rsid w:val="003D6677"/>
    <w:rsid w:val="003D7418"/>
    <w:rsid w:val="003F5AF4"/>
    <w:rsid w:val="00400703"/>
    <w:rsid w:val="00410713"/>
    <w:rsid w:val="00413820"/>
    <w:rsid w:val="00417923"/>
    <w:rsid w:val="00421304"/>
    <w:rsid w:val="00424EFC"/>
    <w:rsid w:val="004568ED"/>
    <w:rsid w:val="004654C0"/>
    <w:rsid w:val="004711E7"/>
    <w:rsid w:val="0047393D"/>
    <w:rsid w:val="00475DD7"/>
    <w:rsid w:val="004A40A1"/>
    <w:rsid w:val="004B1C18"/>
    <w:rsid w:val="004B2B60"/>
    <w:rsid w:val="004B7F6E"/>
    <w:rsid w:val="004C469E"/>
    <w:rsid w:val="004E16F6"/>
    <w:rsid w:val="004E3D0B"/>
    <w:rsid w:val="00507C60"/>
    <w:rsid w:val="00511EBA"/>
    <w:rsid w:val="0051363A"/>
    <w:rsid w:val="005239AB"/>
    <w:rsid w:val="0053706A"/>
    <w:rsid w:val="00542BAA"/>
    <w:rsid w:val="0057529D"/>
    <w:rsid w:val="00594CF7"/>
    <w:rsid w:val="005B6E03"/>
    <w:rsid w:val="005C74ED"/>
    <w:rsid w:val="005E0DD5"/>
    <w:rsid w:val="00602DBA"/>
    <w:rsid w:val="00615AD0"/>
    <w:rsid w:val="00642572"/>
    <w:rsid w:val="00644AC8"/>
    <w:rsid w:val="006574F8"/>
    <w:rsid w:val="006710EA"/>
    <w:rsid w:val="006766C9"/>
    <w:rsid w:val="00677B65"/>
    <w:rsid w:val="006850EF"/>
    <w:rsid w:val="006A4819"/>
    <w:rsid w:val="006A4C3D"/>
    <w:rsid w:val="006D7551"/>
    <w:rsid w:val="006E60CC"/>
    <w:rsid w:val="007301A4"/>
    <w:rsid w:val="0075143E"/>
    <w:rsid w:val="00755973"/>
    <w:rsid w:val="00764699"/>
    <w:rsid w:val="007716F9"/>
    <w:rsid w:val="007865DC"/>
    <w:rsid w:val="00792456"/>
    <w:rsid w:val="007D5E30"/>
    <w:rsid w:val="008018F9"/>
    <w:rsid w:val="008327E9"/>
    <w:rsid w:val="00840A29"/>
    <w:rsid w:val="008543C0"/>
    <w:rsid w:val="00873129"/>
    <w:rsid w:val="00874213"/>
    <w:rsid w:val="00890675"/>
    <w:rsid w:val="008B685A"/>
    <w:rsid w:val="008C3D0B"/>
    <w:rsid w:val="008E0A6B"/>
    <w:rsid w:val="008F167F"/>
    <w:rsid w:val="00914CFD"/>
    <w:rsid w:val="00915313"/>
    <w:rsid w:val="00916762"/>
    <w:rsid w:val="009170F0"/>
    <w:rsid w:val="0092207F"/>
    <w:rsid w:val="009420C5"/>
    <w:rsid w:val="009432F1"/>
    <w:rsid w:val="009466E7"/>
    <w:rsid w:val="00977188"/>
    <w:rsid w:val="00981153"/>
    <w:rsid w:val="00983085"/>
    <w:rsid w:val="009A0536"/>
    <w:rsid w:val="009B298B"/>
    <w:rsid w:val="009B4526"/>
    <w:rsid w:val="009C5AEF"/>
    <w:rsid w:val="009D6DA1"/>
    <w:rsid w:val="00A11A38"/>
    <w:rsid w:val="00A140FD"/>
    <w:rsid w:val="00A34975"/>
    <w:rsid w:val="00A36CD3"/>
    <w:rsid w:val="00A412EA"/>
    <w:rsid w:val="00A437EF"/>
    <w:rsid w:val="00A447FE"/>
    <w:rsid w:val="00A46798"/>
    <w:rsid w:val="00A52301"/>
    <w:rsid w:val="00A54FB7"/>
    <w:rsid w:val="00A63ECB"/>
    <w:rsid w:val="00A858FE"/>
    <w:rsid w:val="00A922C2"/>
    <w:rsid w:val="00A93124"/>
    <w:rsid w:val="00AC3970"/>
    <w:rsid w:val="00AE2D2B"/>
    <w:rsid w:val="00AF0A3B"/>
    <w:rsid w:val="00AF5727"/>
    <w:rsid w:val="00B077C7"/>
    <w:rsid w:val="00B11DC9"/>
    <w:rsid w:val="00B12B0E"/>
    <w:rsid w:val="00B169AB"/>
    <w:rsid w:val="00B263F4"/>
    <w:rsid w:val="00B35675"/>
    <w:rsid w:val="00B61306"/>
    <w:rsid w:val="00B637FE"/>
    <w:rsid w:val="00B757D3"/>
    <w:rsid w:val="00B75EA7"/>
    <w:rsid w:val="00B80A47"/>
    <w:rsid w:val="00BA557A"/>
    <w:rsid w:val="00BA720A"/>
    <w:rsid w:val="00BB7287"/>
    <w:rsid w:val="00BC1262"/>
    <w:rsid w:val="00BD2F40"/>
    <w:rsid w:val="00C23090"/>
    <w:rsid w:val="00C249D2"/>
    <w:rsid w:val="00C26949"/>
    <w:rsid w:val="00C30675"/>
    <w:rsid w:val="00C647DF"/>
    <w:rsid w:val="00C72CCA"/>
    <w:rsid w:val="00C7545A"/>
    <w:rsid w:val="00C84584"/>
    <w:rsid w:val="00C84BB9"/>
    <w:rsid w:val="00C94E6C"/>
    <w:rsid w:val="00CA59C1"/>
    <w:rsid w:val="00CB0C27"/>
    <w:rsid w:val="00CE7D88"/>
    <w:rsid w:val="00D01047"/>
    <w:rsid w:val="00D02410"/>
    <w:rsid w:val="00D11BDC"/>
    <w:rsid w:val="00D12F6B"/>
    <w:rsid w:val="00D153CF"/>
    <w:rsid w:val="00D210C4"/>
    <w:rsid w:val="00D23297"/>
    <w:rsid w:val="00D46BCD"/>
    <w:rsid w:val="00D47F12"/>
    <w:rsid w:val="00D52384"/>
    <w:rsid w:val="00D53ADF"/>
    <w:rsid w:val="00D657B8"/>
    <w:rsid w:val="00D71749"/>
    <w:rsid w:val="00D866EE"/>
    <w:rsid w:val="00D9629C"/>
    <w:rsid w:val="00D97151"/>
    <w:rsid w:val="00DA2205"/>
    <w:rsid w:val="00DB14A0"/>
    <w:rsid w:val="00DB25D8"/>
    <w:rsid w:val="00DB624F"/>
    <w:rsid w:val="00DD3E21"/>
    <w:rsid w:val="00E021FB"/>
    <w:rsid w:val="00E13338"/>
    <w:rsid w:val="00E27BE9"/>
    <w:rsid w:val="00E41AC9"/>
    <w:rsid w:val="00E43EF3"/>
    <w:rsid w:val="00E5442F"/>
    <w:rsid w:val="00E7224F"/>
    <w:rsid w:val="00E80612"/>
    <w:rsid w:val="00E87611"/>
    <w:rsid w:val="00EA57E4"/>
    <w:rsid w:val="00EC001A"/>
    <w:rsid w:val="00EC369E"/>
    <w:rsid w:val="00EC69B0"/>
    <w:rsid w:val="00EE1D09"/>
    <w:rsid w:val="00EE4961"/>
    <w:rsid w:val="00EE5342"/>
    <w:rsid w:val="00EE795B"/>
    <w:rsid w:val="00F1556D"/>
    <w:rsid w:val="00F239D8"/>
    <w:rsid w:val="00F23D0A"/>
    <w:rsid w:val="00F3741F"/>
    <w:rsid w:val="00F61AE8"/>
    <w:rsid w:val="00F76A0D"/>
    <w:rsid w:val="00FC0C99"/>
    <w:rsid w:val="00FC60DE"/>
    <w:rsid w:val="00FC709A"/>
    <w:rsid w:val="00FD1657"/>
    <w:rsid w:val="00FD5B08"/>
    <w:rsid w:val="00FE2122"/>
    <w:rsid w:val="00FE4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025337E"/>
  <w15:docId w15:val="{A1246765-552F-4BAE-A2DA-0D983F87D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5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1A4"/>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A437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37EF"/>
    <w:rPr>
      <w:color w:val="0563C1" w:themeColor="hyperlink"/>
      <w:u w:val="single"/>
    </w:rPr>
  </w:style>
  <w:style w:type="character" w:styleId="UnresolvedMention">
    <w:name w:val="Unresolved Mention"/>
    <w:basedOn w:val="DefaultParagraphFont"/>
    <w:uiPriority w:val="99"/>
    <w:semiHidden/>
    <w:unhideWhenUsed/>
    <w:rsid w:val="00A437EF"/>
    <w:rPr>
      <w:color w:val="605E5C"/>
      <w:shd w:val="clear" w:color="auto" w:fill="E1DFDD"/>
    </w:rPr>
  </w:style>
  <w:style w:type="paragraph" w:styleId="Header">
    <w:name w:val="header"/>
    <w:basedOn w:val="Normal"/>
    <w:link w:val="HeaderChar"/>
    <w:uiPriority w:val="99"/>
    <w:unhideWhenUsed/>
    <w:rsid w:val="00C24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9D2"/>
  </w:style>
  <w:style w:type="paragraph" w:styleId="Footer">
    <w:name w:val="footer"/>
    <w:basedOn w:val="Normal"/>
    <w:link w:val="FooterChar"/>
    <w:uiPriority w:val="99"/>
    <w:unhideWhenUsed/>
    <w:rsid w:val="00C24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9D2"/>
  </w:style>
  <w:style w:type="character" w:styleId="FollowedHyperlink">
    <w:name w:val="FollowedHyperlink"/>
    <w:basedOn w:val="DefaultParagraphFont"/>
    <w:uiPriority w:val="99"/>
    <w:semiHidden/>
    <w:unhideWhenUsed/>
    <w:rsid w:val="00A54FB7"/>
    <w:rPr>
      <w:color w:val="954F72" w:themeColor="followedHyperlink"/>
      <w:u w:val="single"/>
    </w:rPr>
  </w:style>
  <w:style w:type="paragraph" w:styleId="NoSpacing">
    <w:name w:val="No Spacing"/>
    <w:link w:val="NoSpacingChar"/>
    <w:uiPriority w:val="1"/>
    <w:qFormat/>
    <w:rsid w:val="00C269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694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8059">
      <w:bodyDiv w:val="1"/>
      <w:marLeft w:val="0"/>
      <w:marRight w:val="0"/>
      <w:marTop w:val="0"/>
      <w:marBottom w:val="0"/>
      <w:divBdr>
        <w:top w:val="none" w:sz="0" w:space="0" w:color="auto"/>
        <w:left w:val="none" w:sz="0" w:space="0" w:color="auto"/>
        <w:bottom w:val="none" w:sz="0" w:space="0" w:color="auto"/>
        <w:right w:val="none" w:sz="0" w:space="0" w:color="auto"/>
      </w:divBdr>
      <w:divsChild>
        <w:div w:id="284889586">
          <w:marLeft w:val="0"/>
          <w:marRight w:val="0"/>
          <w:marTop w:val="0"/>
          <w:marBottom w:val="0"/>
          <w:divBdr>
            <w:top w:val="none" w:sz="0" w:space="0" w:color="auto"/>
            <w:left w:val="none" w:sz="0" w:space="0" w:color="auto"/>
            <w:bottom w:val="none" w:sz="0" w:space="0" w:color="auto"/>
            <w:right w:val="none" w:sz="0" w:space="0" w:color="auto"/>
          </w:divBdr>
        </w:div>
      </w:divsChild>
    </w:div>
    <w:div w:id="131948245">
      <w:bodyDiv w:val="1"/>
      <w:marLeft w:val="0"/>
      <w:marRight w:val="0"/>
      <w:marTop w:val="0"/>
      <w:marBottom w:val="0"/>
      <w:divBdr>
        <w:top w:val="none" w:sz="0" w:space="0" w:color="auto"/>
        <w:left w:val="none" w:sz="0" w:space="0" w:color="auto"/>
        <w:bottom w:val="none" w:sz="0" w:space="0" w:color="auto"/>
        <w:right w:val="none" w:sz="0" w:space="0" w:color="auto"/>
      </w:divBdr>
      <w:divsChild>
        <w:div w:id="1844932576">
          <w:marLeft w:val="0"/>
          <w:marRight w:val="0"/>
          <w:marTop w:val="0"/>
          <w:marBottom w:val="0"/>
          <w:divBdr>
            <w:top w:val="none" w:sz="0" w:space="0" w:color="auto"/>
            <w:left w:val="none" w:sz="0" w:space="0" w:color="auto"/>
            <w:bottom w:val="none" w:sz="0" w:space="0" w:color="auto"/>
            <w:right w:val="none" w:sz="0" w:space="0" w:color="auto"/>
          </w:divBdr>
        </w:div>
      </w:divsChild>
    </w:div>
    <w:div w:id="258099027">
      <w:bodyDiv w:val="1"/>
      <w:marLeft w:val="0"/>
      <w:marRight w:val="0"/>
      <w:marTop w:val="0"/>
      <w:marBottom w:val="0"/>
      <w:divBdr>
        <w:top w:val="none" w:sz="0" w:space="0" w:color="auto"/>
        <w:left w:val="none" w:sz="0" w:space="0" w:color="auto"/>
        <w:bottom w:val="none" w:sz="0" w:space="0" w:color="auto"/>
        <w:right w:val="none" w:sz="0" w:space="0" w:color="auto"/>
      </w:divBdr>
      <w:divsChild>
        <w:div w:id="2009862826">
          <w:marLeft w:val="0"/>
          <w:marRight w:val="0"/>
          <w:marTop w:val="0"/>
          <w:marBottom w:val="0"/>
          <w:divBdr>
            <w:top w:val="none" w:sz="0" w:space="0" w:color="auto"/>
            <w:left w:val="none" w:sz="0" w:space="0" w:color="auto"/>
            <w:bottom w:val="none" w:sz="0" w:space="0" w:color="auto"/>
            <w:right w:val="none" w:sz="0" w:space="0" w:color="auto"/>
          </w:divBdr>
        </w:div>
      </w:divsChild>
    </w:div>
    <w:div w:id="374932431">
      <w:bodyDiv w:val="1"/>
      <w:marLeft w:val="0"/>
      <w:marRight w:val="0"/>
      <w:marTop w:val="0"/>
      <w:marBottom w:val="0"/>
      <w:divBdr>
        <w:top w:val="none" w:sz="0" w:space="0" w:color="auto"/>
        <w:left w:val="none" w:sz="0" w:space="0" w:color="auto"/>
        <w:bottom w:val="none" w:sz="0" w:space="0" w:color="auto"/>
        <w:right w:val="none" w:sz="0" w:space="0" w:color="auto"/>
      </w:divBdr>
    </w:div>
    <w:div w:id="532152597">
      <w:bodyDiv w:val="1"/>
      <w:marLeft w:val="0"/>
      <w:marRight w:val="0"/>
      <w:marTop w:val="0"/>
      <w:marBottom w:val="0"/>
      <w:divBdr>
        <w:top w:val="none" w:sz="0" w:space="0" w:color="auto"/>
        <w:left w:val="none" w:sz="0" w:space="0" w:color="auto"/>
        <w:bottom w:val="none" w:sz="0" w:space="0" w:color="auto"/>
        <w:right w:val="none" w:sz="0" w:space="0" w:color="auto"/>
      </w:divBdr>
    </w:div>
    <w:div w:id="577594316">
      <w:bodyDiv w:val="1"/>
      <w:marLeft w:val="0"/>
      <w:marRight w:val="0"/>
      <w:marTop w:val="0"/>
      <w:marBottom w:val="0"/>
      <w:divBdr>
        <w:top w:val="none" w:sz="0" w:space="0" w:color="auto"/>
        <w:left w:val="none" w:sz="0" w:space="0" w:color="auto"/>
        <w:bottom w:val="none" w:sz="0" w:space="0" w:color="auto"/>
        <w:right w:val="none" w:sz="0" w:space="0" w:color="auto"/>
      </w:divBdr>
      <w:divsChild>
        <w:div w:id="726534486">
          <w:marLeft w:val="0"/>
          <w:marRight w:val="0"/>
          <w:marTop w:val="0"/>
          <w:marBottom w:val="0"/>
          <w:divBdr>
            <w:top w:val="none" w:sz="0" w:space="0" w:color="auto"/>
            <w:left w:val="none" w:sz="0" w:space="0" w:color="auto"/>
            <w:bottom w:val="none" w:sz="0" w:space="0" w:color="auto"/>
            <w:right w:val="none" w:sz="0" w:space="0" w:color="auto"/>
          </w:divBdr>
        </w:div>
      </w:divsChild>
    </w:div>
    <w:div w:id="596865667">
      <w:bodyDiv w:val="1"/>
      <w:marLeft w:val="0"/>
      <w:marRight w:val="0"/>
      <w:marTop w:val="0"/>
      <w:marBottom w:val="0"/>
      <w:divBdr>
        <w:top w:val="none" w:sz="0" w:space="0" w:color="auto"/>
        <w:left w:val="none" w:sz="0" w:space="0" w:color="auto"/>
        <w:bottom w:val="none" w:sz="0" w:space="0" w:color="auto"/>
        <w:right w:val="none" w:sz="0" w:space="0" w:color="auto"/>
      </w:divBdr>
      <w:divsChild>
        <w:div w:id="980619790">
          <w:marLeft w:val="0"/>
          <w:marRight w:val="0"/>
          <w:marTop w:val="0"/>
          <w:marBottom w:val="0"/>
          <w:divBdr>
            <w:top w:val="none" w:sz="0" w:space="0" w:color="auto"/>
            <w:left w:val="none" w:sz="0" w:space="0" w:color="auto"/>
            <w:bottom w:val="none" w:sz="0" w:space="0" w:color="auto"/>
            <w:right w:val="none" w:sz="0" w:space="0" w:color="auto"/>
          </w:divBdr>
        </w:div>
      </w:divsChild>
    </w:div>
    <w:div w:id="609778631">
      <w:bodyDiv w:val="1"/>
      <w:marLeft w:val="0"/>
      <w:marRight w:val="0"/>
      <w:marTop w:val="0"/>
      <w:marBottom w:val="0"/>
      <w:divBdr>
        <w:top w:val="none" w:sz="0" w:space="0" w:color="auto"/>
        <w:left w:val="none" w:sz="0" w:space="0" w:color="auto"/>
        <w:bottom w:val="none" w:sz="0" w:space="0" w:color="auto"/>
        <w:right w:val="none" w:sz="0" w:space="0" w:color="auto"/>
      </w:divBdr>
    </w:div>
    <w:div w:id="642467711">
      <w:bodyDiv w:val="1"/>
      <w:marLeft w:val="0"/>
      <w:marRight w:val="0"/>
      <w:marTop w:val="0"/>
      <w:marBottom w:val="0"/>
      <w:divBdr>
        <w:top w:val="none" w:sz="0" w:space="0" w:color="auto"/>
        <w:left w:val="none" w:sz="0" w:space="0" w:color="auto"/>
        <w:bottom w:val="none" w:sz="0" w:space="0" w:color="auto"/>
        <w:right w:val="none" w:sz="0" w:space="0" w:color="auto"/>
      </w:divBdr>
    </w:div>
    <w:div w:id="915479061">
      <w:bodyDiv w:val="1"/>
      <w:marLeft w:val="0"/>
      <w:marRight w:val="0"/>
      <w:marTop w:val="0"/>
      <w:marBottom w:val="0"/>
      <w:divBdr>
        <w:top w:val="none" w:sz="0" w:space="0" w:color="auto"/>
        <w:left w:val="none" w:sz="0" w:space="0" w:color="auto"/>
        <w:bottom w:val="none" w:sz="0" w:space="0" w:color="auto"/>
        <w:right w:val="none" w:sz="0" w:space="0" w:color="auto"/>
      </w:divBdr>
    </w:div>
    <w:div w:id="988945495">
      <w:bodyDiv w:val="1"/>
      <w:marLeft w:val="0"/>
      <w:marRight w:val="0"/>
      <w:marTop w:val="0"/>
      <w:marBottom w:val="0"/>
      <w:divBdr>
        <w:top w:val="none" w:sz="0" w:space="0" w:color="auto"/>
        <w:left w:val="none" w:sz="0" w:space="0" w:color="auto"/>
        <w:bottom w:val="none" w:sz="0" w:space="0" w:color="auto"/>
        <w:right w:val="none" w:sz="0" w:space="0" w:color="auto"/>
      </w:divBdr>
      <w:divsChild>
        <w:div w:id="2097482687">
          <w:marLeft w:val="0"/>
          <w:marRight w:val="0"/>
          <w:marTop w:val="0"/>
          <w:marBottom w:val="0"/>
          <w:divBdr>
            <w:top w:val="none" w:sz="0" w:space="0" w:color="auto"/>
            <w:left w:val="none" w:sz="0" w:space="0" w:color="auto"/>
            <w:bottom w:val="none" w:sz="0" w:space="0" w:color="auto"/>
            <w:right w:val="none" w:sz="0" w:space="0" w:color="auto"/>
          </w:divBdr>
        </w:div>
      </w:divsChild>
    </w:div>
    <w:div w:id="1305742667">
      <w:bodyDiv w:val="1"/>
      <w:marLeft w:val="0"/>
      <w:marRight w:val="0"/>
      <w:marTop w:val="0"/>
      <w:marBottom w:val="0"/>
      <w:divBdr>
        <w:top w:val="none" w:sz="0" w:space="0" w:color="auto"/>
        <w:left w:val="none" w:sz="0" w:space="0" w:color="auto"/>
        <w:bottom w:val="none" w:sz="0" w:space="0" w:color="auto"/>
        <w:right w:val="none" w:sz="0" w:space="0" w:color="auto"/>
      </w:divBdr>
      <w:divsChild>
        <w:div w:id="2010325220">
          <w:marLeft w:val="0"/>
          <w:marRight w:val="0"/>
          <w:marTop w:val="0"/>
          <w:marBottom w:val="0"/>
          <w:divBdr>
            <w:top w:val="none" w:sz="0" w:space="0" w:color="auto"/>
            <w:left w:val="none" w:sz="0" w:space="0" w:color="auto"/>
            <w:bottom w:val="none" w:sz="0" w:space="0" w:color="auto"/>
            <w:right w:val="none" w:sz="0" w:space="0" w:color="auto"/>
          </w:divBdr>
        </w:div>
      </w:divsChild>
    </w:div>
    <w:div w:id="1736512670">
      <w:bodyDiv w:val="1"/>
      <w:marLeft w:val="0"/>
      <w:marRight w:val="0"/>
      <w:marTop w:val="0"/>
      <w:marBottom w:val="0"/>
      <w:divBdr>
        <w:top w:val="none" w:sz="0" w:space="0" w:color="auto"/>
        <w:left w:val="none" w:sz="0" w:space="0" w:color="auto"/>
        <w:bottom w:val="none" w:sz="0" w:space="0" w:color="auto"/>
        <w:right w:val="none" w:sz="0" w:space="0" w:color="auto"/>
      </w:divBdr>
      <w:divsChild>
        <w:div w:id="240412518">
          <w:marLeft w:val="0"/>
          <w:marRight w:val="0"/>
          <w:marTop w:val="0"/>
          <w:marBottom w:val="0"/>
          <w:divBdr>
            <w:top w:val="none" w:sz="0" w:space="0" w:color="auto"/>
            <w:left w:val="none" w:sz="0" w:space="0" w:color="auto"/>
            <w:bottom w:val="none" w:sz="0" w:space="0" w:color="auto"/>
            <w:right w:val="none" w:sz="0" w:space="0" w:color="auto"/>
          </w:divBdr>
        </w:div>
      </w:divsChild>
    </w:div>
    <w:div w:id="1786314921">
      <w:bodyDiv w:val="1"/>
      <w:marLeft w:val="0"/>
      <w:marRight w:val="0"/>
      <w:marTop w:val="0"/>
      <w:marBottom w:val="0"/>
      <w:divBdr>
        <w:top w:val="none" w:sz="0" w:space="0" w:color="auto"/>
        <w:left w:val="none" w:sz="0" w:space="0" w:color="auto"/>
        <w:bottom w:val="none" w:sz="0" w:space="0" w:color="auto"/>
        <w:right w:val="none" w:sz="0" w:space="0" w:color="auto"/>
      </w:divBdr>
    </w:div>
    <w:div w:id="1827814398">
      <w:bodyDiv w:val="1"/>
      <w:marLeft w:val="0"/>
      <w:marRight w:val="0"/>
      <w:marTop w:val="0"/>
      <w:marBottom w:val="0"/>
      <w:divBdr>
        <w:top w:val="none" w:sz="0" w:space="0" w:color="auto"/>
        <w:left w:val="none" w:sz="0" w:space="0" w:color="auto"/>
        <w:bottom w:val="none" w:sz="0" w:space="0" w:color="auto"/>
        <w:right w:val="none" w:sz="0" w:space="0" w:color="auto"/>
      </w:divBdr>
      <w:divsChild>
        <w:div w:id="4179915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5/15/notes" TargetMode="External"/><Relationship Id="rId18" Type="http://schemas.openxmlformats.org/officeDocument/2006/relationships/hyperlink" Target="https://www.legislation.gov.uk/ukpga/2015/15/section/2/enacted" TargetMode="External"/><Relationship Id="rId26" Type="http://schemas.openxmlformats.org/officeDocument/2006/relationships/hyperlink" Target="https://link.springer.com/article/10.1007/s10603-010-9128-3" TargetMode="External"/><Relationship Id="rId3" Type="http://schemas.openxmlformats.org/officeDocument/2006/relationships/styles" Target="styles.xml"/><Relationship Id="rId21" Type="http://schemas.openxmlformats.org/officeDocument/2006/relationships/hyperlink" Target="https://ebookcentral.proquest.com/lib/trinity/reader.action?docID=5749426"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regulation.org.uk/library/2006_davidson_review.pdf?msclkid=fb4dc877b34e11ecbf72c3956cb42b40" TargetMode="External"/><Relationship Id="rId17" Type="http://schemas.openxmlformats.org/officeDocument/2006/relationships/hyperlink" Target="https://www.gov.uk/government/publications/consumer-rights-act-2015/consumer-rights-act-2015" TargetMode="External"/><Relationship Id="rId25" Type="http://schemas.openxmlformats.org/officeDocument/2006/relationships/hyperlink" Target="https://s3-eu-west-2.amazonaws.com/lawcom-prod-storage-11jsxou24uy7q/uploads/2015/06/unfair_terms_in_consumer_contracts_issues_summary.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news/biggest-overhaul-of-consumer-rights-in-a-generation?msclkid=f4f7b363b38c11ec9ec5c165d6f381d4" TargetMode="External"/><Relationship Id="rId20" Type="http://schemas.openxmlformats.org/officeDocument/2006/relationships/hyperlink" Target="https://www.proquest.com/docview/1709673404/abstract/EBCC84A43EBE40D1PQ/1?accountid=13047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izensadvice.org.uk/about-us/our-work/citizens-advice-consumer-work/the-consumer-rights-act-2015/" TargetMode="External"/><Relationship Id="rId24" Type="http://schemas.openxmlformats.org/officeDocument/2006/relationships/hyperlink" Target="https://www.legislation.gov.uk/ukpga/2015/15/pdfs/ukpga_20150015_en.pdf"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roquest.com/docview/2210371534/8250D035320D454CPQ/2?accountid=1304" TargetMode="External"/><Relationship Id="rId23" Type="http://schemas.openxmlformats.org/officeDocument/2006/relationships/hyperlink" Target="https://conversation.which.co.uk/technology/consumer-rights-act-law-faulty-goods-digital-film-music-video-game-download/?msclkid=bae650b3b39211ec9046f2c1c9baafcf" TargetMode="External"/><Relationship Id="rId28" Type="http://schemas.openxmlformats.org/officeDocument/2006/relationships/header" Target="header2.xml"/><Relationship Id="rId10" Type="http://schemas.openxmlformats.org/officeDocument/2006/relationships/hyperlink" Target="https://www.cambridge.org/core/services/aop-cambridge-core/content/view/87D1211567DC20FAD2A33128B2B62640/S0008197316000210a.pdf/redress_compliance_and_choice_enhanced_consumer_measures_and_the_retreat_from_punishment_in_the_consumer_rights_act_2015.pdf" TargetMode="External"/><Relationship Id="rId19" Type="http://schemas.openxmlformats.org/officeDocument/2006/relationships/hyperlink" Target="https://www.blakemorgan.co.uk/the-consumer-rights-act-2015-all-change-for-consumer-contracts-for-goods-digital-content-services-and-unfair-terms/"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hich.co.uk/consumer-rights/regulation/consumer-rights-act-aKJYx8n5KiSl" TargetMode="External"/><Relationship Id="rId22" Type="http://schemas.openxmlformats.org/officeDocument/2006/relationships/hyperlink" Target="https://stevebeasant.4mp.org.uk/2015/03/27/biggest-overhaul-of-consumer-rights-in-a-generation/?msclkid=85a33c22b39011ecb2780bc5d47115d7"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DF472054D87425B8CE4A2F8D6B15E83"/>
        <w:category>
          <w:name w:val="General"/>
          <w:gallery w:val="placeholder"/>
        </w:category>
        <w:types>
          <w:type w:val="bbPlcHdr"/>
        </w:types>
        <w:behaviors>
          <w:behavior w:val="content"/>
        </w:behaviors>
        <w:guid w:val="{1744658E-DA4D-454A-9C54-DCD2C47746B6}"/>
      </w:docPartPr>
      <w:docPartBody>
        <w:p w:rsidR="008F6BA8" w:rsidRDefault="00163DF2" w:rsidP="00163DF2">
          <w:pPr>
            <w:pStyle w:val="1DF472054D87425B8CE4A2F8D6B15E83"/>
          </w:pPr>
          <w:r>
            <w:rPr>
              <w:rFonts w:asciiTheme="majorHAnsi" w:eastAsiaTheme="majorEastAsia" w:hAnsiTheme="majorHAnsi" w:cstheme="majorBidi"/>
              <w:caps/>
              <w:color w:val="4472C4" w:themeColor="accent1"/>
              <w:sz w:val="80"/>
              <w:szCs w:val="80"/>
            </w:rPr>
            <w:t>[Document title]</w:t>
          </w:r>
        </w:p>
      </w:docPartBody>
    </w:docPart>
    <w:docPart>
      <w:docPartPr>
        <w:name w:val="E650866FED134911AA45506B25CA59A4"/>
        <w:category>
          <w:name w:val="General"/>
          <w:gallery w:val="placeholder"/>
        </w:category>
        <w:types>
          <w:type w:val="bbPlcHdr"/>
        </w:types>
        <w:behaviors>
          <w:behavior w:val="content"/>
        </w:behaviors>
        <w:guid w:val="{7B4A0F4D-A67A-41EE-A6B1-6347877F5514}"/>
      </w:docPartPr>
      <w:docPartBody>
        <w:p w:rsidR="008F6BA8" w:rsidRDefault="00163DF2" w:rsidP="00163DF2">
          <w:pPr>
            <w:pStyle w:val="E650866FED134911AA45506B25CA59A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DF2"/>
    <w:rsid w:val="00163DF2"/>
    <w:rsid w:val="008F6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F472054D87425B8CE4A2F8D6B15E83">
    <w:name w:val="1DF472054D87425B8CE4A2F8D6B15E83"/>
    <w:rsid w:val="00163DF2"/>
  </w:style>
  <w:style w:type="paragraph" w:customStyle="1" w:styleId="E650866FED134911AA45506B25CA59A4">
    <w:name w:val="E650866FED134911AA45506B25CA59A4"/>
    <w:rsid w:val="00163D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2022-05-05T00:00:00</PublishDate>
  <Abstract/>
  <CompanyAddress>Trinity Saint David’s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3466</TotalTime>
  <Pages>10</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cosumer Rights Act 2015</vt:lpstr>
    </vt:vector>
  </TitlesOfParts>
  <Company>Beverly Evans</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cosumer Rights Act 2015</dc:title>
  <dc:subject>Contract</dc:subject>
  <dc:creator>Beverly Evans</dc:creator>
  <cp:keywords/>
  <dc:description/>
  <cp:lastModifiedBy>Beverly Evans</cp:lastModifiedBy>
  <cp:revision>3</cp:revision>
  <dcterms:created xsi:type="dcterms:W3CDTF">2022-03-16T19:47:00Z</dcterms:created>
  <dcterms:modified xsi:type="dcterms:W3CDTF">2022-05-06T07:32:00Z</dcterms:modified>
</cp:coreProperties>
</file>