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0057D" w14:textId="77777777" w:rsidR="00562017" w:rsidRDefault="00973B1A" w:rsidP="00973B1A">
      <w:pPr>
        <w:pStyle w:val="NormalWeb"/>
        <w:rPr>
          <w:rFonts w:ascii="Arial" w:hAnsi="Arial" w:cs="Arial"/>
          <w:b/>
          <w:bCs/>
          <w:sz w:val="28"/>
          <w:szCs w:val="28"/>
        </w:rPr>
      </w:pPr>
      <w:r w:rsidRPr="00973B1A">
        <w:rPr>
          <w:rFonts w:ascii="Arial" w:hAnsi="Arial" w:cs="Arial"/>
          <w:b/>
          <w:bCs/>
          <w:sz w:val="28"/>
          <w:szCs w:val="28"/>
        </w:rPr>
        <w:t>C</w:t>
      </w:r>
      <w:r w:rsidRPr="00973B1A">
        <w:rPr>
          <w:rFonts w:ascii="Arial" w:hAnsi="Arial" w:cs="Arial"/>
          <w:b/>
          <w:bCs/>
          <w:sz w:val="28"/>
          <w:szCs w:val="28"/>
        </w:rPr>
        <w:t>ritique</w:t>
      </w:r>
      <w:r w:rsidRPr="00973B1A">
        <w:rPr>
          <w:rFonts w:ascii="Arial" w:hAnsi="Arial" w:cs="Arial"/>
          <w:b/>
          <w:bCs/>
          <w:sz w:val="28"/>
          <w:szCs w:val="28"/>
        </w:rPr>
        <w:t xml:space="preserve"> on the UK’s Housing, Personal and Economic Taxation</w:t>
      </w:r>
      <w:r>
        <w:rPr>
          <w:rFonts w:ascii="Arial" w:hAnsi="Arial" w:cs="Arial"/>
          <w:b/>
          <w:bCs/>
          <w:sz w:val="28"/>
          <w:szCs w:val="28"/>
        </w:rPr>
        <w:t>.</w:t>
      </w:r>
    </w:p>
    <w:p w14:paraId="5F73198B" w14:textId="5335EDB7" w:rsidR="00973B1A" w:rsidRPr="00562017" w:rsidRDefault="00562017" w:rsidP="00973B1A">
      <w:pPr>
        <w:pStyle w:val="NormalWeb"/>
        <w:rPr>
          <w:rFonts w:ascii="Arial" w:hAnsi="Arial" w:cs="Arial"/>
        </w:rPr>
      </w:pPr>
      <w:r>
        <w:rPr>
          <w:rFonts w:ascii="Arial" w:hAnsi="Arial" w:cs="Arial"/>
          <w:b/>
          <w:bCs/>
          <w:sz w:val="28"/>
          <w:szCs w:val="28"/>
        </w:rPr>
        <w:br/>
      </w:r>
      <w:r w:rsidRPr="00562017">
        <w:rPr>
          <w:rFonts w:ascii="Arial" w:hAnsi="Arial" w:cs="Arial"/>
          <w:b/>
          <w:bCs/>
        </w:rPr>
        <w:t>Executive summary</w:t>
      </w:r>
      <w:r>
        <w:rPr>
          <w:rFonts w:ascii="Arial" w:hAnsi="Arial" w:cs="Arial"/>
        </w:rPr>
        <w:br/>
      </w:r>
      <w:r w:rsidRPr="00562017">
        <w:rPr>
          <w:rFonts w:ascii="Arial" w:hAnsi="Arial" w:cs="Arial"/>
        </w:rPr>
        <w:br/>
      </w:r>
      <w:r w:rsidRPr="00562017">
        <w:rPr>
          <w:rFonts w:ascii="Arial" w:hAnsi="Arial" w:cs="Arial"/>
        </w:rPr>
        <w:t>The UK's taxation system, encompassing housing, personal, and environmental taxes, presents significant challenges that demand urgent reform. The Council Tax, based on outdated property values, disproportionately burdens lower-income households. The bedroom tax has negatively impacted vulnerable groups without achieving its intended goals. Personal tax policies, such as the freezing of income tax thresholds, exacerbate income inequality. Additionally, the complexity of the personal tax system and unfair pension tax relief reduce transparency and fairness. Environmental taxes, while generating substantial revenue, fail to effectively promote sustainable practices. Comprehensive reforms are necessary to ensure a fairer distribution of the tax burden, improve economic efficiency, and better align the tax system with social and environmental objectives. This essay examines these issues and highlights the need for policymakers to address systemic flaws within the UK's taxation framework to promote economic justice and sustainability.</w:t>
      </w:r>
      <w:r w:rsidRPr="00562017">
        <w:br/>
      </w:r>
      <w:r w:rsidRPr="00562017">
        <w:rPr>
          <w:rFonts w:ascii="Arial" w:hAnsi="Arial" w:cs="Arial"/>
        </w:rPr>
        <w:br/>
      </w:r>
      <w:r w:rsidRPr="00562017">
        <w:rPr>
          <w:rFonts w:ascii="Arial" w:hAnsi="Arial" w:cs="Arial"/>
          <w:b/>
          <w:bCs/>
        </w:rPr>
        <w:br/>
        <w:t>Introduction</w:t>
      </w:r>
      <w:r w:rsidRPr="00562017">
        <w:rPr>
          <w:rFonts w:ascii="Arial" w:hAnsi="Arial" w:cs="Arial"/>
        </w:rPr>
        <w:br/>
      </w:r>
      <w:r w:rsidR="00973B1A" w:rsidRPr="00562017">
        <w:rPr>
          <w:rFonts w:ascii="Arial" w:hAnsi="Arial" w:cs="Arial"/>
        </w:rPr>
        <w:br/>
      </w:r>
      <w:r w:rsidR="00973B1A" w:rsidRPr="00562017">
        <w:rPr>
          <w:rFonts w:ascii="Arial" w:hAnsi="Arial" w:cs="Arial"/>
        </w:rPr>
        <w:t>In conclusion, the UK's current taxation system, marked by its outdated Council Tax, controversial bedroom tax, unfair personal tax policies, and inefficient environmental taxes, faces significant challenges that need urgent reform. The unfairness of the Council Tax and the negative effects of the bedroom tax show the need for policies that are fairer and more responsive to today's economic realities. The hidden tax increase from freezing personal income tax thresholds disproportionately affects low and middle-income earners, worsening income inequality and reducing the fairness of the tax system. The complexity and inefficiency of the personal tax system, along with unfair pension tax relief, call for simpler and more transparent policies. Additionally, the environmental tax system, while generating substantial revenue, fails to effectively promote sustainable practices and achieve environmental goals. Comprehensive reforms that update property valuations, provide adequate housing options, ensure fair personal taxation, and align environmental taxes with sustainability goals are essential. Policymakers must prioritise these reforms to create a more just and efficient tax system that supports economic growth, reduces inequality, and addresses environmental challenges. By adopting a more holistic and compassionate approach to tax policy, the UK can move towards a fairer, more sustainable future that benefits all parts of society.</w:t>
      </w:r>
      <w:r w:rsidR="00973B1A" w:rsidRPr="00562017">
        <w:rPr>
          <w:rFonts w:ascii="Arial" w:hAnsi="Arial" w:cs="Arial"/>
        </w:rPr>
        <w:br/>
      </w:r>
      <w:r>
        <w:br/>
      </w:r>
      <w:r w:rsidR="00973B1A" w:rsidRPr="00562017">
        <w:rPr>
          <w:rFonts w:ascii="Arial" w:hAnsi="Arial" w:cs="Arial"/>
          <w:b/>
          <w:bCs/>
        </w:rPr>
        <w:t>Housing Taxation</w:t>
      </w:r>
      <w:r w:rsidR="00973B1A" w:rsidRPr="00562017">
        <w:rPr>
          <w:rFonts w:ascii="Arial" w:hAnsi="Arial" w:cs="Arial"/>
        </w:rPr>
        <w:br/>
      </w:r>
      <w:r>
        <w:rPr>
          <w:rFonts w:ascii="Arial" w:hAnsi="Arial" w:cs="Arial"/>
        </w:rPr>
        <w:br/>
      </w:r>
      <w:r w:rsidR="00973B1A" w:rsidRPr="00562017">
        <w:rPr>
          <w:rFonts w:ascii="Arial" w:hAnsi="Arial" w:cs="Arial"/>
        </w:rPr>
        <w:t>The regressivity of the UK Council Tax system is a well-known problem. The current tax is based on property values from 1991, which means it does not consider how property values have changed or the effects of inflation. This results in lower-income households paying a higher percentage of their income compared to wealthier property owners.</w:t>
      </w:r>
    </w:p>
    <w:p w14:paraId="0C199C96" w14:textId="77777777" w:rsidR="00973B1A" w:rsidRPr="00562017" w:rsidRDefault="00973B1A" w:rsidP="00973B1A">
      <w:pPr>
        <w:pStyle w:val="NormalWeb"/>
        <w:rPr>
          <w:rFonts w:ascii="Arial" w:hAnsi="Arial" w:cs="Arial"/>
        </w:rPr>
      </w:pPr>
      <w:r w:rsidRPr="00562017">
        <w:rPr>
          <w:rFonts w:ascii="Arial" w:hAnsi="Arial" w:cs="Arial"/>
        </w:rPr>
        <w:lastRenderedPageBreak/>
        <w:t xml:space="preserve">A report by the Institute for Public Policy Research (IPPR) points out that council tax is outdated and unfair. Households with lower incomes often end up paying a larger share of their income on council tax, which causes financial hardship. Many low-income households frequently fall behind on council tax payments, which makes their financial situation worse (Roberts, Blakeley and Murphy, 2018). </w:t>
      </w:r>
    </w:p>
    <w:p w14:paraId="7A0BE67D" w14:textId="77777777" w:rsidR="00973B1A" w:rsidRPr="00562017" w:rsidRDefault="00973B1A" w:rsidP="00973B1A">
      <w:pPr>
        <w:pStyle w:val="NormalWeb"/>
        <w:rPr>
          <w:rFonts w:ascii="Arial" w:hAnsi="Arial" w:cs="Arial"/>
        </w:rPr>
      </w:pPr>
      <w:r w:rsidRPr="00562017">
        <w:rPr>
          <w:rFonts w:ascii="Arial" w:hAnsi="Arial" w:cs="Arial"/>
        </w:rPr>
        <w:t xml:space="preserve">Furthermore, the unfair nature of council tax means that any increases tend to hit those with lower incomes the hardest. Even with help from the Council Tax Reduction scheme, many low-income households still struggle with council tax debts and often have to cut back on essential expenses like heating and food to manage these payments (Nanda, 2021). </w:t>
      </w:r>
    </w:p>
    <w:p w14:paraId="69112111" w14:textId="4D98CD61" w:rsidR="00973B1A" w:rsidRPr="00562017" w:rsidRDefault="00973B1A" w:rsidP="00973B1A">
      <w:pPr>
        <w:pStyle w:val="NormalWeb"/>
        <w:rPr>
          <w:rFonts w:ascii="Arial" w:hAnsi="Arial" w:cs="Arial"/>
        </w:rPr>
      </w:pPr>
      <w:r w:rsidRPr="00562017">
        <w:rPr>
          <w:rFonts w:ascii="Arial" w:hAnsi="Arial" w:cs="Arial"/>
        </w:rPr>
        <w:t>Relying on old property values is not just a minor problem but a major issue that increases inequality. Without updating property values, wealthier homeowners in areas where property values have risen a lot pay less tax compared to the current value of their homes. Meanwhile, people in less wealthy areas, where property values have stayed the same or dropped, end up paying more relative to their property's value.</w:t>
      </w:r>
    </w:p>
    <w:p w14:paraId="512E705A" w14:textId="77777777" w:rsidR="00973B1A" w:rsidRPr="00562017" w:rsidRDefault="00973B1A" w:rsidP="00973B1A">
      <w:pPr>
        <w:pStyle w:val="NormalWeb"/>
        <w:rPr>
          <w:rFonts w:ascii="Arial" w:hAnsi="Arial" w:cs="Arial"/>
        </w:rPr>
      </w:pPr>
      <w:r w:rsidRPr="00562017">
        <w:rPr>
          <w:rFonts w:ascii="Arial" w:hAnsi="Arial" w:cs="Arial"/>
        </w:rPr>
        <w:t>Additionally, the system is complicated and expensive to manage. Efforts to fix the unfairness with exemptions and reductions only add more bureaucracy without solving the main problem. These fixes are temporary solutions that do not address the basic unfairness.</w:t>
      </w:r>
    </w:p>
    <w:p w14:paraId="61C69B74" w14:textId="77777777" w:rsidR="00973B1A" w:rsidRPr="00562017" w:rsidRDefault="00973B1A" w:rsidP="00973B1A">
      <w:pPr>
        <w:pStyle w:val="NormalWeb"/>
        <w:rPr>
          <w:rFonts w:ascii="Arial" w:hAnsi="Arial" w:cs="Arial"/>
        </w:rPr>
      </w:pPr>
      <w:r w:rsidRPr="00562017">
        <w:rPr>
          <w:rFonts w:ascii="Arial" w:hAnsi="Arial" w:cs="Arial"/>
        </w:rPr>
        <w:t>Another issue is the social impact of council tax debt. The financial pressure from council tax can cause stress and anxiety, especially for low-income households, which worsens health inequalities. The harsh approach to dealing with unpaid council tax, like using bailiffs and taking people to court, hits vulnerable people the hardest and can trap them in a cycle of debt and poverty (Roberts, Blakeley and Murphy, 2018).</w:t>
      </w:r>
    </w:p>
    <w:p w14:paraId="5B14F330" w14:textId="77777777" w:rsidR="00973B1A" w:rsidRPr="00562017" w:rsidRDefault="00973B1A" w:rsidP="00973B1A">
      <w:pPr>
        <w:pStyle w:val="NormalWeb"/>
        <w:rPr>
          <w:rFonts w:ascii="Arial" w:hAnsi="Arial" w:cs="Arial"/>
        </w:rPr>
      </w:pPr>
      <w:r w:rsidRPr="00562017">
        <w:rPr>
          <w:rFonts w:ascii="Arial" w:hAnsi="Arial" w:cs="Arial"/>
        </w:rPr>
        <w:t>Economically, the unfair council tax system leaves lower-income households with less money to spend, which harms local economies. Since low-income households spend more of their income on everyday goods and services, the unfair council tax indirectly hurts economic growth and keeps economic disparities in place (Nanda, 2021).</w:t>
      </w:r>
    </w:p>
    <w:p w14:paraId="1D94A04E" w14:textId="77777777" w:rsidR="00562017" w:rsidRDefault="00973B1A" w:rsidP="00562017">
      <w:pPr>
        <w:pStyle w:val="NormalWeb"/>
        <w:rPr>
          <w:rFonts w:ascii="Arial" w:hAnsi="Arial" w:cs="Arial"/>
          <w:b/>
          <w:bCs/>
          <w:sz w:val="28"/>
          <w:szCs w:val="28"/>
        </w:rPr>
      </w:pPr>
      <w:r w:rsidRPr="00562017">
        <w:rPr>
          <w:rFonts w:ascii="Arial" w:hAnsi="Arial" w:cs="Arial"/>
        </w:rPr>
        <w:t xml:space="preserve">The bedroom tax, officially called the "under-occupancy penalty," has been a controversial issue in the UK since it started in April 2013. This policy reduces housing benefit payments to social housing tenants who are considered to have a spare bedroom, affecting about 550,000 households. It has been widely criticised for worsening financial difficulties and failing to achieve its goals. A major criticism of the bedroom tax is its unfair impact on vulnerable groups, such as disabled people and low-income families. Even though some disabled individuals are exempt, many still experience cuts in their housing benefits. This has led to increased financial pressure and the risk of eviction for those who cannot make up the difference in their rent. A 2021 report showed that nearly 80% of affected households included at least one disabled member, highlighting the policy's failure to protect those in need. </w:t>
      </w:r>
      <w:r w:rsidRPr="00562017">
        <w:rPr>
          <w:rFonts w:ascii="Arial" w:hAnsi="Arial" w:cs="Arial"/>
        </w:rPr>
        <w:br/>
      </w:r>
      <w:r w:rsidRPr="00562017">
        <w:rPr>
          <w:rFonts w:ascii="Arial" w:hAnsi="Arial" w:cs="Arial"/>
        </w:rPr>
        <w:br/>
      </w:r>
      <w:r w:rsidRPr="00562017">
        <w:rPr>
          <w:rFonts w:ascii="Arial" w:hAnsi="Arial" w:cs="Arial"/>
        </w:rPr>
        <w:t xml:space="preserve">Another issue with the bedroom tax is its assumption that there is enough smaller </w:t>
      </w:r>
      <w:r w:rsidRPr="00562017">
        <w:rPr>
          <w:rFonts w:ascii="Arial" w:hAnsi="Arial" w:cs="Arial"/>
        </w:rPr>
        <w:lastRenderedPageBreak/>
        <w:t xml:space="preserve">housing for tenants to move into. In reality, the lack of smaller social housing units has left many tenants with no practical options to avoid the penalty. Instead of promoting better use of housing, the tax has often forced people to stay in homes they can no longer afford, resulting in more rent arrears and financial instability. </w:t>
      </w:r>
      <w:r w:rsidRPr="00562017">
        <w:rPr>
          <w:rFonts w:ascii="Arial" w:hAnsi="Arial" w:cs="Arial"/>
        </w:rPr>
        <w:br/>
      </w:r>
      <w:r w:rsidRPr="00562017">
        <w:rPr>
          <w:rFonts w:ascii="Arial" w:hAnsi="Arial" w:cs="Arial"/>
        </w:rPr>
        <w:br/>
      </w:r>
      <w:r w:rsidRPr="00562017">
        <w:rPr>
          <w:rFonts w:ascii="Arial" w:hAnsi="Arial" w:cs="Arial"/>
        </w:rPr>
        <w:t xml:space="preserve">Moreover, the policy has not effectively addressed the shortage of social housing. The expectation that tenants would downsize and free up larger homes for families has not been met. There are not enough suitable smaller homes available, and the tax has not improved the efficiency of housing allocation. The National Housing Federation reported that only about 6% of affected tenants had successfully downsized in the first year of the policy. </w:t>
      </w:r>
      <w:r w:rsidRPr="00562017">
        <w:rPr>
          <w:rFonts w:ascii="Arial" w:hAnsi="Arial" w:cs="Arial"/>
        </w:rPr>
        <w:br/>
      </w:r>
      <w:r w:rsidRPr="00562017">
        <w:rPr>
          <w:rFonts w:ascii="Arial" w:hAnsi="Arial" w:cs="Arial"/>
        </w:rPr>
        <w:br/>
      </w:r>
      <w:r w:rsidRPr="00562017">
        <w:rPr>
          <w:rFonts w:ascii="Arial" w:hAnsi="Arial" w:cs="Arial"/>
        </w:rPr>
        <w:t xml:space="preserve">The financial burden on local councils has also been significant. Many councils have had to increase their budgets for discretionary housing payments (DHP) to help those struggling to pay their rent because of the bedroom tax. While DHP provides some relief, it is not a sustainable long-term solution, and the extra administrative work adds to the strain on local council resources. </w:t>
      </w:r>
      <w:r w:rsidRPr="00562017">
        <w:rPr>
          <w:rFonts w:ascii="Arial" w:hAnsi="Arial" w:cs="Arial"/>
        </w:rPr>
        <w:br/>
      </w:r>
      <w:r w:rsidRPr="00562017">
        <w:rPr>
          <w:rFonts w:ascii="Arial" w:hAnsi="Arial" w:cs="Arial"/>
        </w:rPr>
        <w:br/>
      </w:r>
      <w:r w:rsidRPr="00562017">
        <w:rPr>
          <w:rFonts w:ascii="Arial" w:hAnsi="Arial" w:cs="Arial"/>
        </w:rPr>
        <w:t xml:space="preserve">Additionally, the emotional and psychological effects on affected individuals are considerable. Many tenants have reported high levels of stress and anxiety due to the uncertainty of their housing situation. The policy has been described as punitive, adding hardship to those already facing economic difficulties. Critics argue that the bedroom tax is part of a broader trend of austerity measures that disproportionately impact the most vulnerable in society. </w:t>
      </w:r>
      <w:r w:rsidRPr="00562017">
        <w:rPr>
          <w:rFonts w:ascii="Arial" w:hAnsi="Arial" w:cs="Arial"/>
        </w:rPr>
        <w:br/>
      </w:r>
      <w:r w:rsidRPr="00562017">
        <w:rPr>
          <w:rFonts w:ascii="Arial" w:hAnsi="Arial" w:cs="Arial"/>
        </w:rPr>
        <w:br/>
      </w:r>
      <w:r w:rsidRPr="00562017">
        <w:rPr>
          <w:rFonts w:ascii="Arial" w:hAnsi="Arial" w:cs="Arial"/>
        </w:rPr>
        <w:t>In conclusion, the bedroom tax has not achieved its goals of making better use of social housing and reducing benefit costs. Instead, it has increased financial hardship for many tenants, especially those with disabilities and low incomes, and has placed extra pressure on local authorities. The policy's failures highlight the need for a more comprehensive and compassionate approach to addressing social housing shortages and benefit dependency in the UK. Ten years later, the debate continues, with calls for the policy to be replaced with more effective and fair housing solutions (ITV News, 2023).</w:t>
      </w:r>
      <w:r w:rsidR="00562017">
        <w:rPr>
          <w:rFonts w:ascii="Arial" w:hAnsi="Arial" w:cs="Arial"/>
        </w:rPr>
        <w:br/>
      </w:r>
      <w:r w:rsidR="00562017">
        <w:rPr>
          <w:rFonts w:ascii="Arial" w:hAnsi="Arial" w:cs="Arial"/>
        </w:rPr>
        <w:br/>
      </w:r>
      <w:r w:rsidRPr="00562017">
        <w:rPr>
          <w:rFonts w:ascii="Arial" w:hAnsi="Arial" w:cs="Arial"/>
          <w:b/>
          <w:bCs/>
        </w:rPr>
        <w:t xml:space="preserve">Personal taxation </w:t>
      </w:r>
      <w:r w:rsidRPr="00562017">
        <w:rPr>
          <w:rFonts w:ascii="Arial" w:hAnsi="Arial" w:cs="Arial"/>
        </w:rPr>
        <w:br/>
      </w:r>
      <w:r w:rsidR="00562017">
        <w:rPr>
          <w:rFonts w:ascii="Arial" w:hAnsi="Arial" w:cs="Arial"/>
        </w:rPr>
        <w:br/>
      </w:r>
      <w:r w:rsidRPr="00562017">
        <w:rPr>
          <w:rFonts w:ascii="Arial" w:hAnsi="Arial" w:cs="Arial"/>
        </w:rPr>
        <w:t xml:space="preserve">The policy of freezing or reducing personal income tax thresholds has significant implications for both taxpayers and government revenue. According to the Office for Budget Responsibility, the freezing of the personal allowance and higher-rate threshold until 2027-28, along with the reduction of the additional-rate threshold from £150,000 to £125,140, will generate substantial additional revenue. However, this approach raises several concerns. </w:t>
      </w:r>
      <w:r w:rsidRPr="00562017">
        <w:rPr>
          <w:rFonts w:ascii="Arial" w:hAnsi="Arial" w:cs="Arial"/>
        </w:rPr>
        <w:br/>
      </w:r>
      <w:r w:rsidRPr="00562017">
        <w:rPr>
          <w:rFonts w:ascii="Arial" w:hAnsi="Arial" w:cs="Arial"/>
        </w:rPr>
        <w:br/>
      </w:r>
      <w:r w:rsidRPr="00562017">
        <w:rPr>
          <w:rFonts w:ascii="Arial" w:hAnsi="Arial" w:cs="Arial"/>
        </w:rPr>
        <w:t xml:space="preserve">Firstly, it increases the effective tax rate for many taxpayers. By the end of the forecast period, an estimated 3.2 million more individuals will become taxpayers, with 2.1 million more falling into the higher-rate bracket and 0.35 million into the additional-rate category. This means a significant number of individuals will face higher taxes, reducing their disposable income and potentially exacerbating income inequality. </w:t>
      </w:r>
      <w:r w:rsidRPr="00562017">
        <w:rPr>
          <w:rFonts w:ascii="Arial" w:hAnsi="Arial" w:cs="Arial"/>
        </w:rPr>
        <w:br/>
      </w:r>
      <w:r w:rsidRPr="00562017">
        <w:rPr>
          <w:rFonts w:ascii="Arial" w:hAnsi="Arial" w:cs="Arial"/>
        </w:rPr>
        <w:br/>
      </w:r>
      <w:r w:rsidRPr="00562017">
        <w:rPr>
          <w:rFonts w:ascii="Arial" w:hAnsi="Arial" w:cs="Arial"/>
        </w:rPr>
        <w:lastRenderedPageBreak/>
        <w:t xml:space="preserve">Secondly, freezing thresholds is often viewed as a stealth tax increase. Instead of openly raising tax rates, the government allows inflation to push more income into higher tax bands. This can be seen as lacking transparency and can erode trust in the tax system. </w:t>
      </w:r>
      <w:r w:rsidRPr="00562017">
        <w:rPr>
          <w:rFonts w:ascii="Arial" w:hAnsi="Arial" w:cs="Arial"/>
        </w:rPr>
        <w:br/>
      </w:r>
      <w:r w:rsidRPr="00562017">
        <w:rPr>
          <w:rFonts w:ascii="Arial" w:hAnsi="Arial" w:cs="Arial"/>
        </w:rPr>
        <w:br/>
      </w:r>
      <w:r w:rsidRPr="00562017">
        <w:rPr>
          <w:rFonts w:ascii="Arial" w:hAnsi="Arial" w:cs="Arial"/>
        </w:rPr>
        <w:t xml:space="preserve">Moreover, this policy can disproportionately affect low and middle-income earners, as they are more likely to be pushed into higher tax brackets without a corresponding increase in their real income. This can undermine the progressivity of the tax system and place a greater relative burden on those with lower incomes. </w:t>
      </w:r>
      <w:r w:rsidRPr="00562017">
        <w:rPr>
          <w:rFonts w:ascii="Arial" w:hAnsi="Arial" w:cs="Arial"/>
        </w:rPr>
        <w:br/>
      </w:r>
      <w:r w:rsidRPr="00562017">
        <w:rPr>
          <w:rFonts w:ascii="Arial" w:hAnsi="Arial" w:cs="Arial"/>
        </w:rPr>
        <w:br/>
      </w:r>
      <w:r w:rsidRPr="00562017">
        <w:rPr>
          <w:rFonts w:ascii="Arial" w:hAnsi="Arial" w:cs="Arial"/>
        </w:rPr>
        <w:t xml:space="preserve">While the additional revenue generated by these measures can help address budget deficits and fund public services, the trade-offs include a higher tax burden on individuals and potential negative impacts on economic equality. Policymakers must weigh these factors carefully to ensure a fair and transparent tax system (ITV News, 2023). </w:t>
      </w:r>
      <w:r w:rsidRPr="00562017">
        <w:rPr>
          <w:rFonts w:ascii="Arial" w:hAnsi="Arial" w:cs="Arial"/>
        </w:rPr>
        <w:br/>
      </w:r>
      <w:r w:rsidRPr="00562017">
        <w:rPr>
          <w:rFonts w:ascii="Arial" w:hAnsi="Arial" w:cs="Arial"/>
        </w:rPr>
        <w:br/>
      </w:r>
      <w:r w:rsidRPr="00562017">
        <w:rPr>
          <w:rFonts w:ascii="Arial" w:hAnsi="Arial" w:cs="Arial"/>
        </w:rPr>
        <w:t xml:space="preserve">The UK's personal income tax system is often criticised for its complexity and inefficiency. According to the Institute of Economic Affairs, the system's intricate structure, including various marginal tax rates and the interaction with benefits such as tax credits and child benefits, results in high effective marginal tax rates for many individuals. This complexity discourages career advancement and undermines work incentives. Additionally, the overlapping of income tax with national insurance contributions creates further confusion. Simplifying the tax system, integrating income tax and national insurance, and implementing clearer, flatter tax rates are suggested reforms to enhance efficiency and coherence (Bourne, 2014). </w:t>
      </w:r>
      <w:r w:rsidRPr="00562017">
        <w:rPr>
          <w:rFonts w:ascii="Arial" w:hAnsi="Arial" w:cs="Arial"/>
        </w:rPr>
        <w:br/>
      </w:r>
      <w:r w:rsidRPr="00562017">
        <w:rPr>
          <w:rFonts w:ascii="Arial" w:hAnsi="Arial" w:cs="Arial"/>
        </w:rPr>
        <w:br/>
      </w:r>
      <w:r w:rsidRPr="00562017">
        <w:rPr>
          <w:rFonts w:ascii="Arial" w:hAnsi="Arial" w:cs="Arial"/>
        </w:rPr>
        <w:t>The UK's personal tax relief system for pension contributions presents significant issues, particularly for low earners. According to the Low Incomes Tax Reform Group, the use of net pay arrangements often disadvantages low-income workers, as they do not receive the basic rate tax relief that is automatically provided in relief at source schemes. This results in higher effective pension contributions for low earners compared to higher earners. While the government plans to address this disparity by 2024-25, the current system remains inequitable, highlighting inefficiencies and unfairness in the tax relief framework (LITRG, 2024).</w:t>
      </w:r>
      <w:r w:rsidR="00562017">
        <w:rPr>
          <w:rFonts w:ascii="Arial" w:hAnsi="Arial" w:cs="Arial"/>
        </w:rPr>
        <w:br/>
      </w:r>
      <w:r w:rsidRPr="00562017">
        <w:rPr>
          <w:rFonts w:ascii="Arial" w:hAnsi="Arial" w:cs="Arial"/>
        </w:rPr>
        <w:br/>
      </w:r>
      <w:r w:rsidRPr="00562017">
        <w:rPr>
          <w:rFonts w:ascii="Arial" w:hAnsi="Arial" w:cs="Arial"/>
          <w:b/>
          <w:bCs/>
        </w:rPr>
        <w:t>Environmental taxation</w:t>
      </w:r>
      <w:r w:rsidRPr="00562017">
        <w:rPr>
          <w:rFonts w:ascii="Arial" w:hAnsi="Arial" w:cs="Arial"/>
        </w:rPr>
        <w:t xml:space="preserve"> </w:t>
      </w:r>
      <w:r w:rsidRPr="00562017">
        <w:rPr>
          <w:rFonts w:ascii="Arial" w:hAnsi="Arial" w:cs="Arial"/>
        </w:rPr>
        <w:br/>
      </w:r>
      <w:r w:rsidR="00562017">
        <w:rPr>
          <w:rFonts w:ascii="Arial" w:hAnsi="Arial" w:cs="Arial"/>
        </w:rPr>
        <w:br/>
      </w:r>
      <w:r w:rsidRPr="00562017">
        <w:rPr>
          <w:rFonts w:ascii="Arial" w:hAnsi="Arial" w:cs="Arial"/>
        </w:rPr>
        <w:t xml:space="preserve">The UK's environmental tax system, while raising significant revenue, has notable inefficiencies and complexities. In 2023, environmental taxes generated £52.5 billion, a 4.9% increase from 2022. These taxes are primarily composed of energy taxes (75%), transport taxes (22.5%), and pollution and resource taxes (2.4%). However, the heavy reliance on fuel duty (63.2% of energy taxes) underscores a lack of diversity in tax sources. </w:t>
      </w:r>
      <w:r w:rsidRPr="00562017">
        <w:rPr>
          <w:rFonts w:ascii="Arial" w:hAnsi="Arial" w:cs="Arial"/>
        </w:rPr>
        <w:br/>
      </w:r>
      <w:r w:rsidRPr="00562017">
        <w:rPr>
          <w:rFonts w:ascii="Arial" w:hAnsi="Arial" w:cs="Arial"/>
        </w:rPr>
        <w:br/>
      </w:r>
      <w:r w:rsidRPr="00562017">
        <w:rPr>
          <w:rFonts w:ascii="Arial" w:hAnsi="Arial" w:cs="Arial"/>
        </w:rPr>
        <w:t xml:space="preserve">Critically, UK environmental tax revenue as a proportion of GDP (2.0%) and total taxes (5.5%) lags behind the EU average (2.3% and 6.4%, respectively). This indicates room for improvement in using tax policy to drive environmental objectives effectively. </w:t>
      </w:r>
      <w:r w:rsidRPr="00562017">
        <w:rPr>
          <w:rFonts w:ascii="Arial" w:hAnsi="Arial" w:cs="Arial"/>
        </w:rPr>
        <w:br/>
      </w:r>
      <w:r w:rsidRPr="00562017">
        <w:rPr>
          <w:rFonts w:ascii="Arial" w:hAnsi="Arial" w:cs="Arial"/>
        </w:rPr>
        <w:br/>
      </w:r>
      <w:r w:rsidRPr="00562017">
        <w:rPr>
          <w:rFonts w:ascii="Arial" w:hAnsi="Arial" w:cs="Arial"/>
        </w:rPr>
        <w:t xml:space="preserve">The system's complexity, with varied tax types and the intricate calculation of </w:t>
      </w:r>
      <w:r w:rsidRPr="00562017">
        <w:rPr>
          <w:rFonts w:ascii="Arial" w:hAnsi="Arial" w:cs="Arial"/>
        </w:rPr>
        <w:lastRenderedPageBreak/>
        <w:t xml:space="preserve">contributions, complicates administration and compliance. Simplifying and broadening the tax base could enhance both efficiency and effectiveness, ensuring a fairer distribution of the tax burden and better environmental outcomes. </w:t>
      </w:r>
      <w:r w:rsidRPr="00562017">
        <w:rPr>
          <w:rFonts w:ascii="Arial" w:hAnsi="Arial" w:cs="Arial"/>
        </w:rPr>
        <w:br/>
      </w:r>
      <w:r w:rsidRPr="00562017">
        <w:rPr>
          <w:rFonts w:ascii="Arial" w:hAnsi="Arial" w:cs="Arial"/>
        </w:rPr>
        <w:br/>
      </w:r>
      <w:r w:rsidRPr="00562017">
        <w:rPr>
          <w:rFonts w:ascii="Arial" w:hAnsi="Arial" w:cs="Arial"/>
        </w:rPr>
        <w:t xml:space="preserve">Moreover, the current tax framework does not adequately incentivise businesses and individuals to adopt environmentally friendly practices. The limited scope of pollution and resource taxes (2.4%) suggests a missed opportunity to target activities that cause significant environmental harm. Increasing these taxes and incorporating more comprehensive environmental criteria could better align the tax system with sustainability goals. </w:t>
      </w:r>
      <w:r w:rsidRPr="00562017">
        <w:rPr>
          <w:rFonts w:ascii="Arial" w:hAnsi="Arial" w:cs="Arial"/>
        </w:rPr>
        <w:br/>
      </w:r>
      <w:r w:rsidRPr="00562017">
        <w:rPr>
          <w:rFonts w:ascii="Arial" w:hAnsi="Arial" w:cs="Arial"/>
        </w:rPr>
        <w:br/>
      </w:r>
      <w:r w:rsidRPr="00562017">
        <w:rPr>
          <w:rFonts w:ascii="Arial" w:hAnsi="Arial" w:cs="Arial"/>
        </w:rPr>
        <w:t xml:space="preserve">While the UK's environmental taxes generate substantial revenue, there is a need for reforms to address inefficiencies and enhance their role in achieving environmental goals. Simplifying the tax structure and aligning it more closely with environmental objectives could improve both revenue generation and environmental impact (Office for National Statistics, 2024). </w:t>
      </w:r>
      <w:r w:rsidRPr="00562017">
        <w:rPr>
          <w:rFonts w:ascii="Arial" w:hAnsi="Arial" w:cs="Arial"/>
        </w:rPr>
        <w:br/>
      </w:r>
      <w:r w:rsidRPr="00562017">
        <w:rPr>
          <w:rFonts w:ascii="Arial" w:hAnsi="Arial" w:cs="Arial"/>
        </w:rPr>
        <w:br/>
      </w:r>
      <w:r w:rsidRPr="00562017">
        <w:rPr>
          <w:rFonts w:ascii="Arial" w:hAnsi="Arial" w:cs="Arial"/>
        </w:rPr>
        <w:t xml:space="preserve">The UK government’s approach to environmental taxation has faced significant criticism, especially for focusing more on raising money than on ensuring these taxes help the environment. The National Audit Office reported that green taxes brought in £34.7 billion in 2019. However, there is little evidence showing their impact on the environment. This lack of measurement means that while financial targets are being met, environmental goals may not be effectively addressed. </w:t>
      </w:r>
      <w:r w:rsidRPr="00562017">
        <w:rPr>
          <w:rFonts w:ascii="Arial" w:hAnsi="Arial" w:cs="Arial"/>
        </w:rPr>
        <w:br/>
      </w:r>
      <w:r w:rsidRPr="00562017">
        <w:rPr>
          <w:rFonts w:ascii="Arial" w:hAnsi="Arial" w:cs="Arial"/>
        </w:rPr>
        <w:br/>
      </w:r>
      <w:r w:rsidRPr="00562017">
        <w:rPr>
          <w:rFonts w:ascii="Arial" w:hAnsi="Arial" w:cs="Arial"/>
        </w:rPr>
        <w:t xml:space="preserve">A major criticism is the lack of centralised oversight by HM Treasury and HM Revenue and Customs on how the tax system impacts climate targets. The National Audit Office highlights that, apart from the landfill tax, there is little proof that other environmental taxes, like the Climate Change Levy, Carbon Price Support, and Aggregates Levy, are assessed for their environmental effectiveness. This raises concerns about whether these taxes are actually reducing greenhouse emissions and promoting sustainable practices. </w:t>
      </w:r>
      <w:r w:rsidRPr="00562017">
        <w:rPr>
          <w:rFonts w:ascii="Arial" w:hAnsi="Arial" w:cs="Arial"/>
        </w:rPr>
        <w:br/>
      </w:r>
      <w:r w:rsidRPr="00562017">
        <w:rPr>
          <w:rFonts w:ascii="Arial" w:hAnsi="Arial" w:cs="Arial"/>
        </w:rPr>
        <w:br/>
      </w:r>
      <w:r w:rsidRPr="00562017">
        <w:rPr>
          <w:rFonts w:ascii="Arial" w:hAnsi="Arial" w:cs="Arial"/>
        </w:rPr>
        <w:t xml:space="preserve">The landfill tax, introduced in 1996, is one of the few taxes monitored for its effectiveness and has successfully reduced landfill usage. However, this success has led to unintended consequences such as increased illegal dumping of waste. Labour's Meg Hillier notes that the Treasury and HMRC's inability to measure the environmental impact of these taxes suggests that the current approach might encourage harmful behaviours instead of reducing environmental damage. </w:t>
      </w:r>
      <w:r w:rsidRPr="00562017">
        <w:rPr>
          <w:rFonts w:ascii="Arial" w:hAnsi="Arial" w:cs="Arial"/>
        </w:rPr>
        <w:br/>
      </w:r>
      <w:r w:rsidRPr="00562017">
        <w:rPr>
          <w:rFonts w:ascii="Arial" w:hAnsi="Arial" w:cs="Arial"/>
        </w:rPr>
        <w:br/>
      </w:r>
      <w:r w:rsidRPr="00562017">
        <w:rPr>
          <w:rFonts w:ascii="Arial" w:hAnsi="Arial" w:cs="Arial"/>
        </w:rPr>
        <w:t xml:space="preserve">Moreover, while the government has pledged £12 billion towards low-carbon technologies under the Prime Minister’s 10-point plan for net-zero carbon emissions by 2050, the National Audit Office argues that more thorough monitoring and evaluation of green taxes are needed. Although the departments of Environment, Food &amp; Rural Affairs and Business, Energy &amp; Industrial Strategy have started to assess the impact of green taxes, a more unified and rigorous approach is necessary to ensure these taxes align with the UK’s climate goals. </w:t>
      </w:r>
      <w:r w:rsidRPr="00562017">
        <w:rPr>
          <w:rFonts w:ascii="Arial" w:hAnsi="Arial" w:cs="Arial"/>
        </w:rPr>
        <w:br/>
      </w:r>
      <w:r w:rsidRPr="00562017">
        <w:rPr>
          <w:rFonts w:ascii="Arial" w:hAnsi="Arial" w:cs="Arial"/>
        </w:rPr>
        <w:br/>
      </w:r>
      <w:r w:rsidRPr="00562017">
        <w:rPr>
          <w:rFonts w:ascii="Arial" w:hAnsi="Arial" w:cs="Arial"/>
        </w:rPr>
        <w:t xml:space="preserve">The National Audit Office’s findings emphasise that to meet ambitious environmental targets, the government must use all available tools effectively. This means not only implementing green taxes but also systematically evaluating their impact to refine </w:t>
      </w:r>
      <w:r w:rsidRPr="00562017">
        <w:rPr>
          <w:rFonts w:ascii="Arial" w:hAnsi="Arial" w:cs="Arial"/>
        </w:rPr>
        <w:lastRenderedPageBreak/>
        <w:t xml:space="preserve">and improve their design. Without such measures, these taxes risk functioning mainly as revenue-generating mechanisms rather than effective tools for environmental protection. </w:t>
      </w:r>
      <w:r w:rsidRPr="00562017">
        <w:rPr>
          <w:rFonts w:ascii="Arial" w:hAnsi="Arial" w:cs="Arial"/>
        </w:rPr>
        <w:br/>
      </w:r>
      <w:r w:rsidRPr="00562017">
        <w:rPr>
          <w:rFonts w:ascii="Arial" w:hAnsi="Arial" w:cs="Arial"/>
        </w:rPr>
        <w:br/>
      </w:r>
      <w:r w:rsidRPr="00562017">
        <w:rPr>
          <w:rFonts w:ascii="Arial" w:hAnsi="Arial" w:cs="Arial"/>
        </w:rPr>
        <w:t>Ultimately, the UK government’s current focus on raising funds through green taxes, without properly assessing their environmental impact, undermines their potential effectiveness. Comprehensive monitoring, centralised oversight, and a commitment to adjusting policies based on their actual environmental outcomes are crucial for these taxes to truly support the UK’s climate ambitions. Addressing these shortcomings will be essential for the government to use environmental taxes as a powerful instrument in the fight against climate change (BBC News, 2021).</w:t>
      </w:r>
      <w:r w:rsidRPr="00562017">
        <w:rPr>
          <w:rFonts w:ascii="Arial" w:hAnsi="Arial" w:cs="Arial"/>
        </w:rPr>
        <w:br/>
      </w:r>
      <w:r w:rsidRPr="00562017">
        <w:rPr>
          <w:rFonts w:ascii="Arial" w:hAnsi="Arial" w:cs="Arial"/>
          <w:b/>
          <w:bCs/>
        </w:rPr>
        <w:br/>
      </w:r>
      <w:r w:rsidR="00562017" w:rsidRPr="00562017">
        <w:rPr>
          <w:rFonts w:ascii="Arial" w:hAnsi="Arial" w:cs="Arial"/>
          <w:b/>
          <w:bCs/>
        </w:rPr>
        <w:t>Conclusion</w:t>
      </w:r>
      <w:r w:rsidR="00562017" w:rsidRPr="00562017">
        <w:rPr>
          <w:rFonts w:ascii="Arial" w:hAnsi="Arial" w:cs="Arial"/>
        </w:rPr>
        <w:br/>
      </w:r>
      <w:r w:rsidR="00562017" w:rsidRPr="00562017">
        <w:rPr>
          <w:rFonts w:ascii="Arial" w:hAnsi="Arial" w:cs="Arial"/>
        </w:rPr>
        <w:br/>
      </w:r>
      <w:r w:rsidRPr="00562017">
        <w:rPr>
          <w:rFonts w:ascii="Arial" w:hAnsi="Arial" w:cs="Arial"/>
        </w:rPr>
        <w:t>In conclusion, the UK's current taxation system, marked by its outdated Council Tax, controversial bedroom tax, unfair personal tax policies, and inefficient environmental taxes, faces significant challenges that need urgent reform. The unfairness of the Council Tax and the negative effects of the bedroom tax show the need for policies that are fairer and more responsive to today's economic realities. The hidden tax increase from freezing personal income tax thresholds disproportionately affects low and middle-income earners, worsening income inequality and reducing the fairness of the tax system. The complexity and inefficiency of the personal tax system, along with unfair pension tax relief, call for simpler and more transparent policies. Additionally, the environmental tax system, while generating substantial revenue, fails to effectively promote sustainable practices and achieve environmental goals. Comprehensive reforms that update property valuations, provide adequate housing options, ensure fair personal taxation, and align environmental taxes with sustainability goals are essential. Policymakers must prioritise these reforms to create a more just and efficient tax system that supports economic growth, reduces inequality, and addresses environmental challenges. By adopting a more holistic and compassionate approach to tax policy, the UK can move towards a fairer, more sustainable future that benefits all parts of society.</w:t>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r w:rsidR="00562017">
        <w:rPr>
          <w:rFonts w:ascii="Arial" w:hAnsi="Arial" w:cs="Arial"/>
        </w:rPr>
        <w:br/>
      </w:r>
    </w:p>
    <w:p w14:paraId="7C7B70F3" w14:textId="6B04433E" w:rsidR="00562017" w:rsidRPr="00E84E97" w:rsidRDefault="00562017" w:rsidP="00562017">
      <w:pPr>
        <w:pStyle w:val="NormalWeb"/>
        <w:rPr>
          <w:rFonts w:ascii="Arial" w:hAnsi="Arial" w:cs="Arial"/>
        </w:rPr>
      </w:pPr>
      <w:r w:rsidRPr="00562017">
        <w:rPr>
          <w:rFonts w:ascii="Arial" w:hAnsi="Arial" w:cs="Arial"/>
          <w:b/>
          <w:bCs/>
          <w:sz w:val="28"/>
          <w:szCs w:val="28"/>
        </w:rPr>
        <w:lastRenderedPageBreak/>
        <w:t>Reference List</w:t>
      </w:r>
      <w:r>
        <w:rPr>
          <w:rFonts w:ascii="Arial" w:hAnsi="Arial" w:cs="Arial"/>
          <w:b/>
          <w:bCs/>
          <w:sz w:val="28"/>
          <w:szCs w:val="28"/>
        </w:rPr>
        <w:br/>
      </w:r>
      <w:r>
        <w:rPr>
          <w:rFonts w:ascii="Arial" w:hAnsi="Arial" w:cs="Arial"/>
          <w:b/>
          <w:bCs/>
          <w:sz w:val="28"/>
          <w:szCs w:val="28"/>
        </w:rPr>
        <w:br/>
      </w:r>
      <w:r w:rsidRPr="00E84E97">
        <w:t xml:space="preserve">BBC News (2021). Climate change: UK not checking if green taxes work - spending watchdog. </w:t>
      </w:r>
      <w:r w:rsidRPr="00E84E97">
        <w:rPr>
          <w:i/>
          <w:iCs/>
        </w:rPr>
        <w:t>BBC News</w:t>
      </w:r>
      <w:r w:rsidRPr="00E84E97">
        <w:t>. [online] 12 Feb. Available at: https://www.bbc.co.uk/news/uk-politics-56040410 [Accessed 28 May 2024].</w:t>
      </w:r>
    </w:p>
    <w:p w14:paraId="26A91756" w14:textId="77777777" w:rsidR="00562017" w:rsidRPr="00E84E97" w:rsidRDefault="00562017" w:rsidP="00562017">
      <w:pPr>
        <w:spacing w:after="240" w:line="360" w:lineRule="auto"/>
        <w:rPr>
          <w:rFonts w:ascii="Times New Roman" w:eastAsia="Times New Roman" w:hAnsi="Times New Roman" w:cs="Times New Roman"/>
          <w:kern w:val="0"/>
          <w:sz w:val="24"/>
          <w:szCs w:val="24"/>
          <w:lang w:eastAsia="en-GB"/>
          <w14:ligatures w14:val="none"/>
        </w:rPr>
      </w:pPr>
      <w:r w:rsidRPr="00E84E97">
        <w:rPr>
          <w:rFonts w:ascii="Times New Roman" w:eastAsia="Times New Roman" w:hAnsi="Times New Roman" w:cs="Times New Roman"/>
          <w:kern w:val="0"/>
          <w:sz w:val="24"/>
          <w:szCs w:val="24"/>
          <w:lang w:eastAsia="en-GB"/>
          <w14:ligatures w14:val="none"/>
        </w:rPr>
        <w:t xml:space="preserve">Bourne, R. (2014). </w:t>
      </w:r>
      <w:r w:rsidRPr="00E84E97">
        <w:rPr>
          <w:rFonts w:ascii="Times New Roman" w:eastAsia="Times New Roman" w:hAnsi="Times New Roman" w:cs="Times New Roman"/>
          <w:i/>
          <w:iCs/>
          <w:kern w:val="0"/>
          <w:sz w:val="24"/>
          <w:szCs w:val="24"/>
          <w:lang w:eastAsia="en-GB"/>
          <w14:ligatures w14:val="none"/>
        </w:rPr>
        <w:t>Taxing Problem: The UK’s incoherent tax system</w:t>
      </w:r>
      <w:r w:rsidRPr="00E84E97">
        <w:rPr>
          <w:rFonts w:ascii="Times New Roman" w:eastAsia="Times New Roman" w:hAnsi="Times New Roman" w:cs="Times New Roman"/>
          <w:kern w:val="0"/>
          <w:sz w:val="24"/>
          <w:szCs w:val="24"/>
          <w:lang w:eastAsia="en-GB"/>
          <w14:ligatures w14:val="none"/>
        </w:rPr>
        <w:t>. [online] Institute of Economic Affairs. Available at: https://iea.org.uk/publications/research/taxing-problem-the-uk%E2%80%99s-incoherent-tax-system [Accessed 24 May 2024].</w:t>
      </w:r>
    </w:p>
    <w:p w14:paraId="3FF0F7DD" w14:textId="77777777" w:rsidR="00562017" w:rsidRPr="00E84E97" w:rsidRDefault="00562017" w:rsidP="00562017">
      <w:pPr>
        <w:spacing w:after="240" w:line="360" w:lineRule="auto"/>
        <w:rPr>
          <w:rFonts w:ascii="Times New Roman" w:eastAsia="Times New Roman" w:hAnsi="Times New Roman" w:cs="Times New Roman"/>
          <w:kern w:val="0"/>
          <w:sz w:val="24"/>
          <w:szCs w:val="24"/>
          <w:lang w:eastAsia="en-GB"/>
          <w14:ligatures w14:val="none"/>
        </w:rPr>
      </w:pPr>
      <w:r w:rsidRPr="00E84E97">
        <w:rPr>
          <w:rFonts w:ascii="Times New Roman" w:eastAsia="Times New Roman" w:hAnsi="Times New Roman" w:cs="Times New Roman"/>
          <w:kern w:val="0"/>
          <w:sz w:val="24"/>
          <w:szCs w:val="24"/>
          <w:lang w:eastAsia="en-GB"/>
          <w14:ligatures w14:val="none"/>
        </w:rPr>
        <w:t xml:space="preserve">ITV News (2023). </w:t>
      </w:r>
      <w:r w:rsidRPr="00E84E97">
        <w:rPr>
          <w:rFonts w:ascii="Times New Roman" w:eastAsia="Times New Roman" w:hAnsi="Times New Roman" w:cs="Times New Roman"/>
          <w:i/>
          <w:iCs/>
          <w:kern w:val="0"/>
          <w:sz w:val="24"/>
          <w:szCs w:val="24"/>
          <w:lang w:eastAsia="en-GB"/>
          <w14:ligatures w14:val="none"/>
        </w:rPr>
        <w:t>Ten years on and no plans to axe the bedroom tax</w:t>
      </w:r>
      <w:r w:rsidRPr="00E84E97">
        <w:rPr>
          <w:rFonts w:ascii="Times New Roman" w:eastAsia="Times New Roman" w:hAnsi="Times New Roman" w:cs="Times New Roman"/>
          <w:kern w:val="0"/>
          <w:sz w:val="24"/>
          <w:szCs w:val="24"/>
          <w:lang w:eastAsia="en-GB"/>
          <w14:ligatures w14:val="none"/>
        </w:rPr>
        <w:t>. [online] ITV News. Available at: https://www.itv.com/news/2023-07-27/ten-years-on-and-no-plans-to-axe-the-bedroom-tax [Accessed 22 May 2024].</w:t>
      </w:r>
    </w:p>
    <w:p w14:paraId="1A61A6EA" w14:textId="77777777" w:rsidR="00562017" w:rsidRPr="00E84E97" w:rsidRDefault="00562017" w:rsidP="00562017">
      <w:pPr>
        <w:spacing w:after="240" w:line="360" w:lineRule="auto"/>
        <w:rPr>
          <w:rFonts w:ascii="Times New Roman" w:eastAsia="Times New Roman" w:hAnsi="Times New Roman" w:cs="Times New Roman"/>
          <w:kern w:val="0"/>
          <w:sz w:val="24"/>
          <w:szCs w:val="24"/>
          <w:lang w:eastAsia="en-GB"/>
          <w14:ligatures w14:val="none"/>
        </w:rPr>
      </w:pPr>
      <w:r w:rsidRPr="00E84E97">
        <w:rPr>
          <w:rFonts w:ascii="Times New Roman" w:eastAsia="Times New Roman" w:hAnsi="Times New Roman" w:cs="Times New Roman"/>
          <w:kern w:val="0"/>
          <w:sz w:val="24"/>
          <w:szCs w:val="24"/>
          <w:lang w:eastAsia="en-GB"/>
          <w14:ligatures w14:val="none"/>
        </w:rPr>
        <w:t xml:space="preserve">Kagan, J. (2023). </w:t>
      </w:r>
      <w:r w:rsidRPr="00E84E97">
        <w:rPr>
          <w:rFonts w:ascii="Times New Roman" w:eastAsia="Times New Roman" w:hAnsi="Times New Roman" w:cs="Times New Roman"/>
          <w:i/>
          <w:iCs/>
          <w:kern w:val="0"/>
          <w:sz w:val="24"/>
          <w:szCs w:val="24"/>
          <w:lang w:eastAsia="en-GB"/>
          <w14:ligatures w14:val="none"/>
        </w:rPr>
        <w:t>What is a Progressive Tax?</w:t>
      </w:r>
      <w:r w:rsidRPr="00E84E97">
        <w:rPr>
          <w:rFonts w:ascii="Times New Roman" w:eastAsia="Times New Roman" w:hAnsi="Times New Roman" w:cs="Times New Roman"/>
          <w:kern w:val="0"/>
          <w:sz w:val="24"/>
          <w:szCs w:val="24"/>
          <w:lang w:eastAsia="en-GB"/>
          <w14:ligatures w14:val="none"/>
        </w:rPr>
        <w:t xml:space="preserve"> [online] Investopedia. Available at: https://www.investopedia.com/terms/p/progressivetax.asp [Accessed 22 May 2024].</w:t>
      </w:r>
    </w:p>
    <w:p w14:paraId="2F4D1961" w14:textId="77777777" w:rsidR="00562017" w:rsidRPr="00E84E97" w:rsidRDefault="00562017" w:rsidP="00562017">
      <w:pPr>
        <w:spacing w:after="240" w:line="360" w:lineRule="auto"/>
        <w:rPr>
          <w:rFonts w:ascii="Times New Roman" w:eastAsia="Times New Roman" w:hAnsi="Times New Roman" w:cs="Times New Roman"/>
          <w:kern w:val="0"/>
          <w:sz w:val="24"/>
          <w:szCs w:val="24"/>
          <w:lang w:eastAsia="en-GB"/>
          <w14:ligatures w14:val="none"/>
        </w:rPr>
      </w:pPr>
      <w:r w:rsidRPr="00E84E97">
        <w:rPr>
          <w:rFonts w:ascii="Times New Roman" w:eastAsia="Times New Roman" w:hAnsi="Times New Roman" w:cs="Times New Roman"/>
          <w:kern w:val="0"/>
          <w:sz w:val="24"/>
          <w:szCs w:val="24"/>
          <w:lang w:eastAsia="en-GB"/>
          <w14:ligatures w14:val="none"/>
        </w:rPr>
        <w:t xml:space="preserve">LITRG (2024). </w:t>
      </w:r>
      <w:r w:rsidRPr="00E84E97">
        <w:rPr>
          <w:rFonts w:ascii="Times New Roman" w:eastAsia="Times New Roman" w:hAnsi="Times New Roman" w:cs="Times New Roman"/>
          <w:i/>
          <w:iCs/>
          <w:kern w:val="0"/>
          <w:sz w:val="24"/>
          <w:szCs w:val="24"/>
          <w:lang w:eastAsia="en-GB"/>
          <w14:ligatures w14:val="none"/>
        </w:rPr>
        <w:t>Pension tax relief: problems for low earners | Low Incomes Tax Reform Group</w:t>
      </w:r>
      <w:r w:rsidRPr="00E84E97">
        <w:rPr>
          <w:rFonts w:ascii="Times New Roman" w:eastAsia="Times New Roman" w:hAnsi="Times New Roman" w:cs="Times New Roman"/>
          <w:kern w:val="0"/>
          <w:sz w:val="24"/>
          <w:szCs w:val="24"/>
          <w:lang w:eastAsia="en-GB"/>
          <w14:ligatures w14:val="none"/>
        </w:rPr>
        <w:t>. [online] www.litrg.org.uk. Available at: https://www.litrg.org.uk/pensions/paying-pensions/tax-relief-pension-contributions/pension-tax-relief-problems-low-earners [Accessed 26 May 2024].</w:t>
      </w:r>
    </w:p>
    <w:p w14:paraId="3BD364D2" w14:textId="77777777" w:rsidR="00562017" w:rsidRPr="00E84E97" w:rsidRDefault="00562017" w:rsidP="00562017">
      <w:pPr>
        <w:spacing w:after="240" w:line="360" w:lineRule="auto"/>
        <w:rPr>
          <w:rFonts w:ascii="Times New Roman" w:eastAsia="Times New Roman" w:hAnsi="Times New Roman" w:cs="Times New Roman"/>
          <w:kern w:val="0"/>
          <w:sz w:val="24"/>
          <w:szCs w:val="24"/>
          <w:lang w:eastAsia="en-GB"/>
          <w14:ligatures w14:val="none"/>
        </w:rPr>
      </w:pPr>
      <w:r w:rsidRPr="00E84E97">
        <w:rPr>
          <w:rFonts w:ascii="Times New Roman" w:eastAsia="Times New Roman" w:hAnsi="Times New Roman" w:cs="Times New Roman"/>
          <w:kern w:val="0"/>
          <w:sz w:val="24"/>
          <w:szCs w:val="24"/>
          <w:lang w:eastAsia="en-GB"/>
          <w14:ligatures w14:val="none"/>
        </w:rPr>
        <w:t xml:space="preserve">Nanda, S. (2021). </w:t>
      </w:r>
      <w:r w:rsidRPr="00E84E97">
        <w:rPr>
          <w:rFonts w:ascii="Times New Roman" w:eastAsia="Times New Roman" w:hAnsi="Times New Roman" w:cs="Times New Roman"/>
          <w:i/>
          <w:iCs/>
          <w:kern w:val="0"/>
          <w:sz w:val="24"/>
          <w:szCs w:val="24"/>
          <w:lang w:eastAsia="en-GB"/>
          <w14:ligatures w14:val="none"/>
        </w:rPr>
        <w:t>Pulling down the ladder: The case for a proportional property tax</w:t>
      </w:r>
      <w:r w:rsidRPr="00E84E97">
        <w:rPr>
          <w:rFonts w:ascii="Times New Roman" w:eastAsia="Times New Roman" w:hAnsi="Times New Roman" w:cs="Times New Roman"/>
          <w:kern w:val="0"/>
          <w:sz w:val="24"/>
          <w:szCs w:val="24"/>
          <w:lang w:eastAsia="en-GB"/>
          <w14:ligatures w14:val="none"/>
        </w:rPr>
        <w:t>. [online] IPPR. Available at: https://www.ippr.org/articles/pulling-down-the-ladder [Accessed 20 May 2024].</w:t>
      </w:r>
    </w:p>
    <w:p w14:paraId="37CFAA2D" w14:textId="77777777" w:rsidR="00562017" w:rsidRPr="00E84E97" w:rsidRDefault="00562017" w:rsidP="00562017">
      <w:pPr>
        <w:spacing w:after="240" w:line="360" w:lineRule="auto"/>
        <w:rPr>
          <w:rFonts w:ascii="Times New Roman" w:eastAsia="Times New Roman" w:hAnsi="Times New Roman" w:cs="Times New Roman"/>
          <w:kern w:val="0"/>
          <w:sz w:val="24"/>
          <w:szCs w:val="24"/>
          <w:lang w:eastAsia="en-GB"/>
          <w14:ligatures w14:val="none"/>
        </w:rPr>
      </w:pPr>
      <w:r w:rsidRPr="00E84E97">
        <w:rPr>
          <w:rFonts w:ascii="Times New Roman" w:eastAsia="Times New Roman" w:hAnsi="Times New Roman" w:cs="Times New Roman"/>
          <w:kern w:val="0"/>
          <w:sz w:val="24"/>
          <w:szCs w:val="24"/>
          <w:lang w:eastAsia="en-GB"/>
          <w14:ligatures w14:val="none"/>
        </w:rPr>
        <w:t xml:space="preserve">Office for National Statistics (2024). </w:t>
      </w:r>
      <w:r w:rsidRPr="00E84E97">
        <w:rPr>
          <w:rFonts w:ascii="Times New Roman" w:eastAsia="Times New Roman" w:hAnsi="Times New Roman" w:cs="Times New Roman"/>
          <w:i/>
          <w:iCs/>
          <w:kern w:val="0"/>
          <w:sz w:val="24"/>
          <w:szCs w:val="24"/>
          <w:lang w:eastAsia="en-GB"/>
          <w14:ligatures w14:val="none"/>
        </w:rPr>
        <w:t>UK environmental taxes - Office for National Statistics</w:t>
      </w:r>
      <w:r w:rsidRPr="00E84E97">
        <w:rPr>
          <w:rFonts w:ascii="Times New Roman" w:eastAsia="Times New Roman" w:hAnsi="Times New Roman" w:cs="Times New Roman"/>
          <w:kern w:val="0"/>
          <w:sz w:val="24"/>
          <w:szCs w:val="24"/>
          <w:lang w:eastAsia="en-GB"/>
          <w14:ligatures w14:val="none"/>
        </w:rPr>
        <w:t>. [online] www.ons.gov.uk. Available at: https://www.ons.gov.uk/economy/environmentalaccounts/bulletins/ukenvironmentaltaxes/2023 [Accessed 27 May 2024].</w:t>
      </w:r>
    </w:p>
    <w:p w14:paraId="34C04AAD" w14:textId="77777777" w:rsidR="00562017" w:rsidRPr="00E84E97" w:rsidRDefault="00562017" w:rsidP="00562017">
      <w:pPr>
        <w:spacing w:after="240" w:line="360" w:lineRule="auto"/>
        <w:rPr>
          <w:rFonts w:ascii="Times New Roman" w:eastAsia="Times New Roman" w:hAnsi="Times New Roman" w:cs="Times New Roman"/>
          <w:kern w:val="0"/>
          <w:sz w:val="24"/>
          <w:szCs w:val="24"/>
          <w:lang w:eastAsia="en-GB"/>
          <w14:ligatures w14:val="none"/>
        </w:rPr>
      </w:pPr>
      <w:r w:rsidRPr="00E84E97">
        <w:rPr>
          <w:rFonts w:ascii="Times New Roman" w:eastAsia="Times New Roman" w:hAnsi="Times New Roman" w:cs="Times New Roman"/>
          <w:kern w:val="0"/>
          <w:sz w:val="24"/>
          <w:szCs w:val="24"/>
          <w:lang w:eastAsia="en-GB"/>
          <w14:ligatures w14:val="none"/>
        </w:rPr>
        <w:t xml:space="preserve">Roberts, C., Blakeley, G. and Murphy, L. (2018). </w:t>
      </w:r>
      <w:r w:rsidRPr="00E84E97">
        <w:rPr>
          <w:rFonts w:ascii="Times New Roman" w:eastAsia="Times New Roman" w:hAnsi="Times New Roman" w:cs="Times New Roman"/>
          <w:i/>
          <w:iCs/>
          <w:kern w:val="0"/>
          <w:sz w:val="24"/>
          <w:szCs w:val="24"/>
          <w:lang w:eastAsia="en-GB"/>
          <w14:ligatures w14:val="none"/>
        </w:rPr>
        <w:t>A Wealth of Difference: Reforming the taxation of wealth</w:t>
      </w:r>
      <w:r w:rsidRPr="00E84E97">
        <w:rPr>
          <w:rFonts w:ascii="Times New Roman" w:eastAsia="Times New Roman" w:hAnsi="Times New Roman" w:cs="Times New Roman"/>
          <w:kern w:val="0"/>
          <w:sz w:val="24"/>
          <w:szCs w:val="24"/>
          <w:lang w:eastAsia="en-GB"/>
          <w14:ligatures w14:val="none"/>
        </w:rPr>
        <w:t>. [online] IPPR. Available at: https://www.ippr.org/articles/a-wealth-of-difference [Accessed 20 May 2024].</w:t>
      </w:r>
    </w:p>
    <w:p w14:paraId="2782657B" w14:textId="1FDF9043" w:rsidR="0043527A" w:rsidRPr="00562017" w:rsidRDefault="00973B1A" w:rsidP="00973B1A">
      <w:pPr>
        <w:pStyle w:val="NormalWeb"/>
      </w:pPr>
      <w:r w:rsidRPr="00973B1A">
        <w:rPr>
          <w:rFonts w:ascii="Arial" w:hAnsi="Arial" w:cs="Arial"/>
          <w:vanish/>
          <w:sz w:val="16"/>
          <w:szCs w:val="16"/>
        </w:rPr>
        <w:t>Top of FormBottom of Form</w:t>
      </w:r>
    </w:p>
    <w:sectPr w:rsidR="0043527A" w:rsidRPr="005620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B1A"/>
    <w:rsid w:val="0043527A"/>
    <w:rsid w:val="00562017"/>
    <w:rsid w:val="008B4DF2"/>
    <w:rsid w:val="00973B1A"/>
    <w:rsid w:val="00A366B3"/>
    <w:rsid w:val="00AA2630"/>
    <w:rsid w:val="00AB2FB3"/>
    <w:rsid w:val="00B051E6"/>
    <w:rsid w:val="00B37D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C45BF"/>
  <w15:chartTrackingRefBased/>
  <w15:docId w15:val="{DF7A002F-9082-46F1-A430-10A86CE7A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B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3B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3B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B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B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B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B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B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B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B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3B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3B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B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B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B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B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B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B1A"/>
    <w:rPr>
      <w:rFonts w:eastAsiaTheme="majorEastAsia" w:cstheme="majorBidi"/>
      <w:color w:val="272727" w:themeColor="text1" w:themeTint="D8"/>
    </w:rPr>
  </w:style>
  <w:style w:type="paragraph" w:styleId="Title">
    <w:name w:val="Title"/>
    <w:basedOn w:val="Normal"/>
    <w:next w:val="Normal"/>
    <w:link w:val="TitleChar"/>
    <w:uiPriority w:val="10"/>
    <w:qFormat/>
    <w:rsid w:val="00973B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B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B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B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B1A"/>
    <w:pPr>
      <w:spacing w:before="160"/>
      <w:jc w:val="center"/>
    </w:pPr>
    <w:rPr>
      <w:i/>
      <w:iCs/>
      <w:color w:val="404040" w:themeColor="text1" w:themeTint="BF"/>
    </w:rPr>
  </w:style>
  <w:style w:type="character" w:customStyle="1" w:styleId="QuoteChar">
    <w:name w:val="Quote Char"/>
    <w:basedOn w:val="DefaultParagraphFont"/>
    <w:link w:val="Quote"/>
    <w:uiPriority w:val="29"/>
    <w:rsid w:val="00973B1A"/>
    <w:rPr>
      <w:i/>
      <w:iCs/>
      <w:color w:val="404040" w:themeColor="text1" w:themeTint="BF"/>
    </w:rPr>
  </w:style>
  <w:style w:type="paragraph" w:styleId="ListParagraph">
    <w:name w:val="List Paragraph"/>
    <w:basedOn w:val="Normal"/>
    <w:uiPriority w:val="34"/>
    <w:qFormat/>
    <w:rsid w:val="00973B1A"/>
    <w:pPr>
      <w:ind w:left="720"/>
      <w:contextualSpacing/>
    </w:pPr>
  </w:style>
  <w:style w:type="character" w:styleId="IntenseEmphasis">
    <w:name w:val="Intense Emphasis"/>
    <w:basedOn w:val="DefaultParagraphFont"/>
    <w:uiPriority w:val="21"/>
    <w:qFormat/>
    <w:rsid w:val="00973B1A"/>
    <w:rPr>
      <w:i/>
      <w:iCs/>
      <w:color w:val="0F4761" w:themeColor="accent1" w:themeShade="BF"/>
    </w:rPr>
  </w:style>
  <w:style w:type="paragraph" w:styleId="IntenseQuote">
    <w:name w:val="Intense Quote"/>
    <w:basedOn w:val="Normal"/>
    <w:next w:val="Normal"/>
    <w:link w:val="IntenseQuoteChar"/>
    <w:uiPriority w:val="30"/>
    <w:qFormat/>
    <w:rsid w:val="00973B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B1A"/>
    <w:rPr>
      <w:i/>
      <w:iCs/>
      <w:color w:val="0F4761" w:themeColor="accent1" w:themeShade="BF"/>
    </w:rPr>
  </w:style>
  <w:style w:type="character" w:styleId="IntenseReference">
    <w:name w:val="Intense Reference"/>
    <w:basedOn w:val="DefaultParagraphFont"/>
    <w:uiPriority w:val="32"/>
    <w:qFormat/>
    <w:rsid w:val="00973B1A"/>
    <w:rPr>
      <w:b/>
      <w:bCs/>
      <w:smallCaps/>
      <w:color w:val="0F4761" w:themeColor="accent1" w:themeShade="BF"/>
      <w:spacing w:val="5"/>
    </w:rPr>
  </w:style>
  <w:style w:type="paragraph" w:styleId="NormalWeb">
    <w:name w:val="Normal (Web)"/>
    <w:basedOn w:val="Normal"/>
    <w:uiPriority w:val="99"/>
    <w:unhideWhenUsed/>
    <w:rsid w:val="00973B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ine-clamp-1">
    <w:name w:val="line-clamp-1"/>
    <w:basedOn w:val="DefaultParagraphFont"/>
    <w:rsid w:val="00973B1A"/>
  </w:style>
  <w:style w:type="paragraph" w:styleId="z-TopofForm">
    <w:name w:val="HTML Top of Form"/>
    <w:basedOn w:val="Normal"/>
    <w:next w:val="Normal"/>
    <w:link w:val="z-TopofFormChar"/>
    <w:hidden/>
    <w:uiPriority w:val="99"/>
    <w:semiHidden/>
    <w:unhideWhenUsed/>
    <w:rsid w:val="00973B1A"/>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973B1A"/>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973B1A"/>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973B1A"/>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854594">
      <w:bodyDiv w:val="1"/>
      <w:marLeft w:val="0"/>
      <w:marRight w:val="0"/>
      <w:marTop w:val="0"/>
      <w:marBottom w:val="0"/>
      <w:divBdr>
        <w:top w:val="none" w:sz="0" w:space="0" w:color="auto"/>
        <w:left w:val="none" w:sz="0" w:space="0" w:color="auto"/>
        <w:bottom w:val="none" w:sz="0" w:space="0" w:color="auto"/>
        <w:right w:val="none" w:sz="0" w:space="0" w:color="auto"/>
      </w:divBdr>
      <w:divsChild>
        <w:div w:id="1523281672">
          <w:marLeft w:val="0"/>
          <w:marRight w:val="0"/>
          <w:marTop w:val="0"/>
          <w:marBottom w:val="0"/>
          <w:divBdr>
            <w:top w:val="none" w:sz="0" w:space="0" w:color="auto"/>
            <w:left w:val="none" w:sz="0" w:space="0" w:color="auto"/>
            <w:bottom w:val="none" w:sz="0" w:space="0" w:color="auto"/>
            <w:right w:val="none" w:sz="0" w:space="0" w:color="auto"/>
          </w:divBdr>
        </w:div>
      </w:divsChild>
    </w:div>
    <w:div w:id="1215507661">
      <w:bodyDiv w:val="1"/>
      <w:marLeft w:val="0"/>
      <w:marRight w:val="0"/>
      <w:marTop w:val="0"/>
      <w:marBottom w:val="0"/>
      <w:divBdr>
        <w:top w:val="none" w:sz="0" w:space="0" w:color="auto"/>
        <w:left w:val="none" w:sz="0" w:space="0" w:color="auto"/>
        <w:bottom w:val="none" w:sz="0" w:space="0" w:color="auto"/>
        <w:right w:val="none" w:sz="0" w:space="0" w:color="auto"/>
      </w:divBdr>
      <w:divsChild>
        <w:div w:id="66460707">
          <w:marLeft w:val="0"/>
          <w:marRight w:val="0"/>
          <w:marTop w:val="0"/>
          <w:marBottom w:val="0"/>
          <w:divBdr>
            <w:top w:val="none" w:sz="0" w:space="0" w:color="auto"/>
            <w:left w:val="none" w:sz="0" w:space="0" w:color="auto"/>
            <w:bottom w:val="none" w:sz="0" w:space="0" w:color="auto"/>
            <w:right w:val="none" w:sz="0" w:space="0" w:color="auto"/>
          </w:divBdr>
          <w:divsChild>
            <w:div w:id="229778121">
              <w:marLeft w:val="0"/>
              <w:marRight w:val="0"/>
              <w:marTop w:val="0"/>
              <w:marBottom w:val="0"/>
              <w:divBdr>
                <w:top w:val="none" w:sz="0" w:space="0" w:color="auto"/>
                <w:left w:val="none" w:sz="0" w:space="0" w:color="auto"/>
                <w:bottom w:val="none" w:sz="0" w:space="0" w:color="auto"/>
                <w:right w:val="none" w:sz="0" w:space="0" w:color="auto"/>
              </w:divBdr>
              <w:divsChild>
                <w:div w:id="1116296558">
                  <w:marLeft w:val="0"/>
                  <w:marRight w:val="0"/>
                  <w:marTop w:val="0"/>
                  <w:marBottom w:val="0"/>
                  <w:divBdr>
                    <w:top w:val="none" w:sz="0" w:space="0" w:color="auto"/>
                    <w:left w:val="none" w:sz="0" w:space="0" w:color="auto"/>
                    <w:bottom w:val="none" w:sz="0" w:space="0" w:color="auto"/>
                    <w:right w:val="none" w:sz="0" w:space="0" w:color="auto"/>
                  </w:divBdr>
                  <w:divsChild>
                    <w:div w:id="2093548599">
                      <w:marLeft w:val="0"/>
                      <w:marRight w:val="0"/>
                      <w:marTop w:val="0"/>
                      <w:marBottom w:val="0"/>
                      <w:divBdr>
                        <w:top w:val="none" w:sz="0" w:space="0" w:color="auto"/>
                        <w:left w:val="none" w:sz="0" w:space="0" w:color="auto"/>
                        <w:bottom w:val="none" w:sz="0" w:space="0" w:color="auto"/>
                        <w:right w:val="none" w:sz="0" w:space="0" w:color="auto"/>
                      </w:divBdr>
                      <w:divsChild>
                        <w:div w:id="1580943225">
                          <w:marLeft w:val="0"/>
                          <w:marRight w:val="0"/>
                          <w:marTop w:val="0"/>
                          <w:marBottom w:val="0"/>
                          <w:divBdr>
                            <w:top w:val="none" w:sz="0" w:space="0" w:color="auto"/>
                            <w:left w:val="none" w:sz="0" w:space="0" w:color="auto"/>
                            <w:bottom w:val="none" w:sz="0" w:space="0" w:color="auto"/>
                            <w:right w:val="none" w:sz="0" w:space="0" w:color="auto"/>
                          </w:divBdr>
                          <w:divsChild>
                            <w:div w:id="1333338861">
                              <w:marLeft w:val="0"/>
                              <w:marRight w:val="0"/>
                              <w:marTop w:val="0"/>
                              <w:marBottom w:val="0"/>
                              <w:divBdr>
                                <w:top w:val="none" w:sz="0" w:space="0" w:color="auto"/>
                                <w:left w:val="none" w:sz="0" w:space="0" w:color="auto"/>
                                <w:bottom w:val="none" w:sz="0" w:space="0" w:color="auto"/>
                                <w:right w:val="none" w:sz="0" w:space="0" w:color="auto"/>
                              </w:divBdr>
                              <w:divsChild>
                                <w:div w:id="272640835">
                                  <w:marLeft w:val="0"/>
                                  <w:marRight w:val="0"/>
                                  <w:marTop w:val="0"/>
                                  <w:marBottom w:val="0"/>
                                  <w:divBdr>
                                    <w:top w:val="none" w:sz="0" w:space="0" w:color="auto"/>
                                    <w:left w:val="none" w:sz="0" w:space="0" w:color="auto"/>
                                    <w:bottom w:val="none" w:sz="0" w:space="0" w:color="auto"/>
                                    <w:right w:val="none" w:sz="0" w:space="0" w:color="auto"/>
                                  </w:divBdr>
                                  <w:divsChild>
                                    <w:div w:id="191724817">
                                      <w:marLeft w:val="0"/>
                                      <w:marRight w:val="0"/>
                                      <w:marTop w:val="0"/>
                                      <w:marBottom w:val="0"/>
                                      <w:divBdr>
                                        <w:top w:val="none" w:sz="0" w:space="0" w:color="auto"/>
                                        <w:left w:val="none" w:sz="0" w:space="0" w:color="auto"/>
                                        <w:bottom w:val="none" w:sz="0" w:space="0" w:color="auto"/>
                                        <w:right w:val="none" w:sz="0" w:space="0" w:color="auto"/>
                                      </w:divBdr>
                                      <w:divsChild>
                                        <w:div w:id="741681095">
                                          <w:marLeft w:val="0"/>
                                          <w:marRight w:val="0"/>
                                          <w:marTop w:val="0"/>
                                          <w:marBottom w:val="0"/>
                                          <w:divBdr>
                                            <w:top w:val="none" w:sz="0" w:space="0" w:color="auto"/>
                                            <w:left w:val="none" w:sz="0" w:space="0" w:color="auto"/>
                                            <w:bottom w:val="none" w:sz="0" w:space="0" w:color="auto"/>
                                            <w:right w:val="none" w:sz="0" w:space="0" w:color="auto"/>
                                          </w:divBdr>
                                          <w:divsChild>
                                            <w:div w:id="1338146032">
                                              <w:marLeft w:val="0"/>
                                              <w:marRight w:val="0"/>
                                              <w:marTop w:val="0"/>
                                              <w:marBottom w:val="0"/>
                                              <w:divBdr>
                                                <w:top w:val="none" w:sz="0" w:space="0" w:color="auto"/>
                                                <w:left w:val="none" w:sz="0" w:space="0" w:color="auto"/>
                                                <w:bottom w:val="none" w:sz="0" w:space="0" w:color="auto"/>
                                                <w:right w:val="none" w:sz="0" w:space="0" w:color="auto"/>
                                              </w:divBdr>
                                              <w:divsChild>
                                                <w:div w:id="1510830859">
                                                  <w:marLeft w:val="0"/>
                                                  <w:marRight w:val="0"/>
                                                  <w:marTop w:val="0"/>
                                                  <w:marBottom w:val="0"/>
                                                  <w:divBdr>
                                                    <w:top w:val="none" w:sz="0" w:space="0" w:color="auto"/>
                                                    <w:left w:val="none" w:sz="0" w:space="0" w:color="auto"/>
                                                    <w:bottom w:val="none" w:sz="0" w:space="0" w:color="auto"/>
                                                    <w:right w:val="none" w:sz="0" w:space="0" w:color="auto"/>
                                                  </w:divBdr>
                                                  <w:divsChild>
                                                    <w:div w:id="978415689">
                                                      <w:marLeft w:val="0"/>
                                                      <w:marRight w:val="0"/>
                                                      <w:marTop w:val="0"/>
                                                      <w:marBottom w:val="0"/>
                                                      <w:divBdr>
                                                        <w:top w:val="none" w:sz="0" w:space="0" w:color="auto"/>
                                                        <w:left w:val="none" w:sz="0" w:space="0" w:color="auto"/>
                                                        <w:bottom w:val="none" w:sz="0" w:space="0" w:color="auto"/>
                                                        <w:right w:val="none" w:sz="0" w:space="0" w:color="auto"/>
                                                      </w:divBdr>
                                                      <w:divsChild>
                                                        <w:div w:id="1775250146">
                                                          <w:marLeft w:val="0"/>
                                                          <w:marRight w:val="0"/>
                                                          <w:marTop w:val="0"/>
                                                          <w:marBottom w:val="0"/>
                                                          <w:divBdr>
                                                            <w:top w:val="none" w:sz="0" w:space="0" w:color="auto"/>
                                                            <w:left w:val="none" w:sz="0" w:space="0" w:color="auto"/>
                                                            <w:bottom w:val="none" w:sz="0" w:space="0" w:color="auto"/>
                                                            <w:right w:val="none" w:sz="0" w:space="0" w:color="auto"/>
                                                          </w:divBdr>
                                                          <w:divsChild>
                                                            <w:div w:id="95355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326366">
                                                  <w:marLeft w:val="0"/>
                                                  <w:marRight w:val="0"/>
                                                  <w:marTop w:val="0"/>
                                                  <w:marBottom w:val="0"/>
                                                  <w:divBdr>
                                                    <w:top w:val="none" w:sz="0" w:space="0" w:color="auto"/>
                                                    <w:left w:val="none" w:sz="0" w:space="0" w:color="auto"/>
                                                    <w:bottom w:val="none" w:sz="0" w:space="0" w:color="auto"/>
                                                    <w:right w:val="none" w:sz="0" w:space="0" w:color="auto"/>
                                                  </w:divBdr>
                                                  <w:divsChild>
                                                    <w:div w:id="541525695">
                                                      <w:marLeft w:val="0"/>
                                                      <w:marRight w:val="0"/>
                                                      <w:marTop w:val="0"/>
                                                      <w:marBottom w:val="0"/>
                                                      <w:divBdr>
                                                        <w:top w:val="none" w:sz="0" w:space="0" w:color="auto"/>
                                                        <w:left w:val="none" w:sz="0" w:space="0" w:color="auto"/>
                                                        <w:bottom w:val="none" w:sz="0" w:space="0" w:color="auto"/>
                                                        <w:right w:val="none" w:sz="0" w:space="0" w:color="auto"/>
                                                      </w:divBdr>
                                                      <w:divsChild>
                                                        <w:div w:id="528565123">
                                                          <w:marLeft w:val="0"/>
                                                          <w:marRight w:val="0"/>
                                                          <w:marTop w:val="0"/>
                                                          <w:marBottom w:val="0"/>
                                                          <w:divBdr>
                                                            <w:top w:val="none" w:sz="0" w:space="0" w:color="auto"/>
                                                            <w:left w:val="none" w:sz="0" w:space="0" w:color="auto"/>
                                                            <w:bottom w:val="none" w:sz="0" w:space="0" w:color="auto"/>
                                                            <w:right w:val="none" w:sz="0" w:space="0" w:color="auto"/>
                                                          </w:divBdr>
                                                          <w:divsChild>
                                                            <w:div w:id="36988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9308729">
          <w:marLeft w:val="0"/>
          <w:marRight w:val="0"/>
          <w:marTop w:val="0"/>
          <w:marBottom w:val="0"/>
          <w:divBdr>
            <w:top w:val="none" w:sz="0" w:space="0" w:color="auto"/>
            <w:left w:val="none" w:sz="0" w:space="0" w:color="auto"/>
            <w:bottom w:val="none" w:sz="0" w:space="0" w:color="auto"/>
            <w:right w:val="none" w:sz="0" w:space="0" w:color="auto"/>
          </w:divBdr>
          <w:divsChild>
            <w:div w:id="1280527340">
              <w:marLeft w:val="0"/>
              <w:marRight w:val="0"/>
              <w:marTop w:val="0"/>
              <w:marBottom w:val="0"/>
              <w:divBdr>
                <w:top w:val="none" w:sz="0" w:space="0" w:color="auto"/>
                <w:left w:val="none" w:sz="0" w:space="0" w:color="auto"/>
                <w:bottom w:val="none" w:sz="0" w:space="0" w:color="auto"/>
                <w:right w:val="none" w:sz="0" w:space="0" w:color="auto"/>
              </w:divBdr>
              <w:divsChild>
                <w:div w:id="1790732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0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7</Pages>
  <Words>2938</Words>
  <Characters>16749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Howells (2110727)</dc:creator>
  <cp:keywords/>
  <dc:description/>
  <cp:lastModifiedBy>Lauren Howells (2110727)</cp:lastModifiedBy>
  <cp:revision>1</cp:revision>
  <dcterms:created xsi:type="dcterms:W3CDTF">2024-06-07T21:37:00Z</dcterms:created>
  <dcterms:modified xsi:type="dcterms:W3CDTF">2024-06-07T22:09:00Z</dcterms:modified>
</cp:coreProperties>
</file>