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19DB" w:rsidRPr="00321155" w:rsidRDefault="00A119DB" w:rsidP="00321155">
      <w:pPr>
        <w:spacing w:after="0" w:line="480" w:lineRule="auto"/>
        <w:rPr>
          <w:rFonts w:ascii="Times New Roman" w:hAnsi="Times New Roman" w:cs="Times New Roman"/>
          <w:color w:val="000000" w:themeColor="text1"/>
          <w:sz w:val="24"/>
          <w:szCs w:val="24"/>
          <w:lang w:val="en-GB"/>
        </w:rPr>
      </w:pPr>
      <w:proofErr w:type="spellStart"/>
      <w:r w:rsidRPr="00321155">
        <w:rPr>
          <w:rFonts w:ascii="Times New Roman" w:hAnsi="Times New Roman" w:cs="Times New Roman"/>
          <w:color w:val="000000" w:themeColor="text1"/>
          <w:sz w:val="24"/>
          <w:szCs w:val="24"/>
          <w:lang w:val="en-GB"/>
        </w:rPr>
        <w:t>Name</w:t>
      </w:r>
      <w:r w:rsidR="00D40ACD">
        <w:rPr>
          <w:rFonts w:ascii="Times New Roman" w:hAnsi="Times New Roman" w:cs="Times New Roman"/>
          <w:color w:val="000000" w:themeColor="text1"/>
          <w:sz w:val="24"/>
          <w:szCs w:val="24"/>
          <w:lang w:val="en-GB"/>
        </w:rPr>
        <w:t>:ANDREEA</w:t>
      </w:r>
      <w:proofErr w:type="spellEnd"/>
      <w:r w:rsidR="00D40ACD">
        <w:rPr>
          <w:rFonts w:ascii="Times New Roman" w:hAnsi="Times New Roman" w:cs="Times New Roman"/>
          <w:color w:val="000000" w:themeColor="text1"/>
          <w:sz w:val="24"/>
          <w:szCs w:val="24"/>
          <w:lang w:val="en-GB"/>
        </w:rPr>
        <w:t xml:space="preserve"> DIANA CARABUS </w:t>
      </w:r>
    </w:p>
    <w:p w:rsidR="00A119DB" w:rsidRDefault="0083505A" w:rsidP="00321155">
      <w:pPr>
        <w:spacing w:after="0" w:line="48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Student Number:1914045</w:t>
      </w:r>
    </w:p>
    <w:p w:rsidR="00724BD2" w:rsidRPr="00321155" w:rsidRDefault="00724BD2" w:rsidP="00321155">
      <w:pPr>
        <w:spacing w:after="0" w:line="480" w:lineRule="auto"/>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Lecturer:TANJA</w:t>
      </w:r>
      <w:proofErr w:type="spellEnd"/>
      <w:r>
        <w:rPr>
          <w:rFonts w:ascii="Times New Roman" w:hAnsi="Times New Roman" w:cs="Times New Roman"/>
          <w:color w:val="000000" w:themeColor="text1"/>
          <w:sz w:val="24"/>
          <w:szCs w:val="24"/>
          <w:lang w:val="en-GB"/>
        </w:rPr>
        <w:t xml:space="preserve"> NATHAN </w:t>
      </w:r>
    </w:p>
    <w:p w:rsidR="00A119DB" w:rsidRPr="00321155" w:rsidRDefault="00BB4658" w:rsidP="00321155">
      <w:pPr>
        <w:spacing w:after="0" w:line="480" w:lineRule="auto"/>
        <w:rPr>
          <w:rFonts w:ascii="Times New Roman" w:hAnsi="Times New Roman" w:cs="Times New Roman"/>
          <w:color w:val="000000" w:themeColor="text1"/>
          <w:sz w:val="24"/>
          <w:szCs w:val="24"/>
          <w:lang w:val="en-GB"/>
        </w:rPr>
      </w:pPr>
      <w:proofErr w:type="spellStart"/>
      <w:r>
        <w:rPr>
          <w:rFonts w:ascii="Times New Roman" w:hAnsi="Times New Roman" w:cs="Times New Roman"/>
          <w:color w:val="000000" w:themeColor="text1"/>
          <w:sz w:val="24"/>
          <w:szCs w:val="24"/>
          <w:lang w:val="en-GB"/>
        </w:rPr>
        <w:t>Module:COMMUNITY</w:t>
      </w:r>
      <w:proofErr w:type="spellEnd"/>
      <w:r>
        <w:rPr>
          <w:rFonts w:ascii="Times New Roman" w:hAnsi="Times New Roman" w:cs="Times New Roman"/>
          <w:color w:val="000000" w:themeColor="text1"/>
          <w:sz w:val="24"/>
          <w:szCs w:val="24"/>
          <w:lang w:val="en-GB"/>
        </w:rPr>
        <w:t xml:space="preserve"> ENGAGEMENT </w:t>
      </w:r>
    </w:p>
    <w:p w:rsidR="00A119DB" w:rsidRPr="00321155" w:rsidRDefault="006965C7" w:rsidP="00321155">
      <w:pPr>
        <w:spacing w:after="0" w:line="48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BABM, Assessment 2</w:t>
      </w:r>
    </w:p>
    <w:p w:rsidR="00B16D87" w:rsidRPr="00321155" w:rsidRDefault="00C43F93" w:rsidP="00321155">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REFLECTIVE EVALUATION </w:t>
      </w:r>
    </w:p>
    <w:p w:rsidR="00321155" w:rsidRPr="00321155" w:rsidRDefault="00321155" w:rsidP="00321155">
      <w:pPr>
        <w:shd w:val="clear" w:color="auto" w:fill="FFFFFF"/>
        <w:spacing w:after="0" w:line="480" w:lineRule="auto"/>
        <w:ind w:firstLine="720"/>
        <w:textAlignment w:val="baseline"/>
        <w:rPr>
          <w:rFonts w:ascii="Times New Roman" w:hAnsi="Times New Roman" w:cs="Times New Roman"/>
          <w:color w:val="000000" w:themeColor="text1"/>
          <w:sz w:val="24"/>
          <w:szCs w:val="24"/>
          <w:lang w:val="en-GB"/>
        </w:rPr>
      </w:pPr>
      <w:r w:rsidRPr="00321155">
        <w:rPr>
          <w:rFonts w:ascii="Times New Roman" w:hAnsi="Times New Roman" w:cs="Times New Roman"/>
          <w:color w:val="000000" w:themeColor="text1"/>
          <w:sz w:val="24"/>
          <w:szCs w:val="24"/>
          <w:lang w:val="en-GB"/>
        </w:rPr>
        <w:t>As a major in business management, I have learned to appreciate that community engagement is very crucial as it increases the likelihood that solutions and projects are accepted widely. This means individuals who are engaged in the process have essential commitments n working towards ensuring the occurrence of the project. In my early days as a college student of business management, I wanted to know the real importance of community engagement. I have now realized that engaging the community creates solutions that are effective as it draws the local knowledge from the diverse category, and this creates solutions that are effective and practical. Engaging ourselves plus engaging within the community with issues that pertain the society makes one open and aware of theories that are different from the relationship and roles that they work towards. Being concerned and aware of the activities of the society are some of the features that are needed at the moment.</w:t>
      </w:r>
    </w:p>
    <w:p w:rsidR="00321155" w:rsidRPr="00321155" w:rsidRDefault="00321155" w:rsidP="00321155">
      <w:pPr>
        <w:shd w:val="clear" w:color="auto" w:fill="FFFFFF"/>
        <w:spacing w:after="0" w:line="480" w:lineRule="auto"/>
        <w:ind w:firstLine="720"/>
        <w:textAlignment w:val="baseline"/>
        <w:rPr>
          <w:rFonts w:ascii="Times New Roman" w:hAnsi="Times New Roman" w:cs="Times New Roman"/>
          <w:color w:val="000000" w:themeColor="text1"/>
          <w:sz w:val="24"/>
          <w:szCs w:val="24"/>
          <w:lang w:val="en-GB"/>
        </w:rPr>
      </w:pPr>
      <w:r w:rsidRPr="00321155">
        <w:rPr>
          <w:rFonts w:ascii="Times New Roman" w:hAnsi="Times New Roman" w:cs="Times New Roman"/>
          <w:color w:val="000000" w:themeColor="text1"/>
          <w:sz w:val="24"/>
          <w:szCs w:val="24"/>
          <w:lang w:val="en-GB"/>
        </w:rPr>
        <w:t xml:space="preserve">Commonly just like any other student, have always been a thinker; however, through the coursework, I have sharpened my analysis skills. Instead of limiting myself to existing descriptions, have realized that community engagement can be described to be the process whereby institutions work, or community groups do engage one another mutually in addressing circumstances as well as institutions that greatly influence or impact the well-being of the community or the group. By challenging my thinking and reading numerous books, have come in terms with that fact that community engagement does integrate and empowers individuals of all </w:t>
      </w:r>
      <w:r w:rsidRPr="00321155">
        <w:rPr>
          <w:rFonts w:ascii="Times New Roman" w:hAnsi="Times New Roman" w:cs="Times New Roman"/>
          <w:color w:val="000000" w:themeColor="text1"/>
          <w:sz w:val="24"/>
          <w:szCs w:val="24"/>
          <w:lang w:val="en-GB"/>
        </w:rPr>
        <w:lastRenderedPageBreak/>
        <w:t>forms that have backgrounds that are different. It happens since it creates a local network for members of the community, and it makes the community reach their goals. Through community engagement, it develops trust in the organization of the community as well as governance since working together increases understanding and communication.</w:t>
      </w:r>
    </w:p>
    <w:p w:rsidR="000855EF"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hAnsi="Times New Roman" w:cs="Times New Roman"/>
          <w:color w:val="000000" w:themeColor="text1"/>
          <w:sz w:val="24"/>
          <w:szCs w:val="24"/>
          <w:lang w:val="en-GB"/>
        </w:rPr>
        <w:t>Moving past classwork only, have been able to understand a model does not commonly determine that engagement to such an extent as by a structure of core values, methodologies, and approaches. This structure depends on rules that regard the privilege of all community individuals to be educated, counselled, included and engaged. Community engagement utilizes and scope of devices and systems to guarantee achievement. It additionally puts a premium on cultivating and improving trust as a fundamental component in the long haul, maintainable engagement and robust administration. My thoughts are now more detailed, and my mind is significantly impacted that community engagement is consequently a key procedure with the particular motivation behind working with recognized gatherings of individuals, regardless of whether they are associated by geographic area, unique intrigue, or connection to distinguish and address issues influencing their prosperity. My understanding of community engagement is more concise to realize that connecting of the term community to engagement serves to expand the degree, moving the concentration from the person to the group, with the related ramifications for comprehensiveness to guarantee thought is made of the decent variety that exists inside any community.</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Practically speaking, community engagement is a mix of science and artistry. The science originates from humanism, clear strategy, political theory, human social sciences, and hierarchical turn of events, brain research, social-brain science and different controls. It likewise originates from sorting out ideas drawn from the writing on community cooperation, community advancement, demographic voting structure, and community brain science. The craft originates </w:t>
      </w:r>
      <w:r w:rsidRPr="00321155">
        <w:rPr>
          <w:rFonts w:ascii="Times New Roman" w:eastAsia="Times New Roman" w:hAnsi="Times New Roman" w:cs="Times New Roman"/>
          <w:color w:val="000000" w:themeColor="text1"/>
          <w:sz w:val="24"/>
          <w:szCs w:val="24"/>
          <w:lang w:val="en-GB"/>
        </w:rPr>
        <w:lastRenderedPageBreak/>
        <w:t xml:space="preserve">from the getting, expertise, and affectability used to apply and adjust the science in manners that fit the community and the reasons for explicit engagement endeavours.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The course has helped me have the ability that is not one-sided on the concentration of community engagement. Community engagement can be perplexing and work concentrated and requires committed assets, for example, time, financing, and individuals with vital aptitudes. Residents and pioneers in networks over the United States, and without a doubt in numerous pieces of the world, are battling to settle on the correct decisions for the networks and issues they address. Building and executing unnecessary procedures requires a strong establishing in the best devices, strategies, and data access. There is proof that current types of administration are not prevailing with regards to improving results and are not entirely used, particularly by families with different and complex needs.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From my outside readings, notwithstanding escalated, good-natured and all around planned human help activities, some Australian people group have been left behind as others flourish. In a report exploring community-level hindrance in Australia, the networks that were distinguished as fundamentally impeded in 2014 were commonly equivalent to those recognized before. In looking to improve results in these networks, selection of an individual-centred methodology instead of a spot centred methodology and try to assist people with accomplishing better close to home results or even leave the area. Nonetheless, if in general enhancements in these networks are to be accomplished, an alternate way to deal with the plan and additionally conveyance of administrations is required. It might be that the intricacy of the issues in these networks is to such an extent that conventional ways to deal with tending to the issues have been ineffectual. </w:t>
      </w:r>
    </w:p>
    <w:p w:rsidR="000E0D6B"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It has become difficult for me to identify gaps regarding my knowledge since I have the feeling of being satisfied with my course. It has been contended that customary open help change </w:t>
      </w:r>
      <w:r w:rsidRPr="00321155">
        <w:rPr>
          <w:rFonts w:ascii="Times New Roman" w:eastAsia="Times New Roman" w:hAnsi="Times New Roman" w:cs="Times New Roman"/>
          <w:color w:val="000000" w:themeColor="text1"/>
          <w:sz w:val="24"/>
          <w:szCs w:val="24"/>
          <w:lang w:val="en-GB"/>
        </w:rPr>
        <w:lastRenderedPageBreak/>
        <w:t>in the UK is falling flat since its structure neglects to get a handle on that neither markets nor brought together administrations are compelling models for conveying open administrations dependent on connections. The free help change motivation cannot succeed almost by the top-down inconvenience of concentrated targets or more market-based decision. Community engagement can result in improved results. Second support for community engagement is that it can prompt improved results for networks - the many avocations.</w:t>
      </w:r>
      <w:r w:rsidR="000855EF" w:rsidRPr="00321155">
        <w:rPr>
          <w:rFonts w:ascii="Times New Roman" w:eastAsia="Times New Roman" w:hAnsi="Times New Roman" w:cs="Times New Roman"/>
          <w:color w:val="000000" w:themeColor="text1"/>
          <w:sz w:val="24"/>
          <w:szCs w:val="24"/>
          <w:lang w:val="en-GB"/>
        </w:rPr>
        <w:t xml:space="preserve"> </w:t>
      </w:r>
    </w:p>
    <w:p w:rsidR="00A0379D"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From my understanding, the figure beneath plots the rationale of this case. As this shows: when organizations search out the yearnings, concerns and estimations of networks; and networks share their desires, concerns and qualities with establishments; and these goals, concerns and estimations of networks are consolidated into dynamic procedures; the foundations are better ready to address the issues of networks - basically because of being better educated. Building up a compelling organization between administration frameworks and networks brings about a unique feeling of proprietorship, more prominent take-up of administrations and better results for kids and families. This would thus prompt improved results for networks because of mediations and approaches that are custom-made to the particular desires, concerns and estimations of that community. As per our meaning of community engagement, the entirety of the associations that are engaged with those procedures would be educated by the standards of uprightness, pondering, incorporation, and impact.</w:t>
      </w:r>
    </w:p>
    <w:p w:rsidR="005820C6" w:rsidRPr="00321155" w:rsidRDefault="005820C6"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noProof/>
          <w:color w:val="000000" w:themeColor="text1"/>
          <w:sz w:val="24"/>
          <w:szCs w:val="24"/>
          <w:lang w:val="en-GB" w:eastAsia="uk-UA"/>
        </w:rPr>
        <w:lastRenderedPageBreak/>
        <w:drawing>
          <wp:inline distT="0" distB="0" distL="0" distR="0" wp14:anchorId="4CC5BB3E" wp14:editId="58AD2665">
            <wp:extent cx="5943600" cy="309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TY.PNG"/>
                    <pic:cNvPicPr/>
                  </pic:nvPicPr>
                  <pic:blipFill>
                    <a:blip r:embed="rId6">
                      <a:extLst>
                        <a:ext uri="{28A0092B-C50C-407E-A947-70E740481C1C}">
                          <a14:useLocalDpi xmlns:a14="http://schemas.microsoft.com/office/drawing/2010/main" val="0"/>
                        </a:ext>
                      </a:extLst>
                    </a:blip>
                    <a:stretch>
                      <a:fillRect/>
                    </a:stretch>
                  </pic:blipFill>
                  <pic:spPr>
                    <a:xfrm>
                      <a:off x="0" y="0"/>
                      <a:ext cx="5943600" cy="3092450"/>
                    </a:xfrm>
                    <a:prstGeom prst="rect">
                      <a:avLst/>
                    </a:prstGeom>
                  </pic:spPr>
                </pic:pic>
              </a:graphicData>
            </a:graphic>
          </wp:inline>
        </w:drawing>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Another improvement on my ability is that significant community engagement is raw as a result of the proof that non-investment in its different structures is harming for wellbeing and prosperity. Non-cooperation is known to prompt sentiments of frailty, which prompts sentiments of interminable worry, with negative ramifications for wellbeing and prosperity. Cooperation ought to be comprehended both regarding access - being remembered for esteemed social settings and exercises - and as far as an office - feeling that one can contribute genuinely to those exercises. Non-cooperation may appear as prohibition from esteemed settings and exercises or having no ability to shape what occurs in those settings or exercises. The thought of functional capacities is like the Capabilities Approach. Community engagement is a method of guaranteeing that community individuals approach esteemed social settings and exercises, feel that they can contribute genuinely to those exercises, and create utilitarian abilities that empower them to take an interest completely.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There is a rights-based contention for community engagement and support. From my interpretation, for example, the United Nations-supported Brisbane Declaration on Community Engagement recognized "the widespread intrigue and significance of community engagement, </w:t>
      </w:r>
      <w:r w:rsidRPr="00321155">
        <w:rPr>
          <w:rFonts w:ascii="Times New Roman" w:eastAsia="Times New Roman" w:hAnsi="Times New Roman" w:cs="Times New Roman"/>
          <w:color w:val="000000" w:themeColor="text1"/>
          <w:sz w:val="24"/>
          <w:szCs w:val="24"/>
          <w:lang w:val="en-GB"/>
        </w:rPr>
        <w:lastRenderedPageBreak/>
        <w:t xml:space="preserve">established in the characteristic poise of individuals and the qualities, rights and duties surprisingly communicated in the Universal Declaration on Human Rights". Notwithstanding the proof to show its viability, it could be contended that community engagement - that is, the procedure whereby the general population adds to dynamic procedures - is a top urban right. Undoubtedly, defenders of this view hold that community engagement is the way to participatory - instead of merely agent - popular government. Community engagement mirrors the privilege of residents to be associated with administration past the voting station and a crucial consistent trade among governors and the administered.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Community engagement is an open investment, including individuals in critical thinking or dynamic procedures. It is a multifaceted, continuous procedure. Community engagement is the way toward working cooperatively with gatherings of individuals who are subsidiary by geographic nearness, exceptional premiums or comparative circumstances as for issues influencing their prosperity. The significance of connecting with the community is grounded in the conviction that people, in general, has an option to partake. Government organizations that accept that by utilizing our aggregate insight and cooperating, will all the more precisely distinguish issues and grow progressively exquisite and viable arrangements. Strife is limited if people, in general, have gotten an opportunity to become tied up with the procedure.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I consider community engagement to be significant since as government offices face the test of building increasingly robust, manageable and more beneficial networks, the achievement will rely on the exertion put resources into uniting individuals, assembling and sustaining long haul connections. Different advantages will be acknowledged as new people and associations over our various networks are incorporated and included. Potential advantages to members include organizing openings, access to data and assets, individual acknowledgement, ability improvement, and a feeling of commitment and supportiveness in taking care of community </w:t>
      </w:r>
      <w:r w:rsidRPr="00321155">
        <w:rPr>
          <w:rFonts w:ascii="Times New Roman" w:eastAsia="Times New Roman" w:hAnsi="Times New Roman" w:cs="Times New Roman"/>
          <w:color w:val="000000" w:themeColor="text1"/>
          <w:sz w:val="24"/>
          <w:szCs w:val="24"/>
          <w:lang w:val="en-GB"/>
        </w:rPr>
        <w:lastRenderedPageBreak/>
        <w:t xml:space="preserve">issues. Banding together with the community is essential to make a change. Association is a connection between people or gatherings that are portrayed by mutual collaboration and obligation, concerning the accomplishment of a predefined objective. All parts of community engagement must perceive and regard the decent variety of the community. The consciousness of the different societies of a community and different components influencing decent variety must be vital in arranging, planning, and actualizing ways to deal withdrawing in a community.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Assorted variety might be identified with financial, instructive, business or wellbeing status just as contrasts in culture, race, language, ethnicity, sex, age, versatility, proficiency and individual interests. Community engagement must be supported by distinguishing and preparing community resources and qualities and by building up the community's ability and assets to settle on choices and make a move. Community individuals and organizations ought to be seen as assets to realize change and make a move. Associations that desire to connect with a community just as people are looking to impact change must be set up to discharge control of activities or mediations to the community and be adaptable enough to meet its evolving needs. Drawing in the community is at last about encouraging community-driven activity. Community joint effort requires extended haul responsibility by the drawing in association and its accomplices.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What people need to learn is that community engagement can take numerous structures, and accomplices can incorporate sorted out gatherings, organizations, foundations, or people. Colleagues might be occupied with wellbeing advancement, research, or approach making. Community engagement can likewise be viewed as a continuum of community contribution. After some time, particular cooperation is probably going to move along this continuum toward more noteworthy community inclusion, and any given coordinated effort is probably going to develop in different manners, as well. Most remarkably, while community engagement might be </w:t>
      </w:r>
      <w:r w:rsidRPr="00321155">
        <w:rPr>
          <w:rFonts w:ascii="Times New Roman" w:eastAsia="Times New Roman" w:hAnsi="Times New Roman" w:cs="Times New Roman"/>
          <w:color w:val="000000" w:themeColor="text1"/>
          <w:sz w:val="24"/>
          <w:szCs w:val="24"/>
          <w:lang w:val="en-GB"/>
        </w:rPr>
        <w:lastRenderedPageBreak/>
        <w:t xml:space="preserve">accomplished during a period restricted task, it much of the time includes — and frequently advances into — long haul organizations that move from the conventional spotlight on a solitary medical problem to address a scope of social, financial, political, and natural factors that influence wellbeing. </w:t>
      </w:r>
    </w:p>
    <w:p w:rsidR="00A9003C"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The classes that have taken have made me learn the aptitudes that are important in encouraging community engagement. The aptitudes incorporate:</w:t>
      </w:r>
    </w:p>
    <w:p w:rsidR="00321155" w:rsidRPr="00321155" w:rsidRDefault="00A9003C"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b/>
          <w:color w:val="000000" w:themeColor="text1"/>
          <w:sz w:val="24"/>
          <w:szCs w:val="24"/>
          <w:lang w:val="en-GB"/>
        </w:rPr>
        <w:t>Meeting Facilitation</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Having an actual gathering process, aptitudes contains the main competency of overseeing community engagement. Having the option to build up a significant vision, strategic, destinations, bunch procedure, documentation and correspondence cycle are the basic abilities of any encouraged procedure. </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b/>
          <w:bCs/>
          <w:color w:val="000000" w:themeColor="text1"/>
          <w:sz w:val="24"/>
          <w:szCs w:val="24"/>
          <w:lang w:val="en-GB"/>
        </w:rPr>
        <w:t>Accord Building and Dispute Resolution</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A second aptitude region required for community engagement includes getting intercession and intrigue based critical thinking. Help is not equivalent to intervention, despite the way that many conflate the two abilities. The capacity to isolate interests, needs and unbiasedly structure a procedure that intercedes contrasts is different from help expertise of guaranteeing equivalent voice and support. Agreement building and question goals establish the framework for building structures of trust. </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b/>
          <w:bCs/>
          <w:color w:val="000000" w:themeColor="text1"/>
          <w:sz w:val="24"/>
          <w:szCs w:val="24"/>
          <w:lang w:val="en-GB"/>
        </w:rPr>
        <w:t>Frameworks Thinking</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 xml:space="preserve">Mainly, when one is encouraging a community engagement process, the facilitator must comprehend both the "blocks and mortar" foundation of the community yet additionally comprehends the social framework of the community. Without a comprehension of how frameworks work, a facilitator connects with the community with a shortened profundity </w:t>
      </w:r>
      <w:r w:rsidRPr="00321155">
        <w:rPr>
          <w:rFonts w:ascii="Times New Roman" w:eastAsia="Times New Roman" w:hAnsi="Times New Roman" w:cs="Times New Roman"/>
          <w:color w:val="000000" w:themeColor="text1"/>
          <w:sz w:val="24"/>
          <w:szCs w:val="24"/>
          <w:lang w:val="en-GB"/>
        </w:rPr>
        <w:lastRenderedPageBreak/>
        <w:t>recognition, particularly with regards to the basic procedures of partner examination and force investigation. </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b/>
          <w:bCs/>
          <w:color w:val="000000" w:themeColor="text1"/>
          <w:sz w:val="24"/>
          <w:szCs w:val="24"/>
          <w:lang w:val="en-GB"/>
        </w:rPr>
        <w:t>Strengthening Theory</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Community engagement additionally requires more than a quick comprehension of strengthening instructive speculations because of the utilization of the hypotheses of strengthening instructor. Help turns into the demonstration of self-assurance and value for the community. Simple assistance structures a conscious procedure that permits people to co-make arrangements and in the process, create low trust, regard and a feeling of community. </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b/>
          <w:bCs/>
          <w:color w:val="000000" w:themeColor="text1"/>
          <w:sz w:val="24"/>
          <w:szCs w:val="24"/>
          <w:lang w:val="en-GB"/>
        </w:rPr>
        <w:t>Participatory Evaluation and Outcome Mapping</w:t>
      </w:r>
    </w:p>
    <w:p w:rsidR="00321155" w:rsidRPr="00321155" w:rsidRDefault="00321155"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Finally, community engagement requires a real comprehension of participatory assessment hypotheses. The way toward encouraging community engagement is only that — Engagement. At the point when community engagement is not working out in the right way, the underlying driver is regularly followed back to a dependence on meeting assistance aptitudes and concentrating on the methods and not the end. </w:t>
      </w:r>
    </w:p>
    <w:p w:rsidR="00321155" w:rsidRPr="00321155" w:rsidRDefault="00321155" w:rsidP="00321155">
      <w:pPr>
        <w:shd w:val="clear" w:color="auto" w:fill="FFFFFF"/>
        <w:spacing w:after="0" w:line="480" w:lineRule="auto"/>
        <w:ind w:firstLine="720"/>
        <w:textAlignment w:val="baseline"/>
        <w:rPr>
          <w:rFonts w:ascii="Times New Roman" w:eastAsia="Times New Roman" w:hAnsi="Times New Roman" w:cs="Times New Roman"/>
          <w:color w:val="000000" w:themeColor="text1"/>
          <w:sz w:val="24"/>
          <w:szCs w:val="24"/>
          <w:lang w:val="en-GB"/>
        </w:rPr>
      </w:pPr>
      <w:r w:rsidRPr="00321155">
        <w:rPr>
          <w:rFonts w:ascii="Times New Roman" w:eastAsia="Times New Roman" w:hAnsi="Times New Roman" w:cs="Times New Roman"/>
          <w:color w:val="000000" w:themeColor="text1"/>
          <w:sz w:val="24"/>
          <w:szCs w:val="24"/>
          <w:lang w:val="en-GB"/>
        </w:rPr>
        <w:t>Taking everything into account, I feel confident to be counted as one of the business management students since I can proudly say that community engagement works best where it is a continuous aggregate procedure empowering connections and trust to assemble and reinforce after some time. Special engagement occasions ought to be arranged and planned in light of this and expect to add to the general points of the engagement procedure. Community or deliberate gatherings might need to partake at a scope of levels – from giving guidance to co-planning the procedure and from undertaking a few parts of the engagement to conveying tasks.</w:t>
      </w:r>
    </w:p>
    <w:p w:rsidR="00A0379D" w:rsidRPr="00321155" w:rsidRDefault="00A0379D" w:rsidP="00321155">
      <w:pPr>
        <w:shd w:val="clear" w:color="auto" w:fill="FFFFFF"/>
        <w:spacing w:after="0" w:line="480" w:lineRule="auto"/>
        <w:textAlignment w:val="baseline"/>
        <w:rPr>
          <w:rFonts w:ascii="Times New Roman" w:eastAsia="Times New Roman" w:hAnsi="Times New Roman" w:cs="Times New Roman"/>
          <w:color w:val="000000" w:themeColor="text1"/>
          <w:sz w:val="24"/>
          <w:szCs w:val="24"/>
          <w:lang w:val="en-GB"/>
        </w:rPr>
      </w:pPr>
    </w:p>
    <w:sectPr w:rsidR="00A0379D" w:rsidRPr="0032115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6A43" w:rsidRDefault="00A66A43" w:rsidP="00A119DB">
      <w:pPr>
        <w:spacing w:after="0" w:line="240" w:lineRule="auto"/>
      </w:pPr>
      <w:r>
        <w:separator/>
      </w:r>
    </w:p>
  </w:endnote>
  <w:endnote w:type="continuationSeparator" w:id="0">
    <w:p w:rsidR="00A66A43" w:rsidRDefault="00A66A43" w:rsidP="00A11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6A43" w:rsidRDefault="00A66A43" w:rsidP="00A119DB">
      <w:pPr>
        <w:spacing w:after="0" w:line="240" w:lineRule="auto"/>
      </w:pPr>
      <w:r>
        <w:separator/>
      </w:r>
    </w:p>
  </w:footnote>
  <w:footnote w:type="continuationSeparator" w:id="0">
    <w:p w:rsidR="00A66A43" w:rsidRDefault="00A66A43" w:rsidP="00A119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19DB" w:rsidRPr="00321155" w:rsidRDefault="00A119DB" w:rsidP="0094479F">
    <w:pPr>
      <w:pStyle w:val="Header"/>
      <w:jc w:val="right"/>
      <w:rPr>
        <w:rFonts w:ascii="Times New Roman" w:hAnsi="Times New Roman" w:cs="Times New Roman"/>
        <w:sz w:val="24"/>
      </w:rPr>
    </w:pPr>
    <w:r w:rsidRPr="00321155">
      <w:rPr>
        <w:rFonts w:ascii="Times New Roman" w:hAnsi="Times New Roman" w:cs="Times New Roman"/>
        <w:sz w:val="24"/>
      </w:rPr>
      <w:t>Surname</w:t>
    </w:r>
    <w:r w:rsidRPr="00321155">
      <w:rPr>
        <w:rFonts w:ascii="Times New Roman" w:hAnsi="Times New Roman" w:cs="Times New Roman"/>
        <w:i/>
        <w:sz w:val="24"/>
      </w:rPr>
      <w:t xml:space="preserve"> </w:t>
    </w:r>
    <w:sdt>
      <w:sdtPr>
        <w:rPr>
          <w:rFonts w:ascii="Times New Roman" w:hAnsi="Times New Roman" w:cs="Times New Roman"/>
          <w:i/>
          <w:sz w:val="24"/>
        </w:rPr>
        <w:id w:val="1150942704"/>
        <w:docPartObj>
          <w:docPartGallery w:val="Page Numbers (Top of Page)"/>
          <w:docPartUnique/>
        </w:docPartObj>
      </w:sdtPr>
      <w:sdtEndPr>
        <w:rPr>
          <w:i w:val="0"/>
          <w:noProof/>
        </w:rPr>
      </w:sdtEndPr>
      <w:sdtContent>
        <w:r w:rsidRPr="00321155">
          <w:rPr>
            <w:rFonts w:ascii="Times New Roman" w:hAnsi="Times New Roman" w:cs="Times New Roman"/>
            <w:sz w:val="24"/>
          </w:rPr>
          <w:fldChar w:fldCharType="begin"/>
        </w:r>
        <w:r w:rsidRPr="00321155">
          <w:rPr>
            <w:rFonts w:ascii="Times New Roman" w:hAnsi="Times New Roman" w:cs="Times New Roman"/>
            <w:sz w:val="24"/>
          </w:rPr>
          <w:instrText xml:space="preserve"> PAGE   \* MERGEFORMAT </w:instrText>
        </w:r>
        <w:r w:rsidRPr="00321155">
          <w:rPr>
            <w:rFonts w:ascii="Times New Roman" w:hAnsi="Times New Roman" w:cs="Times New Roman"/>
            <w:sz w:val="24"/>
          </w:rPr>
          <w:fldChar w:fldCharType="separate"/>
        </w:r>
        <w:r w:rsidR="00155F4F">
          <w:rPr>
            <w:rFonts w:ascii="Times New Roman" w:hAnsi="Times New Roman" w:cs="Times New Roman"/>
            <w:noProof/>
            <w:sz w:val="24"/>
          </w:rPr>
          <w:t>10</w:t>
        </w:r>
        <w:r w:rsidRPr="00321155">
          <w:rPr>
            <w:rFonts w:ascii="Times New Roman" w:hAnsi="Times New Roman" w:cs="Times New Roman"/>
            <w:noProof/>
            <w:sz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4040"/>
    <w:rsid w:val="00021BF5"/>
    <w:rsid w:val="000855EF"/>
    <w:rsid w:val="00093D10"/>
    <w:rsid w:val="000E0D6B"/>
    <w:rsid w:val="0010400F"/>
    <w:rsid w:val="00155F4F"/>
    <w:rsid w:val="00166102"/>
    <w:rsid w:val="00174E05"/>
    <w:rsid w:val="00236A71"/>
    <w:rsid w:val="00251D1E"/>
    <w:rsid w:val="00321155"/>
    <w:rsid w:val="003660EB"/>
    <w:rsid w:val="003A6372"/>
    <w:rsid w:val="00473BFB"/>
    <w:rsid w:val="004B63D8"/>
    <w:rsid w:val="00574BA3"/>
    <w:rsid w:val="005820C6"/>
    <w:rsid w:val="00606278"/>
    <w:rsid w:val="006965C7"/>
    <w:rsid w:val="00710A56"/>
    <w:rsid w:val="00724BD2"/>
    <w:rsid w:val="0083505A"/>
    <w:rsid w:val="0094479F"/>
    <w:rsid w:val="00A0379D"/>
    <w:rsid w:val="00A119DB"/>
    <w:rsid w:val="00A41FFF"/>
    <w:rsid w:val="00A5018E"/>
    <w:rsid w:val="00A502BE"/>
    <w:rsid w:val="00A559A4"/>
    <w:rsid w:val="00A66A43"/>
    <w:rsid w:val="00A9003C"/>
    <w:rsid w:val="00B144C9"/>
    <w:rsid w:val="00B16D87"/>
    <w:rsid w:val="00B95EE8"/>
    <w:rsid w:val="00BB4658"/>
    <w:rsid w:val="00BC6A41"/>
    <w:rsid w:val="00C04040"/>
    <w:rsid w:val="00C158ED"/>
    <w:rsid w:val="00C43F93"/>
    <w:rsid w:val="00CB15F6"/>
    <w:rsid w:val="00D40ACD"/>
    <w:rsid w:val="00DB7A6A"/>
    <w:rsid w:val="00DD6C50"/>
    <w:rsid w:val="00E65399"/>
    <w:rsid w:val="00EA760A"/>
    <w:rsid w:val="00F5157C"/>
    <w:rsid w:val="00FE5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16BBF"/>
  <w15:docId w15:val="{81B09BA7-60A1-1A4A-A4C5-AE2252B84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5157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5157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link w:val="Heading5Char"/>
    <w:uiPriority w:val="9"/>
    <w:qFormat/>
    <w:rsid w:val="00F5157C"/>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F5157C"/>
    <w:rPr>
      <w:rFonts w:ascii="Times New Roman" w:eastAsia="Times New Roman" w:hAnsi="Times New Roman" w:cs="Times New Roman"/>
      <w:b/>
      <w:bCs/>
      <w:sz w:val="20"/>
      <w:szCs w:val="20"/>
    </w:rPr>
  </w:style>
  <w:style w:type="paragraph" w:styleId="NormalWeb">
    <w:name w:val="Normal (Web)"/>
    <w:basedOn w:val="Normal"/>
    <w:uiPriority w:val="99"/>
    <w:semiHidden/>
    <w:unhideWhenUsed/>
    <w:rsid w:val="00F5157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5157C"/>
    <w:rPr>
      <w:b/>
      <w:bCs/>
    </w:rPr>
  </w:style>
  <w:style w:type="character" w:styleId="Emphasis">
    <w:name w:val="Emphasis"/>
    <w:basedOn w:val="DefaultParagraphFont"/>
    <w:uiPriority w:val="20"/>
    <w:qFormat/>
    <w:rsid w:val="00F5157C"/>
    <w:rPr>
      <w:i/>
      <w:iCs/>
    </w:rPr>
  </w:style>
  <w:style w:type="character" w:customStyle="1" w:styleId="Heading2Char">
    <w:name w:val="Heading 2 Char"/>
    <w:basedOn w:val="DefaultParagraphFont"/>
    <w:link w:val="Heading2"/>
    <w:uiPriority w:val="9"/>
    <w:semiHidden/>
    <w:rsid w:val="00F5157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5157C"/>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119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9DB"/>
  </w:style>
  <w:style w:type="paragraph" w:styleId="Footer">
    <w:name w:val="footer"/>
    <w:basedOn w:val="Normal"/>
    <w:link w:val="FooterChar"/>
    <w:uiPriority w:val="99"/>
    <w:unhideWhenUsed/>
    <w:rsid w:val="00A119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9DB"/>
  </w:style>
  <w:style w:type="character" w:styleId="Hyperlink">
    <w:name w:val="Hyperlink"/>
    <w:basedOn w:val="DefaultParagraphFont"/>
    <w:uiPriority w:val="99"/>
    <w:semiHidden/>
    <w:unhideWhenUsed/>
    <w:rsid w:val="00DD6C50"/>
    <w:rPr>
      <w:color w:val="0000FF"/>
      <w:u w:val="single"/>
    </w:rPr>
  </w:style>
  <w:style w:type="paragraph" w:styleId="BalloonText">
    <w:name w:val="Balloon Text"/>
    <w:basedOn w:val="Normal"/>
    <w:link w:val="BalloonTextChar"/>
    <w:uiPriority w:val="99"/>
    <w:semiHidden/>
    <w:unhideWhenUsed/>
    <w:rsid w:val="003211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15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6069">
      <w:bodyDiv w:val="1"/>
      <w:marLeft w:val="0"/>
      <w:marRight w:val="0"/>
      <w:marTop w:val="0"/>
      <w:marBottom w:val="0"/>
      <w:divBdr>
        <w:top w:val="none" w:sz="0" w:space="0" w:color="auto"/>
        <w:left w:val="none" w:sz="0" w:space="0" w:color="auto"/>
        <w:bottom w:val="none" w:sz="0" w:space="0" w:color="auto"/>
        <w:right w:val="none" w:sz="0" w:space="0" w:color="auto"/>
      </w:divBdr>
    </w:div>
    <w:div w:id="371227771">
      <w:bodyDiv w:val="1"/>
      <w:marLeft w:val="0"/>
      <w:marRight w:val="0"/>
      <w:marTop w:val="0"/>
      <w:marBottom w:val="0"/>
      <w:divBdr>
        <w:top w:val="none" w:sz="0" w:space="0" w:color="auto"/>
        <w:left w:val="none" w:sz="0" w:space="0" w:color="auto"/>
        <w:bottom w:val="none" w:sz="0" w:space="0" w:color="auto"/>
        <w:right w:val="none" w:sz="0" w:space="0" w:color="auto"/>
      </w:divBdr>
    </w:div>
    <w:div w:id="507720171">
      <w:bodyDiv w:val="1"/>
      <w:marLeft w:val="0"/>
      <w:marRight w:val="0"/>
      <w:marTop w:val="0"/>
      <w:marBottom w:val="0"/>
      <w:divBdr>
        <w:top w:val="none" w:sz="0" w:space="0" w:color="auto"/>
        <w:left w:val="none" w:sz="0" w:space="0" w:color="auto"/>
        <w:bottom w:val="none" w:sz="0" w:space="0" w:color="auto"/>
        <w:right w:val="none" w:sz="0" w:space="0" w:color="auto"/>
      </w:divBdr>
    </w:div>
    <w:div w:id="1186669961">
      <w:bodyDiv w:val="1"/>
      <w:marLeft w:val="0"/>
      <w:marRight w:val="0"/>
      <w:marTop w:val="0"/>
      <w:marBottom w:val="0"/>
      <w:divBdr>
        <w:top w:val="none" w:sz="0" w:space="0" w:color="auto"/>
        <w:left w:val="none" w:sz="0" w:space="0" w:color="auto"/>
        <w:bottom w:val="none" w:sz="0" w:space="0" w:color="auto"/>
        <w:right w:val="none" w:sz="0" w:space="0" w:color="auto"/>
      </w:divBdr>
      <w:divsChild>
        <w:div w:id="1832066697">
          <w:marLeft w:val="0"/>
          <w:marRight w:val="0"/>
          <w:marTop w:val="0"/>
          <w:marBottom w:val="300"/>
          <w:divBdr>
            <w:top w:val="none" w:sz="0" w:space="0" w:color="auto"/>
            <w:left w:val="none" w:sz="0" w:space="0" w:color="auto"/>
            <w:bottom w:val="none" w:sz="0" w:space="0" w:color="auto"/>
            <w:right w:val="none" w:sz="0" w:space="0" w:color="auto"/>
          </w:divBdr>
        </w:div>
        <w:div w:id="1418669438">
          <w:marLeft w:val="0"/>
          <w:marRight w:val="0"/>
          <w:marTop w:val="0"/>
          <w:marBottom w:val="300"/>
          <w:divBdr>
            <w:top w:val="none" w:sz="0" w:space="0" w:color="auto"/>
            <w:left w:val="none" w:sz="0" w:space="0" w:color="auto"/>
            <w:bottom w:val="none" w:sz="0" w:space="0" w:color="auto"/>
            <w:right w:val="none" w:sz="0" w:space="0" w:color="auto"/>
          </w:divBdr>
          <w:divsChild>
            <w:div w:id="509098894">
              <w:marLeft w:val="0"/>
              <w:marRight w:val="0"/>
              <w:marTop w:val="0"/>
              <w:marBottom w:val="0"/>
              <w:divBdr>
                <w:top w:val="none" w:sz="0" w:space="0" w:color="auto"/>
                <w:left w:val="none" w:sz="0" w:space="0" w:color="auto"/>
                <w:bottom w:val="none" w:sz="0" w:space="0" w:color="auto"/>
                <w:right w:val="none" w:sz="0" w:space="0" w:color="auto"/>
              </w:divBdr>
              <w:divsChild>
                <w:div w:id="379013393">
                  <w:marLeft w:val="0"/>
                  <w:marRight w:val="0"/>
                  <w:marTop w:val="0"/>
                  <w:marBottom w:val="0"/>
                  <w:divBdr>
                    <w:top w:val="none" w:sz="0" w:space="0" w:color="auto"/>
                    <w:left w:val="none" w:sz="0" w:space="0" w:color="auto"/>
                    <w:bottom w:val="none" w:sz="0" w:space="0" w:color="auto"/>
                    <w:right w:val="none" w:sz="0" w:space="0" w:color="auto"/>
                  </w:divBdr>
                  <w:divsChild>
                    <w:div w:id="211400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952934">
      <w:bodyDiv w:val="1"/>
      <w:marLeft w:val="0"/>
      <w:marRight w:val="0"/>
      <w:marTop w:val="0"/>
      <w:marBottom w:val="0"/>
      <w:divBdr>
        <w:top w:val="none" w:sz="0" w:space="0" w:color="auto"/>
        <w:left w:val="none" w:sz="0" w:space="0" w:color="auto"/>
        <w:bottom w:val="none" w:sz="0" w:space="0" w:color="auto"/>
        <w:right w:val="none" w:sz="0" w:space="0" w:color="auto"/>
      </w:divBdr>
    </w:div>
    <w:div w:id="1406806865">
      <w:bodyDiv w:val="1"/>
      <w:marLeft w:val="0"/>
      <w:marRight w:val="0"/>
      <w:marTop w:val="0"/>
      <w:marBottom w:val="0"/>
      <w:divBdr>
        <w:top w:val="none" w:sz="0" w:space="0" w:color="auto"/>
        <w:left w:val="none" w:sz="0" w:space="0" w:color="auto"/>
        <w:bottom w:val="none" w:sz="0" w:space="0" w:color="auto"/>
        <w:right w:val="none" w:sz="0" w:space="0" w:color="auto"/>
      </w:divBdr>
    </w:div>
    <w:div w:id="1620604426">
      <w:bodyDiv w:val="1"/>
      <w:marLeft w:val="0"/>
      <w:marRight w:val="0"/>
      <w:marTop w:val="0"/>
      <w:marBottom w:val="0"/>
      <w:divBdr>
        <w:top w:val="none" w:sz="0" w:space="0" w:color="auto"/>
        <w:left w:val="none" w:sz="0" w:space="0" w:color="auto"/>
        <w:bottom w:val="none" w:sz="0" w:space="0" w:color="auto"/>
        <w:right w:val="none" w:sz="0" w:space="0" w:color="auto"/>
      </w:divBdr>
    </w:div>
    <w:div w:id="1677269728">
      <w:bodyDiv w:val="1"/>
      <w:marLeft w:val="0"/>
      <w:marRight w:val="0"/>
      <w:marTop w:val="0"/>
      <w:marBottom w:val="0"/>
      <w:divBdr>
        <w:top w:val="none" w:sz="0" w:space="0" w:color="auto"/>
        <w:left w:val="none" w:sz="0" w:space="0" w:color="auto"/>
        <w:bottom w:val="none" w:sz="0" w:space="0" w:color="auto"/>
        <w:right w:val="none" w:sz="0" w:space="0" w:color="auto"/>
      </w:divBdr>
    </w:div>
    <w:div w:id="1896696652">
      <w:bodyDiv w:val="1"/>
      <w:marLeft w:val="0"/>
      <w:marRight w:val="0"/>
      <w:marTop w:val="0"/>
      <w:marBottom w:val="0"/>
      <w:divBdr>
        <w:top w:val="none" w:sz="0" w:space="0" w:color="auto"/>
        <w:left w:val="none" w:sz="0" w:space="0" w:color="auto"/>
        <w:bottom w:val="none" w:sz="0" w:space="0" w:color="auto"/>
        <w:right w:val="none" w:sz="0" w:space="0" w:color="auto"/>
      </w:divBdr>
    </w:div>
    <w:div w:id="2055038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2457</Words>
  <Characters>14006</Characters>
  <Application>Microsoft Office Word</Application>
  <DocSecurity>0</DocSecurity>
  <Lines>116</Lines>
  <Paragraphs>32</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Lucian-constantin Carabus (1914047)</cp:lastModifiedBy>
  <cp:revision>2</cp:revision>
  <dcterms:created xsi:type="dcterms:W3CDTF">2020-05-22T16:14:00Z</dcterms:created>
  <dcterms:modified xsi:type="dcterms:W3CDTF">2020-05-22T16:14:00Z</dcterms:modified>
</cp:coreProperties>
</file>