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2BC0392F" w14:textId="77777777" w:rsidR="00EB0A99" w:rsidRPr="00EB0A99" w:rsidRDefault="00EB0A99" w:rsidP="00EB0A99">
            <w:pPr>
              <w:overflowPunct/>
              <w:autoSpaceDE/>
              <w:autoSpaceDN/>
              <w:adjustRightInd/>
              <w:ind w:right="-957"/>
              <w:textAlignment w:val="auto"/>
              <w:rPr>
                <w:rFonts w:ascii="Times New Roman" w:hAnsi="Times New Roman" w:cs="Times New Roman"/>
                <w:b/>
                <w:color w:val="auto"/>
                <w:sz w:val="44"/>
                <w:szCs w:val="44"/>
              </w:rPr>
            </w:pPr>
            <w:r w:rsidRPr="00EB0A99">
              <w:rPr>
                <w:rFonts w:ascii="Times New Roman" w:hAnsi="Times New Roman" w:cs="Times New Roman"/>
                <w:b/>
                <w:color w:val="auto"/>
                <w:sz w:val="44"/>
                <w:szCs w:val="44"/>
              </w:rPr>
              <w:t xml:space="preserve">Learner’s name: </w:t>
            </w:r>
            <w:r w:rsidRPr="00EB0A99">
              <w:rPr>
                <w:rFonts w:ascii="Times New Roman" w:hAnsi="Times New Roman" w:cs="Times New Roman"/>
                <w:bCs/>
                <w:color w:val="auto"/>
                <w:sz w:val="44"/>
                <w:szCs w:val="44"/>
              </w:rPr>
              <w:t>Khadine Sutherland</w:t>
            </w:r>
          </w:p>
          <w:p w14:paraId="085E83AA" w14:textId="77777777" w:rsidR="00EB0A99" w:rsidRPr="00EB0A99" w:rsidRDefault="00EB0A99" w:rsidP="00EB0A99">
            <w:pPr>
              <w:overflowPunct/>
              <w:autoSpaceDE/>
              <w:autoSpaceDN/>
              <w:adjustRightInd/>
              <w:ind w:right="-957"/>
              <w:textAlignment w:val="auto"/>
              <w:rPr>
                <w:rFonts w:ascii="Times New Roman" w:hAnsi="Times New Roman" w:cs="Times New Roman"/>
                <w:b/>
                <w:color w:val="auto"/>
                <w:sz w:val="44"/>
                <w:szCs w:val="44"/>
              </w:rPr>
            </w:pPr>
          </w:p>
          <w:p w14:paraId="2CEDBE17" w14:textId="77777777" w:rsidR="00EB0A99" w:rsidRPr="00EB0A99" w:rsidRDefault="00EB0A99" w:rsidP="00EB0A99">
            <w:pPr>
              <w:overflowPunct/>
              <w:autoSpaceDE/>
              <w:autoSpaceDN/>
              <w:adjustRightInd/>
              <w:ind w:right="-957"/>
              <w:textAlignment w:val="auto"/>
              <w:rPr>
                <w:rFonts w:ascii="Times New Roman" w:hAnsi="Times New Roman" w:cs="Times New Roman"/>
                <w:bCs/>
                <w:color w:val="auto"/>
                <w:sz w:val="44"/>
                <w:szCs w:val="44"/>
              </w:rPr>
            </w:pPr>
            <w:r w:rsidRPr="00EB0A99">
              <w:rPr>
                <w:rFonts w:ascii="Times New Roman" w:hAnsi="Times New Roman" w:cs="Times New Roman"/>
                <w:b/>
                <w:color w:val="auto"/>
                <w:sz w:val="44"/>
                <w:szCs w:val="44"/>
              </w:rPr>
              <w:t xml:space="preserve">Email address: </w:t>
            </w:r>
            <w:r w:rsidRPr="00EB0A99">
              <w:rPr>
                <w:rFonts w:ascii="Times New Roman" w:hAnsi="Times New Roman" w:cs="Times New Roman"/>
                <w:bCs/>
                <w:color w:val="auto"/>
                <w:sz w:val="44"/>
                <w:szCs w:val="44"/>
              </w:rPr>
              <w:t>Khadine.sutherland@swansea.gov.uk</w:t>
            </w:r>
          </w:p>
          <w:p w14:paraId="37A24E13" w14:textId="77777777" w:rsidR="00EB0A99" w:rsidRPr="00EB0A99" w:rsidRDefault="00EB0A99" w:rsidP="00EB0A99">
            <w:pPr>
              <w:overflowPunct/>
              <w:autoSpaceDE/>
              <w:autoSpaceDN/>
              <w:adjustRightInd/>
              <w:ind w:right="-957"/>
              <w:textAlignment w:val="auto"/>
              <w:rPr>
                <w:rFonts w:ascii="Times New Roman" w:hAnsi="Times New Roman" w:cs="Times New Roman"/>
                <w:bCs/>
                <w:color w:val="auto"/>
                <w:sz w:val="44"/>
                <w:szCs w:val="44"/>
              </w:rPr>
            </w:pPr>
            <w:hyperlink r:id="rId11" w:history="1">
              <w:r w:rsidRPr="00EB0A99">
                <w:rPr>
                  <w:rFonts w:ascii="Times New Roman" w:hAnsi="Times New Roman" w:cs="Times New Roman"/>
                  <w:bCs/>
                  <w:color w:val="0563C1" w:themeColor="hyperlink"/>
                  <w:sz w:val="44"/>
                  <w:szCs w:val="44"/>
                  <w:u w:val="single"/>
                </w:rPr>
                <w:t>/Khadine.sutherland@hotmail.co.uk</w:t>
              </w:r>
            </w:hyperlink>
          </w:p>
          <w:p w14:paraId="689A00F2" w14:textId="77777777" w:rsidR="00EB0A99" w:rsidRPr="00EB0A99" w:rsidRDefault="00EB0A99" w:rsidP="00EB0A99">
            <w:pPr>
              <w:overflowPunct/>
              <w:autoSpaceDE/>
              <w:autoSpaceDN/>
              <w:adjustRightInd/>
              <w:ind w:right="-957"/>
              <w:textAlignment w:val="auto"/>
              <w:rPr>
                <w:rFonts w:ascii="Times New Roman" w:hAnsi="Times New Roman" w:cs="Times New Roman"/>
                <w:bCs/>
                <w:color w:val="auto"/>
                <w:sz w:val="44"/>
                <w:szCs w:val="44"/>
              </w:rPr>
            </w:pPr>
          </w:p>
          <w:p w14:paraId="77234024" w14:textId="77777777" w:rsidR="00EB0A99" w:rsidRPr="00EB0A99" w:rsidRDefault="00EB0A99" w:rsidP="00EB0A99">
            <w:pPr>
              <w:overflowPunct/>
              <w:autoSpaceDE/>
              <w:autoSpaceDN/>
              <w:adjustRightInd/>
              <w:ind w:right="-957"/>
              <w:textAlignment w:val="auto"/>
              <w:rPr>
                <w:rFonts w:ascii="Times New Roman" w:hAnsi="Times New Roman" w:cs="Times New Roman"/>
                <w:b/>
                <w:color w:val="auto"/>
                <w:sz w:val="44"/>
                <w:szCs w:val="44"/>
              </w:rPr>
            </w:pPr>
            <w:r w:rsidRPr="00EB0A99">
              <w:rPr>
                <w:rFonts w:ascii="Times New Roman" w:hAnsi="Times New Roman" w:cs="Times New Roman"/>
                <w:b/>
                <w:color w:val="auto"/>
                <w:sz w:val="44"/>
                <w:szCs w:val="44"/>
              </w:rPr>
              <w:t>Learner’s University Registration Number:</w:t>
            </w:r>
            <w:r w:rsidRPr="00EB0A99">
              <w:rPr>
                <w:rFonts w:ascii="Times New Roman" w:hAnsi="Times New Roman" w:cs="Times New Roman"/>
                <w:bCs/>
                <w:color w:val="auto"/>
                <w:sz w:val="44"/>
                <w:szCs w:val="44"/>
              </w:rPr>
              <w:t>2518650</w:t>
            </w:r>
          </w:p>
          <w:p w14:paraId="1E60AB6D" w14:textId="77777777" w:rsidR="00EB0A99" w:rsidRPr="00EB0A99" w:rsidRDefault="00EB0A99" w:rsidP="00EB0A99">
            <w:pPr>
              <w:overflowPunct/>
              <w:autoSpaceDE/>
              <w:autoSpaceDN/>
              <w:adjustRightInd/>
              <w:ind w:right="-957"/>
              <w:textAlignment w:val="auto"/>
              <w:rPr>
                <w:rFonts w:ascii="Times New Roman" w:hAnsi="Times New Roman" w:cs="Times New Roman"/>
                <w:b/>
                <w:color w:val="auto"/>
                <w:sz w:val="44"/>
                <w:szCs w:val="44"/>
              </w:rPr>
            </w:pPr>
          </w:p>
          <w:p w14:paraId="5F84129B" w14:textId="7D9D424B" w:rsidR="0085230E" w:rsidRPr="005D3F07" w:rsidRDefault="00EB0A99" w:rsidP="00EB0A99">
            <w:pPr>
              <w:overflowPunct/>
              <w:autoSpaceDE/>
              <w:autoSpaceDN/>
              <w:adjustRightInd/>
              <w:ind w:right="-957"/>
              <w:textAlignment w:val="auto"/>
              <w:rPr>
                <w:rFonts w:ascii="Times New Roman" w:hAnsi="Times New Roman" w:cs="Times New Roman"/>
                <w:b/>
                <w:color w:val="auto"/>
                <w:sz w:val="48"/>
              </w:rPr>
            </w:pPr>
            <w:r w:rsidRPr="00EB0A99">
              <w:rPr>
                <w:rFonts w:ascii="Times New Roman" w:hAnsi="Times New Roman" w:cs="Times New Roman"/>
                <w:b/>
                <w:color w:val="auto"/>
                <w:sz w:val="44"/>
                <w:szCs w:val="44"/>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7AA1621D" w14:textId="77777777" w:rsidR="00EE3D8C" w:rsidRPr="00EE3D8C" w:rsidRDefault="00EE3D8C" w:rsidP="00EE3D8C">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EE3D8C">
              <w:rPr>
                <w:rFonts w:eastAsia="Aptos"/>
                <w:color w:val="auto"/>
                <w:kern w:val="2"/>
                <w:sz w:val="24"/>
                <w:szCs w:val="24"/>
                <w:lang w:eastAsia="en-US"/>
                <w14:ligatures w14:val="standardContextual"/>
              </w:rPr>
              <w:t>I work in Child and Family Services, mainly within child protection. Adult services are outside my main practice area; however, during my second-year placement in the Adult Community Disability Team, I supported disabled adults and gained experience of recognising, responding to and reporting safeguarding concerns. This experience, together with mandatory adult safeguarding training, developed my understanding of relevant legislation, policies and procedures.</w:t>
            </w:r>
          </w:p>
          <w:p w14:paraId="1C3DFA3C" w14:textId="77777777" w:rsidR="00EE3D8C" w:rsidRPr="00EE3D8C" w:rsidRDefault="00EE3D8C" w:rsidP="00EE3D8C">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EE3D8C">
              <w:rPr>
                <w:rFonts w:eastAsia="Aptos"/>
                <w:color w:val="auto"/>
                <w:kern w:val="2"/>
                <w:sz w:val="24"/>
                <w:szCs w:val="24"/>
                <w:lang w:eastAsia="en-US"/>
                <w14:ligatures w14:val="standardContextual"/>
              </w:rPr>
              <w:t xml:space="preserve">The Social Services and Well-being (Wales) Act 2014 is the main law that guides adult safeguarding practice in Wales. Section 126 explains that an adult at risk is someone aged 18 or over who is experiencing, or may be at risk of, abuse or neglect; has care and support needs; and, because of those needs, is unable to protect themselves from harm (Social Services and Well-being (Wales) Act 2014, s.126). From my experience, I understand safeguarding as protecting adults from harm while also respecting their right to make choices and remain as independent as possible (Brammer and Pritchard-Jones, 2019). Abuse can include physical, sexual, psychological, emotional or financial abuse, as well as neglect (Social Services and Well-being (Wales) Act 2014, s.197). Welsh guidance also includes domestic, discriminatory and organisational abuse, modern slavery, criminal exploitation and self-neglect (Welsh Government, 2018a). If a local authority believes that an adult may be at risk, it must make enquiries and decide whether further action is needed. The main national policies are </w:t>
            </w:r>
            <w:r w:rsidRPr="00EE3D8C">
              <w:rPr>
                <w:rFonts w:eastAsia="Aptos"/>
                <w:i/>
                <w:color w:val="auto"/>
                <w:kern w:val="2"/>
                <w:sz w:val="24"/>
                <w:szCs w:val="24"/>
                <w:lang w:eastAsia="en-US"/>
                <w14:ligatures w14:val="standardContextual"/>
              </w:rPr>
              <w:lastRenderedPageBreak/>
              <w:t>Working Together to Safeguard People: Volume 6</w:t>
            </w:r>
            <w:r w:rsidRPr="00EE3D8C">
              <w:rPr>
                <w:rFonts w:eastAsia="Aptos"/>
                <w:color w:val="auto"/>
                <w:kern w:val="2"/>
                <w:sz w:val="24"/>
                <w:szCs w:val="24"/>
                <w:lang w:eastAsia="en-US"/>
                <w14:ligatures w14:val="standardContextual"/>
              </w:rPr>
              <w:t xml:space="preserve"> (Welsh Government, 2018a), the </w:t>
            </w:r>
            <w:r w:rsidRPr="00EE3D8C">
              <w:rPr>
                <w:rFonts w:eastAsia="Aptos"/>
                <w:i/>
                <w:color w:val="auto"/>
                <w:kern w:val="2"/>
                <w:sz w:val="24"/>
                <w:szCs w:val="24"/>
                <w:lang w:eastAsia="en-US"/>
                <w14:ligatures w14:val="standardContextual"/>
              </w:rPr>
              <w:t>Wales Safeguarding Procedures</w:t>
            </w:r>
            <w:r w:rsidRPr="00EE3D8C">
              <w:rPr>
                <w:rFonts w:eastAsia="Aptos"/>
                <w:color w:val="auto"/>
                <w:kern w:val="2"/>
                <w:sz w:val="24"/>
                <w:szCs w:val="24"/>
                <w:lang w:eastAsia="en-US"/>
                <w14:ligatures w14:val="standardContextual"/>
              </w:rPr>
              <w:t xml:space="preserve"> (Wales Safeguarding Procedures Project Board, 2019) and the </w:t>
            </w:r>
            <w:r w:rsidRPr="00EE3D8C">
              <w:rPr>
                <w:rFonts w:eastAsia="Aptos"/>
                <w:i/>
                <w:iCs/>
                <w:color w:val="auto"/>
                <w:kern w:val="2"/>
                <w:sz w:val="24"/>
                <w:szCs w:val="24"/>
                <w:lang w:eastAsia="en-US"/>
                <w14:ligatures w14:val="standardContextual"/>
              </w:rPr>
              <w:t>Working Together to Safeguard People: Code of Safeguarding Practice</w:t>
            </w:r>
            <w:r w:rsidRPr="00EE3D8C">
              <w:rPr>
                <w:rFonts w:eastAsia="Aptos"/>
                <w:color w:val="auto"/>
                <w:kern w:val="2"/>
                <w:sz w:val="24"/>
                <w:szCs w:val="24"/>
                <w:lang w:eastAsia="en-US"/>
                <w14:ligatures w14:val="standardContextual"/>
              </w:rPr>
              <w:t xml:space="preserve"> (Welsh Government, 2022). I also have the Wales Safeguarding Procedures app on my work phone, which allows me to quickly check the relevant guidance and my responsibilities when responding to safeguarding concerns. Although I work in children’s services, I recognise that I may need to refer an adult if concerns arise about their safety or well-being (Wales Safeguarding Procedures Project Board, 2019). These explain how concerns should be recognised, recorded and reported, how immediate risks should be managed and how agencies should work together to agree a safeguarding plan. Within my local authority, safeguarding practice is guided by its corporate safeguarding policy and the procedures of the relevant Regional Safeguarding Board (Local Authority, 2026; Regional Safeguarding Board, 2026). To maintain confidentiality, I have not named the local authority or regional board. These local arrangements support referrals, escalation, professional decision-making, training and multi-agency working. The organisation must also follow its procedures for information sharing, record keeping, staff conduct, whistleblowing and supervision. The Mental Capacity Act 2005 requires practitioners to assume that an adult has capacity, support them to make their own decisions and use the least restrictive option when acting in their best interests (Mental Capacity Act 2005, s.1). The Human Rights Act 1998 and Equality Act 2010 support dignity, privacy and fair treatment (Human Rights Act 1998; Equality Act 2010), while the Data Protection Act 2018 and UK GDPR guide safe and appropriate information sharing (Data Protection Act 2018; UK GDPR, 2021). Together, these laws and policies support safeguarding practice across all adult services.</w:t>
            </w:r>
          </w:p>
          <w:p w14:paraId="774095BD" w14:textId="352F5207" w:rsidR="00FC0334" w:rsidRPr="00EE3D8C" w:rsidRDefault="00EE3D8C" w:rsidP="00EE3D8C">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EE3D8C">
              <w:rPr>
                <w:rFonts w:eastAsia="Aptos"/>
                <w:color w:val="auto"/>
                <w:kern w:val="2"/>
                <w:sz w:val="24"/>
                <w:szCs w:val="24"/>
                <w:lang w:eastAsia="en-US"/>
                <w14:ligatures w14:val="standardContextual"/>
              </w:rPr>
              <w:t>Word count: 514</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23A1506C" w14:textId="77777777" w:rsidR="004E6FC7" w:rsidRPr="004E6FC7" w:rsidRDefault="004E6FC7" w:rsidP="004E6FC7">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4E6FC7">
              <w:rPr>
                <w:rFonts w:eastAsia="Aptos"/>
                <w:color w:val="auto"/>
                <w:kern w:val="2"/>
                <w:sz w:val="24"/>
                <w:szCs w:val="24"/>
                <w:lang w:eastAsia="en-US"/>
                <w14:ligatures w14:val="standardContextual"/>
              </w:rPr>
              <w:t>Adult safeguarding shares many similarities with children's safeguarding. Both are underpinned by the Social Services and Well-being (Wales) Act 2014, the Wales Safeguarding Procedures (2019), and the Welsh Government's Working Together to Safeguard People guidance. These frameworks emphasise collaborative and strengths-based practice to protect both children and adults from abuse, neglect and harm.</w:t>
            </w:r>
          </w:p>
          <w:p w14:paraId="4DFB0B1C" w14:textId="77777777" w:rsidR="00FC0334" w:rsidRDefault="00150F5C">
            <w:pPr>
              <w:spacing w:line="360" w:lineRule="auto"/>
              <w:jc w:val="both"/>
              <w:rPr>
                <w:sz w:val="24"/>
                <w:szCs w:val="24"/>
              </w:rPr>
            </w:pPr>
            <w:r w:rsidRPr="004E6FC7">
              <w:rPr>
                <w:rFonts w:eastAsia="Aptos"/>
                <w:color w:val="auto"/>
                <w:kern w:val="2"/>
                <w:sz w:val="24"/>
                <w:szCs w:val="24"/>
                <w:lang w:eastAsia="en-US"/>
                <w14:ligatures w14:val="standardContextual"/>
              </w:rPr>
              <w:t xml:space="preserve">However, the main difference </w:t>
            </w:r>
            <w:r w:rsidRPr="004E6FC7">
              <w:rPr>
                <w:rFonts w:eastAsia="Aptos"/>
                <w:color w:val="auto"/>
                <w:kern w:val="2"/>
                <w:sz w:val="24"/>
                <w:szCs w:val="24"/>
                <w:lang w:eastAsia="en-US"/>
                <w14:ligatures w14:val="standardContextual"/>
              </w:rPr>
              <w:t>is that adult safeguarding places greater emphasis on consent and mental capacity. Under the Mental Capacity Act 2005, capacity must be considered in relation to the specific decision, and an adult should not be treated as lacking capacity simply because they make an unwise choice (Mental Capacity Act 2005, ss.1–3). Adults with capacity may therefore refuse safeguarding support, even if this increases risk. Social workers must manage that risk while respecting the adult’s autonomy and right to decide</w:t>
            </w:r>
            <w:r w:rsidRPr="004E6FC7">
              <w:rPr>
                <w:rFonts w:eastAsia="Aptos"/>
                <w:color w:val="auto"/>
                <w:kern w:val="2"/>
                <w:sz w:val="24"/>
                <w:szCs w:val="24"/>
                <w:lang w:eastAsia="en-US"/>
                <w14:ligatures w14:val="standardContextual"/>
              </w:rPr>
              <w:t xml:space="preserve"> (Dixon, 2023).</w:t>
            </w:r>
            <w:r w:rsidRPr="00A161B3">
              <w:rPr>
                <w:rFonts w:eastAsia="Aptos"/>
                <w:color w:val="auto"/>
                <w:kern w:val="2"/>
                <w:sz w:val="24"/>
                <w:szCs w:val="24"/>
                <w:lang w:eastAsia="en-US"/>
                <w14:ligatures w14:val="standardContextual"/>
              </w:rPr>
              <w:t xml:space="preserve"> </w:t>
            </w:r>
            <w:r w:rsidRPr="00A161B3">
              <w:rPr>
                <w:rFonts w:eastAsia="Aptos"/>
                <w:color w:val="auto"/>
                <w:kern w:val="2"/>
                <w:sz w:val="24"/>
                <w:szCs w:val="24"/>
                <w:lang w:eastAsia="en-US"/>
                <w14:ligatures w14:val="standardContextual"/>
              </w:rPr>
              <w:t>If</w:t>
            </w:r>
            <w:r w:rsidRPr="00A161B3">
              <w:rPr>
                <w:rFonts w:eastAsia="Aptos"/>
                <w:color w:val="auto"/>
                <w:kern w:val="2"/>
                <w:sz w:val="24"/>
                <w:szCs w:val="24"/>
                <w:lang w:eastAsia="en-US"/>
                <w14:ligatures w14:val="standardContextual"/>
              </w:rPr>
              <w:t xml:space="preserve"> an adult </w:t>
            </w:r>
            <w:r w:rsidRPr="00A161B3">
              <w:rPr>
                <w:rFonts w:eastAsia="Aptos"/>
                <w:color w:val="auto"/>
                <w:kern w:val="2"/>
                <w:sz w:val="24"/>
                <w:szCs w:val="24"/>
                <w:lang w:eastAsia="en-US"/>
                <w14:ligatures w14:val="standardContextual"/>
              </w:rPr>
              <w:t>lacks</w:t>
            </w:r>
            <w:r w:rsidRPr="00A161B3">
              <w:rPr>
                <w:rFonts w:eastAsia="Aptos"/>
                <w:color w:val="auto"/>
                <w:kern w:val="2"/>
                <w:sz w:val="24"/>
                <w:szCs w:val="24"/>
                <w:lang w:eastAsia="en-US"/>
                <w14:ligatures w14:val="standardContextual"/>
              </w:rPr>
              <w:t xml:space="preserve"> capacity</w:t>
            </w:r>
            <w:r w:rsidRPr="00A161B3">
              <w:rPr>
                <w:rFonts w:eastAsia="Aptos"/>
                <w:color w:val="auto"/>
                <w:kern w:val="2"/>
                <w:sz w:val="24"/>
                <w:szCs w:val="24"/>
                <w:lang w:eastAsia="en-US"/>
                <w14:ligatures w14:val="standardContextual"/>
              </w:rPr>
              <w:t xml:space="preserve">, professionals may take legally justified action </w:t>
            </w:r>
            <w:r w:rsidRPr="00A161B3">
              <w:rPr>
                <w:rFonts w:eastAsia="Aptos"/>
                <w:color w:val="auto"/>
                <w:kern w:val="2"/>
                <w:sz w:val="24"/>
                <w:szCs w:val="24"/>
                <w:lang w:eastAsia="en-US"/>
                <w14:ligatures w14:val="standardContextual"/>
              </w:rPr>
              <w:t>in their best interests</w:t>
            </w:r>
            <w:r w:rsidRPr="00A161B3">
              <w:rPr>
                <w:rFonts w:eastAsia="Aptos"/>
                <w:color w:val="auto"/>
                <w:kern w:val="2"/>
                <w:sz w:val="24"/>
                <w:szCs w:val="24"/>
                <w:lang w:eastAsia="en-US"/>
                <w14:ligatures w14:val="standardContextual"/>
              </w:rPr>
              <w:t xml:space="preserve">, including applying to the Court of Protection </w:t>
            </w:r>
            <w:r w:rsidRPr="00A161B3">
              <w:rPr>
                <w:rFonts w:eastAsia="Aptos"/>
                <w:color w:val="auto"/>
                <w:kern w:val="2"/>
                <w:sz w:val="24"/>
                <w:szCs w:val="24"/>
                <w:lang w:eastAsia="en-US"/>
                <w14:ligatures w14:val="standardContextual"/>
              </w:rPr>
              <w:t>(</w:t>
            </w:r>
            <w:r w:rsidRPr="00A161B3">
              <w:rPr>
                <w:rFonts w:eastAsia="Aptos"/>
                <w:color w:val="auto"/>
                <w:kern w:val="2"/>
                <w:sz w:val="24"/>
                <w:szCs w:val="24"/>
                <w:lang w:eastAsia="en-US"/>
                <w14:ligatures w14:val="standardContextual"/>
              </w:rPr>
              <w:t xml:space="preserve">Wales </w:t>
            </w:r>
            <w:r w:rsidRPr="00A161B3">
              <w:rPr>
                <w:rFonts w:eastAsia="Aptos"/>
                <w:color w:val="auto"/>
                <w:kern w:val="2"/>
                <w:sz w:val="24"/>
                <w:szCs w:val="24"/>
                <w:lang w:eastAsia="en-US"/>
                <w14:ligatures w14:val="standardContextual"/>
              </w:rPr>
              <w:t xml:space="preserve">Safeguarding </w:t>
            </w:r>
            <w:r w:rsidRPr="00A161B3">
              <w:rPr>
                <w:rFonts w:eastAsia="Aptos"/>
                <w:color w:val="auto"/>
                <w:kern w:val="2"/>
                <w:sz w:val="24"/>
                <w:szCs w:val="24"/>
                <w:lang w:eastAsia="en-US"/>
                <w14:ligatures w14:val="standardContextual"/>
              </w:rPr>
              <w:t>Procedures Project Board, 2019).</w:t>
            </w:r>
            <w:r>
              <w:rPr>
                <w:rFonts w:eastAsia="Aptos"/>
                <w:color w:val="auto"/>
                <w:kern w:val="2"/>
                <w:sz w:val="24"/>
                <w:szCs w:val="24"/>
                <w:lang w:eastAsia="en-US"/>
                <w14:ligatures w14:val="standardContextual"/>
              </w:rPr>
              <w:t xml:space="preserve"> </w:t>
            </w:r>
            <w:r w:rsidRPr="004E6FC7">
              <w:rPr>
                <w:rFonts w:eastAsia="Aptos"/>
                <w:color w:val="auto"/>
                <w:kern w:val="2"/>
                <w:sz w:val="24"/>
                <w:szCs w:val="24"/>
                <w:lang w:eastAsia="en-US"/>
                <w14:ligatures w14:val="standardContextual"/>
              </w:rPr>
              <w:t xml:space="preserve">This reflects the BASW Code of Ethics, which requires social workers to respect self-determination, promote participation and seek informed consent unless action is required by law to protect the person or someone else from serious harm (BASW, 2021). </w:t>
            </w:r>
            <w:r w:rsidR="00125BA8" w:rsidRPr="00125BA8">
              <w:rPr>
                <w:color w:val="auto"/>
                <w:sz w:val="24"/>
                <w:szCs w:val="24"/>
              </w:rPr>
              <w:t>The</w:t>
            </w:r>
            <w:r w:rsidRPr="004E6FC7">
              <w:rPr>
                <w:rFonts w:eastAsia="Aptos"/>
                <w:color w:val="auto"/>
                <w:kern w:val="2"/>
                <w:sz w:val="24"/>
                <w:szCs w:val="24"/>
                <w:lang w:eastAsia="en-US"/>
                <w14:ligatures w14:val="standardContextual"/>
              </w:rPr>
              <w:t xml:space="preserve"> Social Care Wales Code </w:t>
            </w:r>
            <w:r w:rsidRPr="004E6FC7">
              <w:rPr>
                <w:rFonts w:eastAsia="Aptos"/>
                <w:color w:val="auto"/>
                <w:kern w:val="2"/>
                <w:sz w:val="24"/>
                <w:szCs w:val="24"/>
                <w:lang w:eastAsia="en-US"/>
                <w14:ligatures w14:val="standardContextual"/>
              </w:rPr>
              <w:t>requires social workers</w:t>
            </w:r>
            <w:r w:rsidRPr="004E6FC7">
              <w:rPr>
                <w:rFonts w:eastAsia="Aptos"/>
                <w:color w:val="auto"/>
                <w:kern w:val="2"/>
                <w:sz w:val="24"/>
                <w:szCs w:val="24"/>
                <w:lang w:eastAsia="en-US"/>
                <w14:ligatures w14:val="standardContextual"/>
              </w:rPr>
              <w:t xml:space="preserve"> to </w:t>
            </w:r>
            <w:r w:rsidR="00125BA8" w:rsidRPr="00125BA8">
              <w:rPr>
                <w:color w:val="auto"/>
                <w:sz w:val="24"/>
                <w:szCs w:val="24"/>
              </w:rPr>
              <w:t>uphold</w:t>
            </w:r>
            <w:r w:rsidRPr="004E6FC7">
              <w:rPr>
                <w:rFonts w:eastAsia="Aptos"/>
                <w:color w:val="auto"/>
                <w:kern w:val="2"/>
                <w:sz w:val="24"/>
                <w:szCs w:val="24"/>
                <w:lang w:eastAsia="en-US"/>
                <w14:ligatures w14:val="standardContextual"/>
              </w:rPr>
              <w:t xml:space="preserve"> rights and choices</w:t>
            </w:r>
            <w:r w:rsidR="00125BA8" w:rsidRPr="00125BA8">
              <w:rPr>
                <w:color w:val="auto"/>
                <w:sz w:val="24"/>
                <w:szCs w:val="24"/>
              </w:rPr>
              <w:t>, promote</w:t>
            </w:r>
            <w:r w:rsidRPr="004E6FC7">
              <w:rPr>
                <w:rFonts w:eastAsia="Aptos"/>
                <w:color w:val="auto"/>
                <w:kern w:val="2"/>
                <w:sz w:val="24"/>
                <w:szCs w:val="24"/>
                <w:lang w:eastAsia="en-US"/>
                <w14:ligatures w14:val="standardContextual"/>
              </w:rPr>
              <w:t xml:space="preserve"> well-being and </w:t>
            </w:r>
            <w:r w:rsidR="00125BA8" w:rsidRPr="00125BA8">
              <w:rPr>
                <w:color w:val="auto"/>
                <w:sz w:val="24"/>
                <w:szCs w:val="24"/>
              </w:rPr>
              <w:t>act</w:t>
            </w:r>
            <w:r w:rsidRPr="004E6FC7">
              <w:rPr>
                <w:rFonts w:eastAsia="Aptos"/>
                <w:color w:val="auto"/>
                <w:kern w:val="2"/>
                <w:sz w:val="24"/>
                <w:szCs w:val="24"/>
                <w:lang w:eastAsia="en-US"/>
                <w14:ligatures w14:val="standardContextual"/>
              </w:rPr>
              <w:t xml:space="preserve"> when </w:t>
            </w:r>
            <w:r w:rsidR="00125BA8" w:rsidRPr="00125BA8">
              <w:rPr>
                <w:color w:val="auto"/>
                <w:sz w:val="24"/>
                <w:szCs w:val="24"/>
              </w:rPr>
              <w:t>people</w:t>
            </w:r>
            <w:r w:rsidRPr="004E6FC7">
              <w:rPr>
                <w:rFonts w:eastAsia="Aptos"/>
                <w:color w:val="auto"/>
                <w:kern w:val="2"/>
                <w:sz w:val="24"/>
                <w:szCs w:val="24"/>
                <w:lang w:eastAsia="en-US"/>
                <w14:ligatures w14:val="standardContextual"/>
              </w:rPr>
              <w:t xml:space="preserve"> may be at risk (Social Care Wales, 2026). </w:t>
            </w:r>
          </w:p>
          <w:p w14:paraId="311459A9" w14:textId="77777777" w:rsidR="00DF1BCC" w:rsidRPr="004E6FC7" w:rsidRDefault="00DF1BCC" w:rsidP="00A161B3">
            <w:pPr>
              <w:spacing w:line="360" w:lineRule="auto"/>
              <w:jc w:val="both"/>
              <w:rPr>
                <w:rFonts w:eastAsia="Aptos"/>
                <w:color w:val="auto"/>
                <w:kern w:val="2"/>
                <w:sz w:val="24"/>
                <w:szCs w:val="24"/>
                <w:lang w:eastAsia="en-US"/>
                <w14:ligatures w14:val="standardContextual"/>
              </w:rPr>
            </w:pPr>
          </w:p>
          <w:p w14:paraId="00573CE1" w14:textId="77777777" w:rsidR="004E6FC7" w:rsidRPr="004E6FC7" w:rsidRDefault="004E6FC7" w:rsidP="004E6FC7">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4E6FC7">
              <w:rPr>
                <w:rFonts w:eastAsia="Aptos"/>
                <w:color w:val="auto"/>
                <w:kern w:val="2"/>
                <w:sz w:val="24"/>
                <w:szCs w:val="24"/>
                <w:lang w:eastAsia="en-US"/>
                <w14:ligatures w14:val="standardContextual"/>
              </w:rPr>
              <w:t xml:space="preserve">In contrast, children’s safeguarding is guided by the principle that the child’s welfare is paramount under the Children Act 1989 (Children Act 1989, s.1). Where there is reasonable cause to suspect that a child is suffering, or is likely to suffer, significant harm, the local authority must complete child protection enquiries under section 47 and may intervene without parental consent (Children Act 1989, s.47; Welsh Government, 2018b). In Wales, this duty is supported by the Social Services and Well-being (Wales) Act 2014, </w:t>
            </w:r>
            <w:r w:rsidRPr="004E6FC7">
              <w:rPr>
                <w:rFonts w:eastAsia="Aptos"/>
                <w:i/>
                <w:color w:val="auto"/>
                <w:kern w:val="2"/>
                <w:sz w:val="24"/>
                <w:szCs w:val="24"/>
                <w:lang w:eastAsia="en-US"/>
                <w14:ligatures w14:val="standardContextual"/>
              </w:rPr>
              <w:t>Working Together to Safeguard People</w:t>
            </w:r>
            <w:r w:rsidRPr="004E6FC7">
              <w:rPr>
                <w:rFonts w:eastAsia="Aptos"/>
                <w:color w:val="auto"/>
                <w:kern w:val="2"/>
                <w:sz w:val="24"/>
                <w:szCs w:val="24"/>
                <w:lang w:eastAsia="en-US"/>
                <w14:ligatures w14:val="standardContextual"/>
              </w:rPr>
              <w:t xml:space="preserve"> guidance and the Wales Safeguarding Procedures.</w:t>
            </w:r>
          </w:p>
          <w:p w14:paraId="2DC7339E" w14:textId="77777777" w:rsidR="004E6FC7" w:rsidRPr="004E6FC7" w:rsidRDefault="004E6FC7" w:rsidP="004E6FC7">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4E6FC7">
              <w:rPr>
                <w:rFonts w:eastAsia="Aptos"/>
                <w:color w:val="auto"/>
                <w:kern w:val="2"/>
                <w:sz w:val="24"/>
                <w:szCs w:val="24"/>
                <w:lang w:eastAsia="en-US"/>
                <w14:ligatures w14:val="standardContextual"/>
              </w:rPr>
              <w:t xml:space="preserve">Although children’s welfare remains the main priority, their developing ability to understand and consent must also be recognised. Under the principle of Gillick competence, a child under 16 may consent to a specific decision if they have sufficient maturity and understanding to </w:t>
            </w:r>
            <w:r w:rsidRPr="004E6FC7">
              <w:rPr>
                <w:rFonts w:eastAsia="Aptos"/>
                <w:color w:val="auto"/>
                <w:kern w:val="2"/>
                <w:sz w:val="24"/>
                <w:szCs w:val="24"/>
                <w:lang w:eastAsia="en-US"/>
                <w14:ligatures w14:val="standardContextual"/>
              </w:rPr>
              <w:lastRenderedPageBreak/>
              <w:t>appreciate what is proposed and its possible consequences (</w:t>
            </w:r>
            <w:r w:rsidRPr="004E6FC7">
              <w:rPr>
                <w:rFonts w:eastAsia="Aptos"/>
                <w:i/>
                <w:color w:val="auto"/>
                <w:kern w:val="2"/>
                <w:sz w:val="24"/>
                <w:szCs w:val="24"/>
                <w:lang w:eastAsia="en-US"/>
                <w14:ligatures w14:val="standardContextual"/>
              </w:rPr>
              <w:t>Gillick v West Norfolk and Wisbech Area Health Authority</w:t>
            </w:r>
            <w:r w:rsidRPr="004E6FC7">
              <w:rPr>
                <w:rFonts w:eastAsia="Aptos"/>
                <w:color w:val="auto"/>
                <w:kern w:val="2"/>
                <w:sz w:val="24"/>
                <w:szCs w:val="24"/>
                <w:lang w:eastAsia="en-US"/>
                <w14:ligatures w14:val="standardContextual"/>
              </w:rPr>
              <w:t xml:space="preserve"> [1985] UKHL 7). However, even where a child is Gillick competent, safeguarding action may still be necessary if there is a risk of significant harm.</w:t>
            </w:r>
          </w:p>
          <w:p w14:paraId="4E1410DC" w14:textId="19149F14" w:rsidR="004E6FC7" w:rsidRPr="004E6FC7" w:rsidRDefault="004E6FC7" w:rsidP="004E6FC7">
            <w:pPr>
              <w:overflowPunct/>
              <w:autoSpaceDE/>
              <w:autoSpaceDN/>
              <w:adjustRightInd/>
              <w:spacing w:after="160" w:line="360" w:lineRule="auto"/>
              <w:jc w:val="both"/>
              <w:textAlignment w:val="auto"/>
              <w:rPr>
                <w:rFonts w:eastAsia="Aptos"/>
                <w:color w:val="auto"/>
                <w:kern w:val="2"/>
                <w:sz w:val="24"/>
                <w:szCs w:val="24"/>
                <w:lang w:eastAsia="en-US"/>
                <w14:ligatures w14:val="standardContextual"/>
              </w:rPr>
            </w:pPr>
            <w:r w:rsidRPr="004E6FC7">
              <w:rPr>
                <w:rFonts w:eastAsia="Aptos"/>
                <w:color w:val="auto"/>
                <w:kern w:val="2"/>
                <w:sz w:val="24"/>
                <w:szCs w:val="24"/>
                <w:lang w:eastAsia="en-US"/>
                <w14:ligatures w14:val="standardContextual"/>
              </w:rPr>
              <w:t xml:space="preserve">Overall, both adult and children’s safeguarding require social workers to recognise harm, assess risk, and with other agencies to promote safety and well-being (Chisnell and Kelly, 2019). </w:t>
            </w:r>
          </w:p>
          <w:p w14:paraId="7B7B4827" w14:textId="2E049E52" w:rsidR="00FC0334" w:rsidRPr="004E6FC7" w:rsidRDefault="004E6FC7" w:rsidP="004E6FC7">
            <w:pPr>
              <w:overflowPunct/>
              <w:autoSpaceDE/>
              <w:autoSpaceDN/>
              <w:adjustRightInd/>
              <w:spacing w:after="160" w:line="360" w:lineRule="auto"/>
              <w:textAlignment w:val="auto"/>
              <w:rPr>
                <w:rFonts w:eastAsia="Aptos"/>
                <w:color w:val="auto"/>
                <w:kern w:val="2"/>
                <w:sz w:val="24"/>
                <w:szCs w:val="24"/>
                <w:lang w:eastAsia="en-US"/>
                <w14:ligatures w14:val="standardContextual"/>
              </w:rPr>
            </w:pPr>
            <w:r w:rsidRPr="004E6FC7">
              <w:rPr>
                <w:rFonts w:eastAsia="Aptos"/>
                <w:color w:val="auto"/>
                <w:kern w:val="2"/>
                <w:sz w:val="24"/>
                <w:szCs w:val="24"/>
                <w:lang w:eastAsia="en-US"/>
                <w14:ligatures w14:val="standardContextual"/>
              </w:rPr>
              <w:t>Word count:4</w:t>
            </w:r>
            <w:r w:rsidR="00DD15ED">
              <w:rPr>
                <w:rFonts w:eastAsia="Aptos"/>
                <w:color w:val="auto"/>
                <w:kern w:val="2"/>
                <w:sz w:val="24"/>
                <w:szCs w:val="24"/>
                <w:lang w:eastAsia="en-US"/>
                <w14:ligatures w14:val="standardContextual"/>
              </w:rPr>
              <w:t>35</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6437F" w14:textId="77777777" w:rsidR="00150F5C" w:rsidRDefault="00150F5C">
      <w:r>
        <w:separator/>
      </w:r>
    </w:p>
  </w:endnote>
  <w:endnote w:type="continuationSeparator" w:id="0">
    <w:p w14:paraId="75B874EC" w14:textId="77777777" w:rsidR="00150F5C" w:rsidRDefault="00150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0E47" w14:textId="77777777" w:rsidR="00990595" w:rsidRDefault="00990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F3B7E" w14:textId="77777777" w:rsidR="00990595" w:rsidRDefault="00990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613D3" w14:textId="77777777" w:rsidR="00150F5C" w:rsidRDefault="00150F5C">
      <w:r>
        <w:separator/>
      </w:r>
    </w:p>
  </w:footnote>
  <w:footnote w:type="continuationSeparator" w:id="0">
    <w:p w14:paraId="23C53CC5" w14:textId="77777777" w:rsidR="00150F5C" w:rsidRDefault="00150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0590" w14:textId="77777777" w:rsidR="00990595" w:rsidRDefault="00990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368D6" w14:textId="77777777" w:rsidR="00990595" w:rsidRDefault="00990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5BA8"/>
    <w:rsid w:val="00130119"/>
    <w:rsid w:val="00132812"/>
    <w:rsid w:val="001347F8"/>
    <w:rsid w:val="001359EE"/>
    <w:rsid w:val="00137BB5"/>
    <w:rsid w:val="00137E05"/>
    <w:rsid w:val="001447F6"/>
    <w:rsid w:val="00147DE3"/>
    <w:rsid w:val="00150794"/>
    <w:rsid w:val="00150F5C"/>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6DBE"/>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543A"/>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23D2"/>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222"/>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6FC7"/>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3794"/>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0595"/>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1B3"/>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15ED"/>
    <w:rsid w:val="00DD31C5"/>
    <w:rsid w:val="00DD5020"/>
    <w:rsid w:val="00DD63BE"/>
    <w:rsid w:val="00DE4296"/>
    <w:rsid w:val="00DF1BCC"/>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A99"/>
    <w:rsid w:val="00EB2173"/>
    <w:rsid w:val="00EB62E6"/>
    <w:rsid w:val="00EB695F"/>
    <w:rsid w:val="00EC3A85"/>
    <w:rsid w:val="00EC4B89"/>
    <w:rsid w:val="00EC59A5"/>
    <w:rsid w:val="00EC6E15"/>
    <w:rsid w:val="00ED1B30"/>
    <w:rsid w:val="00ED5D03"/>
    <w:rsid w:val="00EE01ED"/>
    <w:rsid w:val="00EE1AC1"/>
    <w:rsid w:val="00EE39D6"/>
    <w:rsid w:val="00EE3D8C"/>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99059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9059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059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059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059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059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059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990595"/>
    <w:rPr>
      <w:b/>
      <w:bCs/>
      <w:i/>
      <w:iCs/>
      <w:spacing w:val="5"/>
    </w:rPr>
  </w:style>
  <w:style w:type="paragraph" w:styleId="Caption">
    <w:name w:val="caption"/>
    <w:basedOn w:val="Normal"/>
    <w:next w:val="Normal"/>
    <w:uiPriority w:val="35"/>
    <w:semiHidden/>
    <w:unhideWhenUsed/>
    <w:qFormat/>
    <w:rsid w:val="00990595"/>
    <w:pPr>
      <w:spacing w:after="200"/>
    </w:pPr>
    <w:rPr>
      <w:i/>
      <w:iCs/>
      <w:color w:val="44546A" w:themeColor="text2"/>
      <w:sz w:val="18"/>
      <w:szCs w:val="18"/>
    </w:rPr>
  </w:style>
  <w:style w:type="character" w:styleId="Emphasis">
    <w:name w:val="Emphasis"/>
    <w:basedOn w:val="DefaultParagraphFont"/>
    <w:uiPriority w:val="20"/>
    <w:qFormat/>
    <w:rsid w:val="00990595"/>
    <w:rPr>
      <w:i/>
      <w:iCs/>
    </w:rPr>
  </w:style>
  <w:style w:type="character" w:customStyle="1" w:styleId="Heading3Char">
    <w:name w:val="Heading 3 Char"/>
    <w:basedOn w:val="DefaultParagraphFont"/>
    <w:link w:val="Heading3"/>
    <w:uiPriority w:val="9"/>
    <w:semiHidden/>
    <w:rsid w:val="0099059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9059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9059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059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059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059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0595"/>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990595"/>
    <w:rPr>
      <w:i/>
      <w:iCs/>
      <w:color w:val="4472C4" w:themeColor="accent1"/>
    </w:rPr>
  </w:style>
  <w:style w:type="paragraph" w:styleId="IntenseQuote">
    <w:name w:val="Intense Quote"/>
    <w:basedOn w:val="Normal"/>
    <w:next w:val="Normal"/>
    <w:link w:val="IntenseQuoteChar"/>
    <w:uiPriority w:val="30"/>
    <w:qFormat/>
    <w:rsid w:val="0099059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90595"/>
    <w:rPr>
      <w:rFonts w:ascii="Arial" w:hAnsi="Arial" w:cs="Arial"/>
      <w:i/>
      <w:iCs/>
      <w:color w:val="4472C4" w:themeColor="accent1"/>
    </w:rPr>
  </w:style>
  <w:style w:type="character" w:styleId="IntenseReference">
    <w:name w:val="Intense Reference"/>
    <w:basedOn w:val="DefaultParagraphFont"/>
    <w:uiPriority w:val="32"/>
    <w:qFormat/>
    <w:rsid w:val="00990595"/>
    <w:rPr>
      <w:b/>
      <w:bCs/>
      <w:smallCaps/>
      <w:color w:val="4472C4" w:themeColor="accent1"/>
      <w:spacing w:val="5"/>
    </w:rPr>
  </w:style>
  <w:style w:type="paragraph" w:styleId="ListParagraph">
    <w:name w:val="List Paragraph"/>
    <w:basedOn w:val="Normal"/>
    <w:uiPriority w:val="34"/>
    <w:qFormat/>
    <w:rsid w:val="00990595"/>
    <w:pPr>
      <w:ind w:left="720"/>
      <w:contextualSpacing/>
    </w:pPr>
  </w:style>
  <w:style w:type="paragraph" w:styleId="NoSpacing">
    <w:name w:val="No Spacing"/>
    <w:uiPriority w:val="1"/>
    <w:qFormat/>
    <w:rsid w:val="00990595"/>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99059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90595"/>
    <w:rPr>
      <w:rFonts w:ascii="Arial" w:hAnsi="Arial" w:cs="Arial"/>
      <w:i/>
      <w:iCs/>
      <w:color w:val="404040" w:themeColor="text1" w:themeTint="BF"/>
    </w:rPr>
  </w:style>
  <w:style w:type="character" w:styleId="Strong">
    <w:name w:val="Strong"/>
    <w:basedOn w:val="DefaultParagraphFont"/>
    <w:uiPriority w:val="22"/>
    <w:qFormat/>
    <w:rsid w:val="00990595"/>
    <w:rPr>
      <w:b/>
      <w:bCs/>
    </w:rPr>
  </w:style>
  <w:style w:type="paragraph" w:styleId="Subtitle">
    <w:name w:val="Subtitle"/>
    <w:basedOn w:val="Normal"/>
    <w:next w:val="Normal"/>
    <w:link w:val="SubtitleChar"/>
    <w:uiPriority w:val="11"/>
    <w:qFormat/>
    <w:rsid w:val="0099059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90595"/>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990595"/>
    <w:rPr>
      <w:i/>
      <w:iCs/>
      <w:color w:val="404040" w:themeColor="text1" w:themeTint="BF"/>
    </w:rPr>
  </w:style>
  <w:style w:type="character" w:styleId="SubtleReference">
    <w:name w:val="Subtle Reference"/>
    <w:basedOn w:val="DefaultParagraphFont"/>
    <w:uiPriority w:val="31"/>
    <w:qFormat/>
    <w:rsid w:val="00990595"/>
    <w:rPr>
      <w:smallCaps/>
      <w:color w:val="5A5A5A" w:themeColor="text1" w:themeTint="A5"/>
    </w:rPr>
  </w:style>
  <w:style w:type="paragraph" w:styleId="TOCHeading">
    <w:name w:val="TOC Heading"/>
    <w:basedOn w:val="Heading1"/>
    <w:next w:val="Normal"/>
    <w:uiPriority w:val="39"/>
    <w:semiHidden/>
    <w:unhideWhenUsed/>
    <w:qFormat/>
    <w:rsid w:val="00990595"/>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hadine.sutherland@hotmail.co.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1169</Words>
  <Characters>6739</Characters>
  <Application>Microsoft Office Word</Application>
  <DocSecurity>0</DocSecurity>
  <Lines>137</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Khadine Sutherland</cp:lastModifiedBy>
  <cp:revision>2</cp:revision>
  <cp:lastPrinted>2020-02-11T19:20:00Z</cp:lastPrinted>
  <dcterms:created xsi:type="dcterms:W3CDTF">2026-10-06T11:37:00Z</dcterms:created>
  <dcterms:modified xsi:type="dcterms:W3CDTF">2026-10-06T11:37:00Z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