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581372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A4FB0">
        <w:rPr>
          <w:rFonts w:asciiTheme="minorBidi" w:hAnsiTheme="minorBidi"/>
          <w:sz w:val="28"/>
          <w:szCs w:val="28"/>
        </w:rPr>
        <w:t>Leanne Amanda Kathleen Maley</w:t>
      </w:r>
    </w:p>
    <w:p w14:paraId="485B6F49" w14:textId="55051BF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A4FB0">
        <w:rPr>
          <w:rFonts w:asciiTheme="minorBidi" w:hAnsiTheme="minorBidi"/>
          <w:sz w:val="28"/>
          <w:szCs w:val="28"/>
        </w:rPr>
        <w:t>2522178</w:t>
      </w:r>
    </w:p>
    <w:p w14:paraId="3C1E7A20" w14:textId="4FC00A4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A4FB0" w:rsidRPr="001A4FB0">
        <w:rPr>
          <w:rFonts w:asciiTheme="minorBidi" w:hAnsiTheme="minorBidi"/>
          <w:sz w:val="28"/>
          <w:szCs w:val="28"/>
        </w:rPr>
        <w:t>LCHS400</w:t>
      </w:r>
      <w:r w:rsidR="0008111C">
        <w:rPr>
          <w:rFonts w:asciiTheme="minorBidi" w:hAnsiTheme="minorBidi"/>
          <w:sz w:val="28"/>
          <w:szCs w:val="28"/>
        </w:rPr>
        <w:t>1</w:t>
      </w:r>
    </w:p>
    <w:p w14:paraId="4EEB2DA3" w14:textId="3C3E34F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8111C" w:rsidRPr="0008111C">
        <w:rPr>
          <w:rFonts w:asciiTheme="minorBidi" w:hAnsiTheme="minorBidi"/>
          <w:sz w:val="28"/>
          <w:szCs w:val="28"/>
        </w:rPr>
        <w:t>Academic and Employability Skills</w:t>
      </w:r>
    </w:p>
    <w:p w14:paraId="112342CB" w14:textId="79C4F8B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61766" w:rsidRPr="00361766">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6363688"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1A4FB0">
        <w:rPr>
          <w:rFonts w:asciiTheme="minorBidi" w:hAnsiTheme="minorBidi"/>
          <w:sz w:val="28"/>
          <w:szCs w:val="28"/>
        </w:rPr>
        <w:t>14/03/2026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5FC578ED" w14:textId="3063D886" w:rsidR="0008111C" w:rsidRPr="0008111C" w:rsidRDefault="0008111C" w:rsidP="0008111C">
      <w:pPr>
        <w:pageBreakBefore/>
        <w:spacing w:line="360" w:lineRule="auto"/>
        <w:rPr>
          <w:rFonts w:ascii="Arial" w:hAnsi="Arial" w:cs="Arial"/>
          <w:b/>
          <w:bCs/>
          <w:color w:val="000000" w:themeColor="text1"/>
          <w:sz w:val="28"/>
          <w:szCs w:val="28"/>
        </w:rPr>
      </w:pPr>
      <w:r w:rsidRPr="0008111C">
        <w:rPr>
          <w:rFonts w:ascii="Arial" w:hAnsi="Arial" w:cs="Arial"/>
          <w:b/>
          <w:bCs/>
          <w:color w:val="000000" w:themeColor="text1"/>
          <w:sz w:val="28"/>
          <w:szCs w:val="28"/>
        </w:rPr>
        <w:lastRenderedPageBreak/>
        <w:t>The Role of a Private Carer in the UK Health and Social Care Sector</w:t>
      </w:r>
    </w:p>
    <w:p w14:paraId="35BD0FF0" w14:textId="77777777" w:rsidR="0008111C" w:rsidRPr="0008111C" w:rsidRDefault="0008111C" w:rsidP="0008111C">
      <w:pPr>
        <w:pStyle w:val="Heading1"/>
        <w:spacing w:line="360" w:lineRule="auto"/>
        <w:rPr>
          <w:rFonts w:ascii="Arial" w:hAnsi="Arial" w:cs="Arial"/>
          <w:color w:val="000000" w:themeColor="text1"/>
        </w:rPr>
      </w:pPr>
      <w:bookmarkStart w:id="0" w:name="_Toc224040796"/>
      <w:r w:rsidRPr="0008111C">
        <w:rPr>
          <w:rFonts w:ascii="Arial" w:hAnsi="Arial" w:cs="Arial"/>
          <w:color w:val="000000" w:themeColor="text1"/>
        </w:rPr>
        <w:t>Table of Contents</w:t>
      </w:r>
      <w:bookmarkEnd w:id="0"/>
    </w:p>
    <w:sdt>
      <w:sdtPr>
        <w:rPr>
          <w:rFonts w:ascii="Arial" w:hAnsi="Arial" w:cs="Arial"/>
          <w:color w:val="000000" w:themeColor="text1"/>
        </w:rPr>
        <w:alias w:val="Table of Contents"/>
        <w:id w:val="-2112192087"/>
      </w:sdtPr>
      <w:sdtEndPr>
        <w:rPr>
          <w:b w:val="0"/>
          <w:bCs w:val="0"/>
          <w:i w:val="0"/>
          <w:iCs w:val="0"/>
          <w:sz w:val="20"/>
          <w:szCs w:val="22"/>
        </w:rPr>
      </w:sdtEndPr>
      <w:sdtContent>
        <w:p w14:paraId="31193CFC" w14:textId="77777777" w:rsidR="0008111C" w:rsidRPr="0008111C" w:rsidRDefault="0008111C" w:rsidP="0008111C">
          <w:pPr>
            <w:pStyle w:val="TOC1"/>
            <w:tabs>
              <w:tab w:val="right" w:leader="dot" w:pos="9016"/>
            </w:tabs>
            <w:spacing w:line="360" w:lineRule="auto"/>
            <w:rPr>
              <w:rFonts w:ascii="Arial" w:hAnsi="Arial" w:cs="Arial"/>
              <w:noProof/>
              <w:color w:val="000000" w:themeColor="text1"/>
            </w:rPr>
          </w:pPr>
          <w:r w:rsidRPr="0008111C">
            <w:rPr>
              <w:rFonts w:ascii="Arial" w:hAnsi="Arial" w:cs="Arial"/>
              <w:color w:val="000000" w:themeColor="text1"/>
            </w:rPr>
            <w:fldChar w:fldCharType="begin"/>
          </w:r>
          <w:r w:rsidRPr="0008111C">
            <w:rPr>
              <w:rFonts w:ascii="Arial" w:hAnsi="Arial" w:cs="Arial"/>
              <w:color w:val="000000" w:themeColor="text1"/>
            </w:rPr>
            <w:instrText>TOC \h \o "1-2" \t "Heading 1,1,Heading 2,2"</w:instrText>
          </w:r>
          <w:r w:rsidRPr="0008111C">
            <w:rPr>
              <w:rFonts w:ascii="Arial" w:hAnsi="Arial" w:cs="Arial"/>
              <w:color w:val="000000" w:themeColor="text1"/>
            </w:rPr>
            <w:fldChar w:fldCharType="separate"/>
          </w:r>
          <w:hyperlink w:anchor="_Toc224040796" w:history="1">
            <w:r w:rsidRPr="0008111C">
              <w:rPr>
                <w:rStyle w:val="Hyperlink"/>
                <w:rFonts w:ascii="Arial" w:hAnsi="Arial" w:cs="Arial"/>
                <w:noProof/>
                <w:color w:val="000000" w:themeColor="text1"/>
              </w:rPr>
              <w:t>Table of Contents</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_Toc224040796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2</w:t>
            </w:r>
            <w:r w:rsidRPr="0008111C">
              <w:rPr>
                <w:rFonts w:ascii="Arial" w:hAnsi="Arial" w:cs="Arial"/>
                <w:noProof/>
                <w:color w:val="000000" w:themeColor="text1"/>
              </w:rPr>
              <w:fldChar w:fldCharType="end"/>
            </w:r>
          </w:hyperlink>
        </w:p>
        <w:p w14:paraId="30455E5F" w14:textId="77777777" w:rsidR="0008111C" w:rsidRPr="0008111C" w:rsidRDefault="0008111C" w:rsidP="0008111C">
          <w:pPr>
            <w:pStyle w:val="TOC1"/>
            <w:tabs>
              <w:tab w:val="right" w:leader="dot" w:pos="9016"/>
            </w:tabs>
            <w:spacing w:line="360" w:lineRule="auto"/>
            <w:rPr>
              <w:rFonts w:ascii="Arial" w:hAnsi="Arial" w:cs="Arial"/>
              <w:noProof/>
              <w:color w:val="000000" w:themeColor="text1"/>
            </w:rPr>
          </w:pPr>
          <w:hyperlink w:anchor="_Toc224040797" w:history="1">
            <w:r w:rsidRPr="0008111C">
              <w:rPr>
                <w:rStyle w:val="Hyperlink"/>
                <w:rFonts w:ascii="Arial" w:hAnsi="Arial" w:cs="Arial"/>
                <w:noProof/>
                <w:color w:val="000000" w:themeColor="text1"/>
              </w:rPr>
              <w:t>1. Introduction</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_Toc224040797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3</w:t>
            </w:r>
            <w:r w:rsidRPr="0008111C">
              <w:rPr>
                <w:rFonts w:ascii="Arial" w:hAnsi="Arial" w:cs="Arial"/>
                <w:noProof/>
                <w:color w:val="000000" w:themeColor="text1"/>
              </w:rPr>
              <w:fldChar w:fldCharType="end"/>
            </w:r>
          </w:hyperlink>
        </w:p>
        <w:p w14:paraId="70423FA5" w14:textId="77777777" w:rsidR="0008111C" w:rsidRPr="0008111C" w:rsidRDefault="0008111C" w:rsidP="0008111C">
          <w:pPr>
            <w:pStyle w:val="TOC1"/>
            <w:tabs>
              <w:tab w:val="right" w:leader="dot" w:pos="9016"/>
            </w:tabs>
            <w:spacing w:line="360" w:lineRule="auto"/>
            <w:rPr>
              <w:rFonts w:ascii="Arial" w:hAnsi="Arial" w:cs="Arial"/>
              <w:noProof/>
              <w:color w:val="000000" w:themeColor="text1"/>
            </w:rPr>
          </w:pPr>
          <w:hyperlink w:anchor="_Toc224040798" w:history="1">
            <w:r w:rsidRPr="0008111C">
              <w:rPr>
                <w:rStyle w:val="Hyperlink"/>
                <w:rFonts w:ascii="Arial" w:hAnsi="Arial" w:cs="Arial"/>
                <w:noProof/>
                <w:color w:val="000000" w:themeColor="text1"/>
              </w:rPr>
              <w:t>2. Description of the Private Carer Role</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_Toc224040798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3</w:t>
            </w:r>
            <w:r w:rsidRPr="0008111C">
              <w:rPr>
                <w:rFonts w:ascii="Arial" w:hAnsi="Arial" w:cs="Arial"/>
                <w:noProof/>
                <w:color w:val="000000" w:themeColor="text1"/>
              </w:rPr>
              <w:fldChar w:fldCharType="end"/>
            </w:r>
          </w:hyperlink>
        </w:p>
        <w:p w14:paraId="389094AD" w14:textId="77777777" w:rsidR="0008111C" w:rsidRPr="0008111C" w:rsidRDefault="0008111C" w:rsidP="0008111C">
          <w:pPr>
            <w:pStyle w:val="TOC1"/>
            <w:tabs>
              <w:tab w:val="right" w:leader="dot" w:pos="9016"/>
            </w:tabs>
            <w:spacing w:line="360" w:lineRule="auto"/>
            <w:rPr>
              <w:rFonts w:ascii="Arial" w:hAnsi="Arial" w:cs="Arial"/>
              <w:noProof/>
              <w:color w:val="000000" w:themeColor="text1"/>
            </w:rPr>
          </w:pPr>
          <w:hyperlink w:anchor="_Toc224040799" w:history="1">
            <w:r w:rsidRPr="0008111C">
              <w:rPr>
                <w:rStyle w:val="Hyperlink"/>
                <w:rFonts w:ascii="Arial" w:hAnsi="Arial" w:cs="Arial"/>
                <w:noProof/>
                <w:color w:val="000000" w:themeColor="text1"/>
              </w:rPr>
              <w:t>3. Three Essential Skills for the Private Carer Role</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_Toc224040799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3</w:t>
            </w:r>
            <w:r w:rsidRPr="0008111C">
              <w:rPr>
                <w:rFonts w:ascii="Arial" w:hAnsi="Arial" w:cs="Arial"/>
                <w:noProof/>
                <w:color w:val="000000" w:themeColor="text1"/>
              </w:rPr>
              <w:fldChar w:fldCharType="end"/>
            </w:r>
          </w:hyperlink>
        </w:p>
        <w:p w14:paraId="1DA494E1" w14:textId="77777777" w:rsidR="0008111C" w:rsidRPr="0008111C" w:rsidRDefault="0008111C" w:rsidP="0008111C">
          <w:pPr>
            <w:pStyle w:val="TOC2"/>
            <w:tabs>
              <w:tab w:val="right" w:leader="dot" w:pos="9016"/>
            </w:tabs>
            <w:spacing w:line="360" w:lineRule="auto"/>
            <w:rPr>
              <w:rFonts w:ascii="Arial" w:hAnsi="Arial" w:cs="Arial"/>
              <w:noProof/>
              <w:color w:val="000000" w:themeColor="text1"/>
            </w:rPr>
          </w:pPr>
          <w:hyperlink w:anchor="_Toc224040800" w:history="1">
            <w:r w:rsidRPr="0008111C">
              <w:rPr>
                <w:rStyle w:val="Hyperlink"/>
                <w:rFonts w:ascii="Arial" w:hAnsi="Arial" w:cs="Arial"/>
                <w:noProof/>
                <w:color w:val="000000" w:themeColor="text1"/>
              </w:rPr>
              <w:t>3.1 Communication Skills</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_Toc224040800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3</w:t>
            </w:r>
            <w:r w:rsidRPr="0008111C">
              <w:rPr>
                <w:rFonts w:ascii="Arial" w:hAnsi="Arial" w:cs="Arial"/>
                <w:noProof/>
                <w:color w:val="000000" w:themeColor="text1"/>
              </w:rPr>
              <w:fldChar w:fldCharType="end"/>
            </w:r>
          </w:hyperlink>
        </w:p>
        <w:p w14:paraId="4DF04205" w14:textId="77777777" w:rsidR="0008111C" w:rsidRPr="0008111C" w:rsidRDefault="0008111C" w:rsidP="0008111C">
          <w:pPr>
            <w:pStyle w:val="TOC2"/>
            <w:tabs>
              <w:tab w:val="right" w:leader="dot" w:pos="9016"/>
            </w:tabs>
            <w:spacing w:line="360" w:lineRule="auto"/>
            <w:rPr>
              <w:rFonts w:ascii="Arial" w:hAnsi="Arial" w:cs="Arial"/>
              <w:noProof/>
              <w:color w:val="000000" w:themeColor="text1"/>
            </w:rPr>
          </w:pPr>
          <w:hyperlink w:anchor="_Toc224040801" w:history="1">
            <w:r w:rsidRPr="0008111C">
              <w:rPr>
                <w:rStyle w:val="Hyperlink"/>
                <w:rFonts w:ascii="Arial" w:hAnsi="Arial" w:cs="Arial"/>
                <w:noProof/>
                <w:color w:val="000000" w:themeColor="text1"/>
              </w:rPr>
              <w:t>3.2 Empathy and Emotional Intelligence</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_Toc224040801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4</w:t>
            </w:r>
            <w:r w:rsidRPr="0008111C">
              <w:rPr>
                <w:rFonts w:ascii="Arial" w:hAnsi="Arial" w:cs="Arial"/>
                <w:noProof/>
                <w:color w:val="000000" w:themeColor="text1"/>
              </w:rPr>
              <w:fldChar w:fldCharType="end"/>
            </w:r>
          </w:hyperlink>
        </w:p>
        <w:p w14:paraId="1521A232" w14:textId="77777777" w:rsidR="0008111C" w:rsidRPr="0008111C" w:rsidRDefault="0008111C" w:rsidP="0008111C">
          <w:pPr>
            <w:pStyle w:val="TOC2"/>
            <w:tabs>
              <w:tab w:val="right" w:leader="dot" w:pos="9016"/>
            </w:tabs>
            <w:spacing w:line="360" w:lineRule="auto"/>
            <w:rPr>
              <w:rFonts w:ascii="Arial" w:hAnsi="Arial" w:cs="Arial"/>
              <w:noProof/>
              <w:color w:val="000000" w:themeColor="text1"/>
            </w:rPr>
          </w:pPr>
          <w:hyperlink w:anchor="_Toc224040802" w:history="1">
            <w:r w:rsidRPr="0008111C">
              <w:rPr>
                <w:rStyle w:val="Hyperlink"/>
                <w:rFonts w:ascii="Arial" w:hAnsi="Arial" w:cs="Arial"/>
                <w:noProof/>
                <w:color w:val="000000" w:themeColor="text1"/>
              </w:rPr>
              <w:t>3.3 Observation and Risk Assessment</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_Toc224040802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4</w:t>
            </w:r>
            <w:r w:rsidRPr="0008111C">
              <w:rPr>
                <w:rFonts w:ascii="Arial" w:hAnsi="Arial" w:cs="Arial"/>
                <w:noProof/>
                <w:color w:val="000000" w:themeColor="text1"/>
              </w:rPr>
              <w:fldChar w:fldCharType="end"/>
            </w:r>
          </w:hyperlink>
        </w:p>
        <w:p w14:paraId="46580C9D" w14:textId="77777777" w:rsidR="0008111C" w:rsidRPr="0008111C" w:rsidRDefault="0008111C" w:rsidP="0008111C">
          <w:pPr>
            <w:pStyle w:val="TOC1"/>
            <w:tabs>
              <w:tab w:val="right" w:leader="dot" w:pos="9016"/>
            </w:tabs>
            <w:spacing w:line="360" w:lineRule="auto"/>
            <w:rPr>
              <w:rFonts w:ascii="Arial" w:hAnsi="Arial" w:cs="Arial"/>
              <w:noProof/>
              <w:color w:val="000000" w:themeColor="text1"/>
            </w:rPr>
          </w:pPr>
          <w:hyperlink w:anchor="_Toc224040803" w:history="1">
            <w:r w:rsidRPr="0008111C">
              <w:rPr>
                <w:rStyle w:val="Hyperlink"/>
                <w:rFonts w:ascii="Arial" w:hAnsi="Arial" w:cs="Arial"/>
                <w:noProof/>
                <w:color w:val="000000" w:themeColor="text1"/>
              </w:rPr>
              <w:t>4. Strategies to Develop Each Skill</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_Toc224040803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4</w:t>
            </w:r>
            <w:r w:rsidRPr="0008111C">
              <w:rPr>
                <w:rFonts w:ascii="Arial" w:hAnsi="Arial" w:cs="Arial"/>
                <w:noProof/>
                <w:color w:val="000000" w:themeColor="text1"/>
              </w:rPr>
              <w:fldChar w:fldCharType="end"/>
            </w:r>
          </w:hyperlink>
        </w:p>
        <w:p w14:paraId="3AE8C292" w14:textId="77777777" w:rsidR="0008111C" w:rsidRPr="0008111C" w:rsidRDefault="0008111C" w:rsidP="0008111C">
          <w:pPr>
            <w:pStyle w:val="TOC2"/>
            <w:tabs>
              <w:tab w:val="right" w:leader="dot" w:pos="9016"/>
            </w:tabs>
            <w:spacing w:line="360" w:lineRule="auto"/>
            <w:rPr>
              <w:rFonts w:ascii="Arial" w:hAnsi="Arial" w:cs="Arial"/>
              <w:noProof/>
              <w:color w:val="000000" w:themeColor="text1"/>
            </w:rPr>
          </w:pPr>
          <w:hyperlink w:anchor="_Toc224040804" w:history="1">
            <w:r w:rsidRPr="0008111C">
              <w:rPr>
                <w:rStyle w:val="Hyperlink"/>
                <w:rFonts w:ascii="Arial" w:hAnsi="Arial" w:cs="Arial"/>
                <w:noProof/>
                <w:color w:val="000000" w:themeColor="text1"/>
              </w:rPr>
              <w:t>4.1 Developing Communication: Active Listening and Reflective Practice</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_Toc224040804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4</w:t>
            </w:r>
            <w:r w:rsidRPr="0008111C">
              <w:rPr>
                <w:rFonts w:ascii="Arial" w:hAnsi="Arial" w:cs="Arial"/>
                <w:noProof/>
                <w:color w:val="000000" w:themeColor="text1"/>
              </w:rPr>
              <w:fldChar w:fldCharType="end"/>
            </w:r>
          </w:hyperlink>
        </w:p>
        <w:p w14:paraId="0E7D2539" w14:textId="77777777" w:rsidR="0008111C" w:rsidRPr="0008111C" w:rsidRDefault="0008111C" w:rsidP="0008111C">
          <w:pPr>
            <w:pStyle w:val="TOC2"/>
            <w:tabs>
              <w:tab w:val="right" w:leader="dot" w:pos="9016"/>
            </w:tabs>
            <w:spacing w:line="360" w:lineRule="auto"/>
            <w:rPr>
              <w:rFonts w:ascii="Arial" w:hAnsi="Arial" w:cs="Arial"/>
              <w:noProof/>
              <w:color w:val="000000" w:themeColor="text1"/>
            </w:rPr>
          </w:pPr>
          <w:hyperlink w:anchor="_Toc224040805" w:history="1">
            <w:r w:rsidRPr="0008111C">
              <w:rPr>
                <w:rStyle w:val="Hyperlink"/>
                <w:rFonts w:ascii="Arial" w:hAnsi="Arial" w:cs="Arial"/>
                <w:noProof/>
                <w:color w:val="000000" w:themeColor="text1"/>
              </w:rPr>
              <w:t>4.2 Developing Empathy: Compassion-Focused Training and Supervision</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_Toc224040805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5</w:t>
            </w:r>
            <w:r w:rsidRPr="0008111C">
              <w:rPr>
                <w:rFonts w:ascii="Arial" w:hAnsi="Arial" w:cs="Arial"/>
                <w:noProof/>
                <w:color w:val="000000" w:themeColor="text1"/>
              </w:rPr>
              <w:fldChar w:fldCharType="end"/>
            </w:r>
          </w:hyperlink>
        </w:p>
        <w:p w14:paraId="7209A870" w14:textId="77777777" w:rsidR="0008111C" w:rsidRPr="0008111C" w:rsidRDefault="0008111C" w:rsidP="0008111C">
          <w:pPr>
            <w:pStyle w:val="TOC2"/>
            <w:tabs>
              <w:tab w:val="right" w:leader="dot" w:pos="9016"/>
            </w:tabs>
            <w:spacing w:line="360" w:lineRule="auto"/>
            <w:rPr>
              <w:rFonts w:ascii="Arial" w:hAnsi="Arial" w:cs="Arial"/>
              <w:noProof/>
              <w:color w:val="000000" w:themeColor="text1"/>
            </w:rPr>
          </w:pPr>
          <w:hyperlink w:anchor="_Toc224040806" w:history="1">
            <w:r w:rsidRPr="0008111C">
              <w:rPr>
                <w:rStyle w:val="Hyperlink"/>
                <w:rFonts w:ascii="Arial" w:hAnsi="Arial" w:cs="Arial"/>
                <w:noProof/>
                <w:color w:val="000000" w:themeColor="text1"/>
              </w:rPr>
              <w:t>4.3 Developing Observation: Competency-Based Training and Care Plan Engagement</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_Toc224040806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5</w:t>
            </w:r>
            <w:r w:rsidRPr="0008111C">
              <w:rPr>
                <w:rFonts w:ascii="Arial" w:hAnsi="Arial" w:cs="Arial"/>
                <w:noProof/>
                <w:color w:val="000000" w:themeColor="text1"/>
              </w:rPr>
              <w:fldChar w:fldCharType="end"/>
            </w:r>
          </w:hyperlink>
        </w:p>
        <w:p w14:paraId="778FBB62" w14:textId="77777777" w:rsidR="0008111C" w:rsidRPr="0008111C" w:rsidRDefault="0008111C" w:rsidP="0008111C">
          <w:pPr>
            <w:pStyle w:val="TOC1"/>
            <w:tabs>
              <w:tab w:val="right" w:leader="dot" w:pos="9016"/>
            </w:tabs>
            <w:spacing w:line="360" w:lineRule="auto"/>
            <w:rPr>
              <w:rFonts w:ascii="Arial" w:hAnsi="Arial" w:cs="Arial"/>
              <w:noProof/>
              <w:color w:val="000000" w:themeColor="text1"/>
            </w:rPr>
          </w:pPr>
          <w:hyperlink w:anchor="_Toc224040807" w:history="1">
            <w:r w:rsidRPr="0008111C">
              <w:rPr>
                <w:rStyle w:val="Hyperlink"/>
                <w:rFonts w:ascii="Arial" w:hAnsi="Arial" w:cs="Arial"/>
                <w:noProof/>
                <w:color w:val="000000" w:themeColor="text1"/>
              </w:rPr>
              <w:t>5. Conclusion</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_Toc224040807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5</w:t>
            </w:r>
            <w:r w:rsidRPr="0008111C">
              <w:rPr>
                <w:rFonts w:ascii="Arial" w:hAnsi="Arial" w:cs="Arial"/>
                <w:noProof/>
                <w:color w:val="000000" w:themeColor="text1"/>
              </w:rPr>
              <w:fldChar w:fldCharType="end"/>
            </w:r>
          </w:hyperlink>
        </w:p>
        <w:p w14:paraId="6014919D" w14:textId="77777777" w:rsidR="0008111C" w:rsidRPr="0008111C" w:rsidRDefault="0008111C" w:rsidP="0008111C">
          <w:pPr>
            <w:pStyle w:val="TOC1"/>
            <w:tabs>
              <w:tab w:val="right" w:leader="dot" w:pos="9016"/>
            </w:tabs>
            <w:spacing w:line="360" w:lineRule="auto"/>
            <w:rPr>
              <w:rFonts w:ascii="Arial" w:hAnsi="Arial" w:cs="Arial"/>
              <w:noProof/>
              <w:color w:val="000000" w:themeColor="text1"/>
            </w:rPr>
          </w:pPr>
          <w:hyperlink w:anchor="_Toc224040808" w:history="1">
            <w:r w:rsidRPr="0008111C">
              <w:rPr>
                <w:rStyle w:val="Hyperlink"/>
                <w:rFonts w:ascii="Arial" w:hAnsi="Arial" w:cs="Arial"/>
                <w:noProof/>
                <w:color w:val="000000" w:themeColor="text1"/>
              </w:rPr>
              <w:t>References</w:t>
            </w:r>
            <w:r w:rsidRPr="0008111C">
              <w:rPr>
                <w:rFonts w:ascii="Arial" w:hAnsi="Arial" w:cs="Arial"/>
                <w:noProof/>
                <w:color w:val="000000" w:themeColor="text1"/>
              </w:rPr>
              <w:tab/>
            </w:r>
            <w:r w:rsidRPr="0008111C">
              <w:rPr>
                <w:rFonts w:ascii="Arial" w:hAnsi="Arial" w:cs="Arial"/>
                <w:noProof/>
                <w:color w:val="000000" w:themeColor="text1"/>
              </w:rPr>
              <w:fldChar w:fldCharType="begin"/>
            </w:r>
            <w:r w:rsidRPr="0008111C">
              <w:rPr>
                <w:rFonts w:ascii="Arial" w:hAnsi="Arial" w:cs="Arial"/>
                <w:noProof/>
                <w:color w:val="000000" w:themeColor="text1"/>
              </w:rPr>
              <w:instrText xml:space="preserve"> PAGEREF _Toc224040808 \h </w:instrText>
            </w:r>
            <w:r w:rsidRPr="0008111C">
              <w:rPr>
                <w:rFonts w:ascii="Arial" w:hAnsi="Arial" w:cs="Arial"/>
                <w:noProof/>
                <w:color w:val="000000" w:themeColor="text1"/>
              </w:rPr>
            </w:r>
            <w:r w:rsidRPr="0008111C">
              <w:rPr>
                <w:rFonts w:ascii="Arial" w:hAnsi="Arial" w:cs="Arial"/>
                <w:noProof/>
                <w:color w:val="000000" w:themeColor="text1"/>
              </w:rPr>
              <w:fldChar w:fldCharType="separate"/>
            </w:r>
            <w:r w:rsidRPr="0008111C">
              <w:rPr>
                <w:rFonts w:ascii="Arial" w:hAnsi="Arial" w:cs="Arial"/>
                <w:noProof/>
                <w:color w:val="000000" w:themeColor="text1"/>
              </w:rPr>
              <w:t>5</w:t>
            </w:r>
            <w:r w:rsidRPr="0008111C">
              <w:rPr>
                <w:rFonts w:ascii="Arial" w:hAnsi="Arial" w:cs="Arial"/>
                <w:noProof/>
                <w:color w:val="000000" w:themeColor="text1"/>
              </w:rPr>
              <w:fldChar w:fldCharType="end"/>
            </w:r>
          </w:hyperlink>
        </w:p>
        <w:p w14:paraId="10232D59" w14:textId="77777777" w:rsidR="0008111C" w:rsidRPr="0008111C" w:rsidRDefault="0008111C" w:rsidP="0008111C">
          <w:pPr>
            <w:spacing w:line="360" w:lineRule="auto"/>
            <w:rPr>
              <w:rFonts w:ascii="Arial" w:hAnsi="Arial" w:cs="Arial"/>
              <w:color w:val="000000" w:themeColor="text1"/>
            </w:rPr>
          </w:pPr>
          <w:r w:rsidRPr="0008111C">
            <w:rPr>
              <w:rFonts w:ascii="Arial" w:hAnsi="Arial" w:cs="Arial"/>
              <w:color w:val="000000" w:themeColor="text1"/>
            </w:rPr>
            <w:fldChar w:fldCharType="end"/>
          </w:r>
        </w:p>
      </w:sdtContent>
    </w:sdt>
    <w:p w14:paraId="308F65BB" w14:textId="77777777" w:rsidR="0008111C" w:rsidRPr="0008111C" w:rsidRDefault="0008111C" w:rsidP="0008111C">
      <w:pPr>
        <w:pageBreakBefore/>
        <w:spacing w:line="360" w:lineRule="auto"/>
        <w:rPr>
          <w:rFonts w:ascii="Arial" w:hAnsi="Arial" w:cs="Arial"/>
          <w:color w:val="000000" w:themeColor="text1"/>
        </w:rPr>
      </w:pPr>
    </w:p>
    <w:p w14:paraId="083E8BD5" w14:textId="77777777" w:rsidR="0008111C" w:rsidRPr="0008111C" w:rsidRDefault="0008111C" w:rsidP="0008111C">
      <w:pPr>
        <w:pStyle w:val="Heading1"/>
        <w:spacing w:line="360" w:lineRule="auto"/>
        <w:rPr>
          <w:rFonts w:ascii="Arial" w:hAnsi="Arial" w:cs="Arial"/>
          <w:color w:val="000000" w:themeColor="text1"/>
        </w:rPr>
      </w:pPr>
      <w:bookmarkStart w:id="1" w:name="_Toc224040797"/>
      <w:r w:rsidRPr="0008111C">
        <w:rPr>
          <w:rFonts w:ascii="Arial" w:hAnsi="Arial" w:cs="Arial"/>
          <w:color w:val="000000" w:themeColor="text1"/>
        </w:rPr>
        <w:t>1. Introduction</w:t>
      </w:r>
      <w:bookmarkEnd w:id="1"/>
    </w:p>
    <w:p w14:paraId="62871623" w14:textId="77777777"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The report investigates how private carers function within the United Kingdom's health and social care system. Private carers deliver customized assistance to vulnerable adult groups which include elderly people and disabled individuals and patients with chronic illness who require home care. The need for expert home health care services is rising because of two factors which are the increasing elderly population and the growing demand for NHS medical services (Skills for Care, 2024). The report describes three main job responsibilities that private carers must perform while it identifies three important skills needed for the profession and one development method to enhance each skill.</w:t>
      </w:r>
    </w:p>
    <w:p w14:paraId="7369198C" w14:textId="77777777" w:rsidR="0008111C" w:rsidRPr="0008111C" w:rsidRDefault="0008111C" w:rsidP="0008111C">
      <w:pPr>
        <w:pStyle w:val="Heading1"/>
        <w:spacing w:line="360" w:lineRule="auto"/>
        <w:rPr>
          <w:rFonts w:ascii="Arial" w:hAnsi="Arial" w:cs="Arial"/>
          <w:color w:val="000000" w:themeColor="text1"/>
        </w:rPr>
      </w:pPr>
      <w:bookmarkStart w:id="2" w:name="_Toc224040798"/>
      <w:r w:rsidRPr="0008111C">
        <w:rPr>
          <w:rFonts w:ascii="Arial" w:hAnsi="Arial" w:cs="Arial"/>
          <w:color w:val="000000" w:themeColor="text1"/>
        </w:rPr>
        <w:t>2. Description of the Private Carer Role</w:t>
      </w:r>
      <w:bookmarkEnd w:id="2"/>
    </w:p>
    <w:p w14:paraId="22061216" w14:textId="77777777"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 xml:space="preserve">A private carer, also called a domiciliary care worker or personal care assistant, provides support to individuals in their homes, either through a care agency or direct employment by a service user. Private carers have more work freedom than residential care workers because they need to make professional decisions without getting direct supervision. The Care Quality Commission (CQC) regulates the </w:t>
      </w:r>
      <w:proofErr w:type="gramStart"/>
      <w:r w:rsidRPr="0008111C">
        <w:rPr>
          <w:rFonts w:ascii="Arial" w:hAnsi="Arial" w:cs="Arial"/>
          <w:color w:val="000000" w:themeColor="text1"/>
        </w:rPr>
        <w:t>job</w:t>
      </w:r>
      <w:proofErr w:type="gramEnd"/>
      <w:r w:rsidRPr="0008111C">
        <w:rPr>
          <w:rFonts w:ascii="Arial" w:hAnsi="Arial" w:cs="Arial"/>
          <w:color w:val="000000" w:themeColor="text1"/>
        </w:rPr>
        <w:t xml:space="preserve"> and the Health and Social Care Act 2008 (Regulated Activities) Regulations 2014 (CQC, 2024) establish its operating requirements.</w:t>
      </w:r>
    </w:p>
    <w:p w14:paraId="5DF0A424" w14:textId="77777777" w:rsidR="0008111C" w:rsidRPr="0008111C" w:rsidRDefault="0008111C" w:rsidP="0008111C">
      <w:pPr>
        <w:spacing w:after="100" w:line="360" w:lineRule="auto"/>
        <w:jc w:val="both"/>
        <w:rPr>
          <w:rFonts w:ascii="Arial" w:hAnsi="Arial" w:cs="Arial"/>
          <w:color w:val="000000" w:themeColor="text1"/>
        </w:rPr>
      </w:pPr>
      <w:r w:rsidRPr="0008111C">
        <w:rPr>
          <w:rFonts w:ascii="Arial" w:hAnsi="Arial" w:cs="Arial"/>
          <w:b/>
          <w:bCs/>
          <w:color w:val="000000" w:themeColor="text1"/>
        </w:rPr>
        <w:t>The core duties of a private carer span several domains of care:</w:t>
      </w:r>
    </w:p>
    <w:p w14:paraId="73D5E439" w14:textId="77777777" w:rsidR="0008111C" w:rsidRPr="0008111C" w:rsidRDefault="0008111C" w:rsidP="0008111C">
      <w:pPr>
        <w:pStyle w:val="ListParagraph"/>
        <w:numPr>
          <w:ilvl w:val="0"/>
          <w:numId w:val="23"/>
        </w:numPr>
        <w:spacing w:before="160" w:after="200" w:line="360" w:lineRule="auto"/>
        <w:contextualSpacing w:val="0"/>
        <w:jc w:val="both"/>
        <w:rPr>
          <w:rFonts w:ascii="Arial" w:hAnsi="Arial" w:cs="Arial"/>
          <w:color w:val="000000" w:themeColor="text1"/>
        </w:rPr>
      </w:pPr>
      <w:r w:rsidRPr="0008111C">
        <w:rPr>
          <w:rFonts w:ascii="Arial" w:hAnsi="Arial" w:cs="Arial"/>
          <w:b/>
          <w:bCs/>
          <w:color w:val="000000" w:themeColor="text1"/>
        </w:rPr>
        <w:t>Personal care:</w:t>
      </w:r>
      <w:r w:rsidRPr="0008111C">
        <w:rPr>
          <w:rFonts w:ascii="Arial" w:hAnsi="Arial" w:cs="Arial"/>
          <w:color w:val="000000" w:themeColor="text1"/>
        </w:rPr>
        <w:t xml:space="preserve"> staff members support clients who require assistance with bathing and dressing and toileting and grooming tasks while they preserve their personal dignity and right to privacy. </w:t>
      </w:r>
    </w:p>
    <w:p w14:paraId="6FA1552B" w14:textId="4ED89D2F" w:rsidR="0008111C" w:rsidRPr="0008111C" w:rsidRDefault="0008111C" w:rsidP="0008111C">
      <w:pPr>
        <w:pStyle w:val="ListParagraph"/>
        <w:numPr>
          <w:ilvl w:val="0"/>
          <w:numId w:val="23"/>
        </w:numPr>
        <w:spacing w:before="160" w:after="200" w:line="360" w:lineRule="auto"/>
        <w:contextualSpacing w:val="0"/>
        <w:jc w:val="both"/>
        <w:rPr>
          <w:rFonts w:ascii="Arial" w:hAnsi="Arial" w:cs="Arial"/>
          <w:color w:val="000000" w:themeColor="text1"/>
        </w:rPr>
      </w:pPr>
      <w:r w:rsidRPr="0008111C">
        <w:rPr>
          <w:rFonts w:ascii="Arial" w:hAnsi="Arial" w:cs="Arial"/>
          <w:b/>
          <w:bCs/>
          <w:color w:val="000000" w:themeColor="text1"/>
        </w:rPr>
        <w:t>Medication support:</w:t>
      </w:r>
      <w:r w:rsidRPr="0008111C">
        <w:rPr>
          <w:rFonts w:ascii="Arial" w:hAnsi="Arial" w:cs="Arial"/>
          <w:color w:val="000000" w:themeColor="text1"/>
        </w:rPr>
        <w:t xml:space="preserve"> staff members administer prescribed </w:t>
      </w:r>
      <w:r w:rsidR="000153F0" w:rsidRPr="0008111C">
        <w:rPr>
          <w:rFonts w:ascii="Arial" w:hAnsi="Arial" w:cs="Arial"/>
          <w:color w:val="000000" w:themeColor="text1"/>
        </w:rPr>
        <w:t>medications,</w:t>
      </w:r>
      <w:r w:rsidRPr="0008111C">
        <w:rPr>
          <w:rFonts w:ascii="Arial" w:hAnsi="Arial" w:cs="Arial"/>
          <w:color w:val="000000" w:themeColor="text1"/>
        </w:rPr>
        <w:t xml:space="preserve"> and they also provide prompts for medication intake while they inform health professionals about any negative medication effects. </w:t>
      </w:r>
    </w:p>
    <w:p w14:paraId="1B4D3335" w14:textId="18276047" w:rsidR="0008111C" w:rsidRPr="0008111C" w:rsidRDefault="0008111C" w:rsidP="0008111C">
      <w:pPr>
        <w:pStyle w:val="ListParagraph"/>
        <w:numPr>
          <w:ilvl w:val="0"/>
          <w:numId w:val="23"/>
        </w:numPr>
        <w:spacing w:before="160" w:after="200" w:line="360" w:lineRule="auto"/>
        <w:contextualSpacing w:val="0"/>
        <w:jc w:val="both"/>
        <w:rPr>
          <w:rFonts w:ascii="Arial" w:hAnsi="Arial" w:cs="Arial"/>
          <w:color w:val="000000" w:themeColor="text1"/>
        </w:rPr>
      </w:pPr>
      <w:r w:rsidRPr="0008111C">
        <w:rPr>
          <w:rFonts w:ascii="Arial" w:hAnsi="Arial" w:cs="Arial"/>
          <w:b/>
          <w:bCs/>
          <w:color w:val="000000" w:themeColor="text1"/>
        </w:rPr>
        <w:t>Mobility assistance</w:t>
      </w:r>
      <w:r w:rsidRPr="0008111C">
        <w:rPr>
          <w:rFonts w:ascii="Arial" w:hAnsi="Arial" w:cs="Arial"/>
          <w:color w:val="000000" w:themeColor="text1"/>
        </w:rPr>
        <w:t xml:space="preserve">: staff members support clients who need help with safe movement </w:t>
      </w:r>
      <w:proofErr w:type="gramStart"/>
      <w:r w:rsidRPr="0008111C">
        <w:rPr>
          <w:rFonts w:ascii="Arial" w:hAnsi="Arial" w:cs="Arial"/>
          <w:color w:val="000000" w:themeColor="text1"/>
        </w:rPr>
        <w:t>through</w:t>
      </w:r>
      <w:r w:rsidR="000153F0">
        <w:rPr>
          <w:rFonts w:ascii="Arial" w:hAnsi="Arial" w:cs="Arial"/>
          <w:color w:val="000000" w:themeColor="text1"/>
        </w:rPr>
        <w:t xml:space="preserve"> </w:t>
      </w:r>
      <w:r w:rsidRPr="0008111C">
        <w:rPr>
          <w:rFonts w:ascii="Arial" w:hAnsi="Arial" w:cs="Arial"/>
          <w:color w:val="000000" w:themeColor="text1"/>
        </w:rPr>
        <w:t>the</w:t>
      </w:r>
      <w:r w:rsidR="000153F0">
        <w:rPr>
          <w:rFonts w:ascii="Arial" w:hAnsi="Arial" w:cs="Arial"/>
          <w:color w:val="000000" w:themeColor="text1"/>
        </w:rPr>
        <w:t xml:space="preserve"> </w:t>
      </w:r>
      <w:r w:rsidRPr="0008111C">
        <w:rPr>
          <w:rFonts w:ascii="Arial" w:hAnsi="Arial" w:cs="Arial"/>
          <w:color w:val="000000" w:themeColor="text1"/>
        </w:rPr>
        <w:t>use of</w:t>
      </w:r>
      <w:proofErr w:type="gramEnd"/>
      <w:r w:rsidRPr="0008111C">
        <w:rPr>
          <w:rFonts w:ascii="Arial" w:hAnsi="Arial" w:cs="Arial"/>
          <w:color w:val="000000" w:themeColor="text1"/>
        </w:rPr>
        <w:t xml:space="preserve"> hoists and walking frames according to the established manual handling procedures. </w:t>
      </w:r>
    </w:p>
    <w:p w14:paraId="7BB230F9" w14:textId="77777777" w:rsidR="0008111C" w:rsidRPr="0008111C" w:rsidRDefault="0008111C" w:rsidP="0008111C">
      <w:pPr>
        <w:pStyle w:val="ListParagraph"/>
        <w:numPr>
          <w:ilvl w:val="0"/>
          <w:numId w:val="23"/>
        </w:numPr>
        <w:spacing w:before="160" w:after="200" w:line="360" w:lineRule="auto"/>
        <w:contextualSpacing w:val="0"/>
        <w:jc w:val="both"/>
        <w:rPr>
          <w:rFonts w:ascii="Arial" w:hAnsi="Arial" w:cs="Arial"/>
          <w:color w:val="000000" w:themeColor="text1"/>
        </w:rPr>
      </w:pPr>
      <w:r w:rsidRPr="0008111C">
        <w:rPr>
          <w:rFonts w:ascii="Arial" w:hAnsi="Arial" w:cs="Arial"/>
          <w:b/>
          <w:bCs/>
          <w:color w:val="000000" w:themeColor="text1"/>
        </w:rPr>
        <w:t>Meal preparation</w:t>
      </w:r>
      <w:r w:rsidRPr="0008111C">
        <w:rPr>
          <w:rFonts w:ascii="Arial" w:hAnsi="Arial" w:cs="Arial"/>
          <w:color w:val="000000" w:themeColor="text1"/>
        </w:rPr>
        <w:t xml:space="preserve">: staff members create and prepare healthy meals which they design to meet the dietary requirements and medical needs of patients who follow diabetic and dysphagia diets. </w:t>
      </w:r>
    </w:p>
    <w:p w14:paraId="7E0DAD8D" w14:textId="77777777" w:rsidR="0008111C" w:rsidRPr="0008111C" w:rsidRDefault="0008111C" w:rsidP="0008111C">
      <w:pPr>
        <w:pStyle w:val="ListParagraph"/>
        <w:numPr>
          <w:ilvl w:val="0"/>
          <w:numId w:val="23"/>
        </w:numPr>
        <w:spacing w:before="160" w:after="200" w:line="360" w:lineRule="auto"/>
        <w:contextualSpacing w:val="0"/>
        <w:jc w:val="both"/>
        <w:rPr>
          <w:rFonts w:ascii="Arial" w:hAnsi="Arial" w:cs="Arial"/>
          <w:color w:val="000000" w:themeColor="text1"/>
        </w:rPr>
      </w:pPr>
      <w:r w:rsidRPr="0008111C">
        <w:rPr>
          <w:rFonts w:ascii="Arial" w:hAnsi="Arial" w:cs="Arial"/>
          <w:b/>
          <w:bCs/>
          <w:color w:val="000000" w:themeColor="text1"/>
        </w:rPr>
        <w:t>Emotional support:</w:t>
      </w:r>
      <w:r w:rsidRPr="0008111C">
        <w:rPr>
          <w:rFonts w:ascii="Arial" w:hAnsi="Arial" w:cs="Arial"/>
          <w:color w:val="000000" w:themeColor="text1"/>
        </w:rPr>
        <w:t xml:space="preserve"> staff members provide companionship while they help clients participate in activities which have meaningful value and they also monitor clients for signs of emotional decline and withdrawal. </w:t>
      </w:r>
    </w:p>
    <w:p w14:paraId="6DC7E60B" w14:textId="77777777" w:rsidR="0008111C" w:rsidRPr="0008111C" w:rsidRDefault="0008111C" w:rsidP="0008111C">
      <w:pPr>
        <w:pStyle w:val="ListParagraph"/>
        <w:numPr>
          <w:ilvl w:val="0"/>
          <w:numId w:val="23"/>
        </w:numPr>
        <w:spacing w:before="160" w:after="200" w:line="360" w:lineRule="auto"/>
        <w:contextualSpacing w:val="0"/>
        <w:jc w:val="both"/>
        <w:rPr>
          <w:rFonts w:ascii="Arial" w:hAnsi="Arial" w:cs="Arial"/>
          <w:color w:val="000000" w:themeColor="text1"/>
        </w:rPr>
      </w:pPr>
      <w:r w:rsidRPr="0008111C">
        <w:rPr>
          <w:rFonts w:ascii="Arial" w:hAnsi="Arial" w:cs="Arial"/>
          <w:b/>
          <w:bCs/>
          <w:color w:val="000000" w:themeColor="text1"/>
        </w:rPr>
        <w:t>Record-keeping:</w:t>
      </w:r>
      <w:r w:rsidRPr="0008111C">
        <w:rPr>
          <w:rFonts w:ascii="Arial" w:hAnsi="Arial" w:cs="Arial"/>
          <w:color w:val="000000" w:themeColor="text1"/>
        </w:rPr>
        <w:t xml:space="preserve"> staff members create daily logs which they use to share their observations with social workers and district nurses. </w:t>
      </w:r>
    </w:p>
    <w:p w14:paraId="28D11C86" w14:textId="77777777" w:rsidR="0008111C" w:rsidRPr="0008111C" w:rsidRDefault="0008111C" w:rsidP="0008111C">
      <w:pPr>
        <w:pStyle w:val="ListParagraph"/>
        <w:numPr>
          <w:ilvl w:val="0"/>
          <w:numId w:val="23"/>
        </w:numPr>
        <w:spacing w:before="160" w:after="200" w:line="360" w:lineRule="auto"/>
        <w:contextualSpacing w:val="0"/>
        <w:jc w:val="both"/>
        <w:rPr>
          <w:rFonts w:ascii="Arial" w:hAnsi="Arial" w:cs="Arial"/>
          <w:color w:val="000000" w:themeColor="text1"/>
        </w:rPr>
      </w:pPr>
      <w:r w:rsidRPr="0008111C">
        <w:rPr>
          <w:rFonts w:ascii="Arial" w:hAnsi="Arial" w:cs="Arial"/>
          <w:b/>
          <w:bCs/>
          <w:color w:val="000000" w:themeColor="text1"/>
        </w:rPr>
        <w:lastRenderedPageBreak/>
        <w:t>Safeguarding</w:t>
      </w:r>
      <w:r w:rsidRPr="0008111C">
        <w:rPr>
          <w:rFonts w:ascii="Arial" w:hAnsi="Arial" w:cs="Arial"/>
          <w:color w:val="000000" w:themeColor="text1"/>
        </w:rPr>
        <w:t xml:space="preserve">: staff members need to recognize abuse or neglect signs then they must use the established reporting procedures which follow the Care Act 2014 (Gov.uk 2023) to report their findings. </w:t>
      </w:r>
    </w:p>
    <w:p w14:paraId="27C55A57" w14:textId="77777777" w:rsidR="0008111C" w:rsidRPr="0008111C" w:rsidRDefault="0008111C" w:rsidP="0008111C">
      <w:pPr>
        <w:pStyle w:val="Heading1"/>
        <w:spacing w:line="360" w:lineRule="auto"/>
        <w:rPr>
          <w:rFonts w:ascii="Arial" w:hAnsi="Arial" w:cs="Arial"/>
          <w:color w:val="000000" w:themeColor="text1"/>
        </w:rPr>
      </w:pPr>
      <w:bookmarkStart w:id="3" w:name="_Toc224040799"/>
      <w:r w:rsidRPr="0008111C">
        <w:rPr>
          <w:rFonts w:ascii="Arial" w:hAnsi="Arial" w:cs="Arial"/>
          <w:color w:val="000000" w:themeColor="text1"/>
        </w:rPr>
        <w:t>3. Three Essential Skills for the Private Carer Role</w:t>
      </w:r>
      <w:bookmarkEnd w:id="3"/>
    </w:p>
    <w:p w14:paraId="59278290" w14:textId="77777777" w:rsidR="0008111C" w:rsidRPr="0008111C" w:rsidRDefault="0008111C" w:rsidP="0008111C">
      <w:pPr>
        <w:pStyle w:val="Heading2"/>
        <w:spacing w:line="360" w:lineRule="auto"/>
        <w:rPr>
          <w:rFonts w:ascii="Arial" w:hAnsi="Arial" w:cs="Arial"/>
          <w:color w:val="000000" w:themeColor="text1"/>
        </w:rPr>
      </w:pPr>
      <w:bookmarkStart w:id="4" w:name="_Toc224040800"/>
      <w:r w:rsidRPr="0008111C">
        <w:rPr>
          <w:rFonts w:ascii="Arial" w:hAnsi="Arial" w:cs="Arial"/>
          <w:color w:val="000000" w:themeColor="text1"/>
        </w:rPr>
        <w:t>3.1 Communication Skills</w:t>
      </w:r>
      <w:bookmarkEnd w:id="4"/>
    </w:p>
    <w:p w14:paraId="5BC8A8AD" w14:textId="77777777"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The private carer profession needs its workers to develop their skills in effective communication. The workers need to change how they speak to others because they work with people who have cognitive disabilities and hearing problems and speech limitations every day. The three core elements of this practice include listening skills and the ability to speak clearly and recognize how people express themselves without using words. Carers who support patients with dementia will use short sentences and repeated statements and familiar language to help their patients understand better (Alzheimer's Society, 2023). Medical professionals and social workers and family members need to work together to provide updates which enables safe ongoing treatment through their collaborative care system. The healthcare sector experiences preventable care incidents because of ineffective communication practices (CQC State of Care, 2024).</w:t>
      </w:r>
    </w:p>
    <w:p w14:paraId="3BFBD0EF" w14:textId="77777777" w:rsidR="0008111C" w:rsidRPr="0008111C" w:rsidRDefault="0008111C" w:rsidP="0008111C">
      <w:pPr>
        <w:pStyle w:val="Heading2"/>
        <w:spacing w:line="360" w:lineRule="auto"/>
        <w:rPr>
          <w:rFonts w:ascii="Arial" w:hAnsi="Arial" w:cs="Arial"/>
          <w:color w:val="000000" w:themeColor="text1"/>
        </w:rPr>
      </w:pPr>
      <w:bookmarkStart w:id="5" w:name="_Toc224040801"/>
      <w:r w:rsidRPr="0008111C">
        <w:rPr>
          <w:rFonts w:ascii="Arial" w:hAnsi="Arial" w:cs="Arial"/>
          <w:color w:val="000000" w:themeColor="text1"/>
        </w:rPr>
        <w:t>3.2 Empathy and Emotional Intelligence</w:t>
      </w:r>
      <w:bookmarkEnd w:id="5"/>
    </w:p>
    <w:p w14:paraId="468B43BB" w14:textId="77777777"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Empathy functions as the essential element which enables person-centred care delivery. The private carer who demonstrates empathy skills can identify client distress situations and match her response to those needs while establishing client trust. The period of end-of-life care requires this support because it needs emotional assistance which matches the value of physical treatment. The Francis Report (2013) showed that organizations which prioritized task completion over human care ended up harming their patients. The social care workforce uses emotional intelligence to support their well-being by helping them handle their emotions and stay strong while decreasing their chances of experiencing burnout (NICE, 2022).</w:t>
      </w:r>
    </w:p>
    <w:p w14:paraId="67B22DC7" w14:textId="77777777" w:rsidR="0008111C" w:rsidRPr="0008111C" w:rsidRDefault="0008111C" w:rsidP="0008111C">
      <w:pPr>
        <w:pStyle w:val="Heading2"/>
        <w:spacing w:line="360" w:lineRule="auto"/>
        <w:rPr>
          <w:rFonts w:ascii="Arial" w:hAnsi="Arial" w:cs="Arial"/>
          <w:color w:val="000000" w:themeColor="text1"/>
        </w:rPr>
      </w:pPr>
      <w:bookmarkStart w:id="6" w:name="_Toc224040802"/>
      <w:r w:rsidRPr="0008111C">
        <w:rPr>
          <w:rFonts w:ascii="Arial" w:hAnsi="Arial" w:cs="Arial"/>
          <w:color w:val="000000" w:themeColor="text1"/>
        </w:rPr>
        <w:t>3.3 Observation and Risk Assessment</w:t>
      </w:r>
      <w:bookmarkEnd w:id="6"/>
    </w:p>
    <w:p w14:paraId="39932B1F" w14:textId="1FB1667E"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 xml:space="preserve">The private home caregivers who operate without direct medical support need to master observation and risk assessment skills. Carers must notice subtle changes through their work which includes observing skin </w:t>
      </w:r>
      <w:r w:rsidRPr="0008111C">
        <w:rPr>
          <w:rFonts w:ascii="Arial" w:hAnsi="Arial" w:cs="Arial"/>
          <w:color w:val="000000" w:themeColor="text1"/>
        </w:rPr>
        <w:t>colour</w:t>
      </w:r>
      <w:r w:rsidRPr="0008111C">
        <w:rPr>
          <w:rFonts w:ascii="Arial" w:hAnsi="Arial" w:cs="Arial"/>
          <w:color w:val="000000" w:themeColor="text1"/>
        </w:rPr>
        <w:t xml:space="preserve"> changes and changes in </w:t>
      </w:r>
      <w:r w:rsidRPr="0008111C">
        <w:rPr>
          <w:rFonts w:ascii="Arial" w:hAnsi="Arial" w:cs="Arial"/>
          <w:color w:val="000000" w:themeColor="text1"/>
        </w:rPr>
        <w:t>behaviour</w:t>
      </w:r>
      <w:r w:rsidRPr="0008111C">
        <w:rPr>
          <w:rFonts w:ascii="Arial" w:hAnsi="Arial" w:cs="Arial"/>
          <w:color w:val="000000" w:themeColor="text1"/>
        </w:rPr>
        <w:t xml:space="preserve"> and changes in appetite and new bruises and decreased movement ability. The early discovery of pressure ulcers and infections enables healthcare providers to prevent severe complications and hospitalizations. The Royal College of Nursing (2023) identifies observation as a key competency for proactive care. Caregivers need to examine their surroundings for potential hazards which include dangerous flooring conditions and broken equipment and fire dangers before taking proper reporting actions.</w:t>
      </w:r>
    </w:p>
    <w:p w14:paraId="5DEA1974" w14:textId="77777777" w:rsidR="0008111C" w:rsidRPr="0008111C" w:rsidRDefault="0008111C" w:rsidP="0008111C">
      <w:pPr>
        <w:pStyle w:val="Heading1"/>
        <w:spacing w:line="360" w:lineRule="auto"/>
        <w:rPr>
          <w:rFonts w:ascii="Arial" w:hAnsi="Arial" w:cs="Arial"/>
          <w:color w:val="000000" w:themeColor="text1"/>
        </w:rPr>
      </w:pPr>
      <w:bookmarkStart w:id="7" w:name="_Toc224040803"/>
      <w:r w:rsidRPr="0008111C">
        <w:rPr>
          <w:rFonts w:ascii="Arial" w:hAnsi="Arial" w:cs="Arial"/>
          <w:color w:val="000000" w:themeColor="text1"/>
        </w:rPr>
        <w:lastRenderedPageBreak/>
        <w:t>4. Strategies to Develop Each Skill</w:t>
      </w:r>
      <w:bookmarkEnd w:id="7"/>
    </w:p>
    <w:p w14:paraId="78DF6522" w14:textId="77777777" w:rsidR="0008111C" w:rsidRPr="0008111C" w:rsidRDefault="0008111C" w:rsidP="0008111C">
      <w:pPr>
        <w:pStyle w:val="Heading2"/>
        <w:spacing w:line="360" w:lineRule="auto"/>
        <w:rPr>
          <w:rFonts w:ascii="Arial" w:hAnsi="Arial" w:cs="Arial"/>
          <w:color w:val="000000" w:themeColor="text1"/>
        </w:rPr>
      </w:pPr>
      <w:bookmarkStart w:id="8" w:name="_Toc224040804"/>
      <w:r w:rsidRPr="0008111C">
        <w:rPr>
          <w:rFonts w:ascii="Arial" w:hAnsi="Arial" w:cs="Arial"/>
          <w:color w:val="000000" w:themeColor="text1"/>
        </w:rPr>
        <w:t>4.1 Developing Communication: Active Listening and Reflective Practice</w:t>
      </w:r>
      <w:bookmarkEnd w:id="8"/>
    </w:p>
    <w:p w14:paraId="2D37BC11" w14:textId="77777777"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A private carer can achieve better communication skills through active listening training which they can access from Skills for Care and the Social Care Institute for Excellence. Active listening involves giving full attention to another person while one prevents judgmental thoughts through repeating everything that person has just said. The practice of regular reflection through writing and supervision of interactions will help enhance communication skills while also showing which areas need improvement (Watt et al., 2023). The method helps direct client interactions while it improves the precision of health records.</w:t>
      </w:r>
    </w:p>
    <w:p w14:paraId="4E36B59C" w14:textId="77777777" w:rsidR="0008111C" w:rsidRPr="0008111C" w:rsidRDefault="0008111C" w:rsidP="0008111C">
      <w:pPr>
        <w:pStyle w:val="Heading2"/>
        <w:spacing w:line="360" w:lineRule="auto"/>
        <w:rPr>
          <w:rFonts w:ascii="Arial" w:hAnsi="Arial" w:cs="Arial"/>
          <w:color w:val="000000" w:themeColor="text1"/>
        </w:rPr>
      </w:pPr>
      <w:bookmarkStart w:id="9" w:name="_Toc224040805"/>
      <w:r w:rsidRPr="0008111C">
        <w:rPr>
          <w:rFonts w:ascii="Arial" w:hAnsi="Arial" w:cs="Arial"/>
          <w:color w:val="000000" w:themeColor="text1"/>
        </w:rPr>
        <w:t>4.2 Developing Empathy: Compassion-Focused Training and Supervision</w:t>
      </w:r>
      <w:bookmarkEnd w:id="9"/>
    </w:p>
    <w:p w14:paraId="23E20EEB" w14:textId="77777777"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The training program which uses the Compassion in Practice framework from NHS England (Cummings and Bennett, 2012) helps people build their empathy skills through compassion-focused training. The programs use role-play and scenarios together with peer discussions to teach caregivers about the experiences of vulnerable individuals. Carers need both regular supervision and peer support to handle their emotional challenging work. The National Institute for Health and Care Excellence (NICE 2022) guidance shows that staff wellbeing support programs lead to better care quality and higher staff retention rates.</w:t>
      </w:r>
    </w:p>
    <w:p w14:paraId="326320C4" w14:textId="77777777" w:rsidR="0008111C" w:rsidRPr="0008111C" w:rsidRDefault="0008111C" w:rsidP="0008111C">
      <w:pPr>
        <w:pStyle w:val="Heading2"/>
        <w:spacing w:line="360" w:lineRule="auto"/>
        <w:rPr>
          <w:rFonts w:ascii="Arial" w:hAnsi="Arial" w:cs="Arial"/>
          <w:color w:val="000000" w:themeColor="text1"/>
        </w:rPr>
      </w:pPr>
      <w:bookmarkStart w:id="10" w:name="_Toc224040806"/>
      <w:r w:rsidRPr="0008111C">
        <w:rPr>
          <w:rFonts w:ascii="Arial" w:hAnsi="Arial" w:cs="Arial"/>
          <w:color w:val="000000" w:themeColor="text1"/>
        </w:rPr>
        <w:t>4.3 Developing Observation: Competency-Based Training and Care Plan Engagement</w:t>
      </w:r>
      <w:bookmarkEnd w:id="10"/>
    </w:p>
    <w:p w14:paraId="1FECDF6A" w14:textId="5974D2C1"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 xml:space="preserve">Through competency-based training and supervised practice, observers and risk assessors can develop their skills. The </w:t>
      </w:r>
      <w:r w:rsidRPr="0008111C">
        <w:rPr>
          <w:rFonts w:ascii="Arial" w:hAnsi="Arial" w:cs="Arial"/>
          <w:color w:val="000000" w:themeColor="text1"/>
        </w:rPr>
        <w:t>Water low</w:t>
      </w:r>
      <w:r w:rsidRPr="0008111C">
        <w:rPr>
          <w:rFonts w:ascii="Arial" w:hAnsi="Arial" w:cs="Arial"/>
          <w:color w:val="000000" w:themeColor="text1"/>
        </w:rPr>
        <w:t xml:space="preserve"> Pressure Ulcer Risk Assessment Tool enables carers to perform systematic physical risk identification and assessment (NHS England, 2023). Carers need training to read and update care plans because this process helps them share their observations with other members of the care team. The process of supervised observations by a senior carer or nurse together with feedback helps caregivers build their competencies and self-assurance, which they need to work independently.</w:t>
      </w:r>
    </w:p>
    <w:p w14:paraId="5D43A1AC" w14:textId="77777777" w:rsidR="0008111C" w:rsidRPr="0008111C" w:rsidRDefault="0008111C" w:rsidP="0008111C">
      <w:pPr>
        <w:pStyle w:val="Heading1"/>
        <w:spacing w:line="360" w:lineRule="auto"/>
        <w:rPr>
          <w:rFonts w:ascii="Arial" w:hAnsi="Arial" w:cs="Arial"/>
          <w:color w:val="000000" w:themeColor="text1"/>
        </w:rPr>
      </w:pPr>
      <w:bookmarkStart w:id="11" w:name="_Toc224040807"/>
      <w:r w:rsidRPr="0008111C">
        <w:rPr>
          <w:rFonts w:ascii="Arial" w:hAnsi="Arial" w:cs="Arial"/>
          <w:color w:val="000000" w:themeColor="text1"/>
        </w:rPr>
        <w:t>5. Conclusion</w:t>
      </w:r>
      <w:bookmarkEnd w:id="11"/>
    </w:p>
    <w:p w14:paraId="069E3E39" w14:textId="77777777" w:rsidR="0008111C" w:rsidRPr="0008111C" w:rsidRDefault="0008111C" w:rsidP="0008111C">
      <w:pPr>
        <w:spacing w:after="200" w:line="360" w:lineRule="auto"/>
        <w:jc w:val="both"/>
        <w:rPr>
          <w:rFonts w:ascii="Arial" w:hAnsi="Arial" w:cs="Arial"/>
          <w:color w:val="000000" w:themeColor="text1"/>
        </w:rPr>
      </w:pPr>
      <w:r w:rsidRPr="0008111C">
        <w:rPr>
          <w:rFonts w:ascii="Arial" w:hAnsi="Arial" w:cs="Arial"/>
          <w:color w:val="000000" w:themeColor="text1"/>
        </w:rPr>
        <w:t>The private carer role is vital to the UK care system. The report defined core responsibilities which included personal care, medication support, safeguarding, and record-keeping while presenting communication skills, empathy skills, and observation skills as necessary requirements. The evidence-based development strategy provided a solution for developing each skill. The UK needs to focus on professional development for private carers because the aging population is expanding the sector which directly impacts community care quality according to Skills for Care (2024).</w:t>
      </w:r>
    </w:p>
    <w:p w14:paraId="7FC5B20C" w14:textId="77777777" w:rsidR="0008111C" w:rsidRPr="0008111C" w:rsidRDefault="0008111C" w:rsidP="0008111C">
      <w:pPr>
        <w:pStyle w:val="Heading1"/>
        <w:spacing w:line="360" w:lineRule="auto"/>
        <w:rPr>
          <w:rFonts w:ascii="Arial" w:hAnsi="Arial" w:cs="Arial"/>
          <w:color w:val="000000" w:themeColor="text1"/>
        </w:rPr>
      </w:pPr>
      <w:bookmarkStart w:id="12" w:name="_Toc224040808"/>
      <w:r w:rsidRPr="0008111C">
        <w:rPr>
          <w:rFonts w:ascii="Arial" w:hAnsi="Arial" w:cs="Arial"/>
          <w:color w:val="000000" w:themeColor="text1"/>
        </w:rPr>
        <w:lastRenderedPageBreak/>
        <w:t>References</w:t>
      </w:r>
      <w:bookmarkEnd w:id="12"/>
    </w:p>
    <w:p w14:paraId="5E4C700B"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Alzheimer's Society (2023) </w:t>
      </w:r>
      <w:r w:rsidRPr="0008111C">
        <w:rPr>
          <w:rFonts w:ascii="Arial" w:hAnsi="Arial" w:cs="Arial"/>
          <w:i/>
          <w:iCs/>
          <w:color w:val="000000" w:themeColor="text1"/>
          <w:szCs w:val="20"/>
        </w:rPr>
        <w:t>Communicating with someone with dementia</w:t>
      </w:r>
      <w:r w:rsidRPr="0008111C">
        <w:rPr>
          <w:rFonts w:ascii="Arial" w:hAnsi="Arial" w:cs="Arial"/>
          <w:color w:val="000000" w:themeColor="text1"/>
          <w:szCs w:val="20"/>
        </w:rPr>
        <w:t>. Available at: https://www.alzheimers.org.uk/get-support/daily-living/communicating-someone-dementia (Accessed: 6 March 2026).</w:t>
      </w:r>
    </w:p>
    <w:p w14:paraId="35732F3D"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Care Quality Commission (CQC) (2024) </w:t>
      </w:r>
      <w:r w:rsidRPr="0008111C">
        <w:rPr>
          <w:rFonts w:ascii="Arial" w:hAnsi="Arial" w:cs="Arial"/>
          <w:i/>
          <w:iCs/>
          <w:color w:val="000000" w:themeColor="text1"/>
          <w:szCs w:val="20"/>
        </w:rPr>
        <w:t>State of Care 2023/24</w:t>
      </w:r>
      <w:r w:rsidRPr="0008111C">
        <w:rPr>
          <w:rFonts w:ascii="Arial" w:hAnsi="Arial" w:cs="Arial"/>
          <w:color w:val="000000" w:themeColor="text1"/>
          <w:szCs w:val="20"/>
        </w:rPr>
        <w:t>. CQC: Newcastle upon Tyne. Available at: https://www.cqc.org.uk/publications/major-report/state-of-care (Accessed: 6 March 2026).</w:t>
      </w:r>
    </w:p>
    <w:p w14:paraId="1EE7F773"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Cummings, J. and Bennett, V. (2012) </w:t>
      </w:r>
      <w:r w:rsidRPr="0008111C">
        <w:rPr>
          <w:rFonts w:ascii="Arial" w:hAnsi="Arial" w:cs="Arial"/>
          <w:i/>
          <w:iCs/>
          <w:color w:val="000000" w:themeColor="text1"/>
          <w:szCs w:val="20"/>
        </w:rPr>
        <w:t>Compassion in Practice: Nursing, Midwifery and Care Staff – Our Vision and Strategy</w:t>
      </w:r>
      <w:r w:rsidRPr="0008111C">
        <w:rPr>
          <w:rFonts w:ascii="Arial" w:hAnsi="Arial" w:cs="Arial"/>
          <w:color w:val="000000" w:themeColor="text1"/>
          <w:szCs w:val="20"/>
        </w:rPr>
        <w:t>. NHS Commissioning Board: Leeds.</w:t>
      </w:r>
    </w:p>
    <w:p w14:paraId="440CCAC6"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Francis, R. (2013) </w:t>
      </w:r>
      <w:r w:rsidRPr="0008111C">
        <w:rPr>
          <w:rFonts w:ascii="Arial" w:hAnsi="Arial" w:cs="Arial"/>
          <w:i/>
          <w:iCs/>
          <w:color w:val="000000" w:themeColor="text1"/>
          <w:szCs w:val="20"/>
        </w:rPr>
        <w:t>Report of the Mid Staffordshire NHS Foundation Trust Public Inquiry</w:t>
      </w:r>
      <w:r w:rsidRPr="0008111C">
        <w:rPr>
          <w:rFonts w:ascii="Arial" w:hAnsi="Arial" w:cs="Arial"/>
          <w:color w:val="000000" w:themeColor="text1"/>
          <w:szCs w:val="20"/>
        </w:rPr>
        <w:t>. The Stationery Office: London. Available at: https://www.gov.uk/government/publications/report-of-the-mid-staffordshire-nhs-foundation-trust-public-inquiry (Accessed: 5 March 2026).</w:t>
      </w:r>
    </w:p>
    <w:p w14:paraId="39CBD929"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Gov.uk (2023) </w:t>
      </w:r>
      <w:r w:rsidRPr="0008111C">
        <w:rPr>
          <w:rFonts w:ascii="Arial" w:hAnsi="Arial" w:cs="Arial"/>
          <w:i/>
          <w:iCs/>
          <w:color w:val="000000" w:themeColor="text1"/>
          <w:szCs w:val="20"/>
        </w:rPr>
        <w:t>Care Act 2014: Statutory guidance for local authorities</w:t>
      </w:r>
      <w:r w:rsidRPr="0008111C">
        <w:rPr>
          <w:rFonts w:ascii="Arial" w:hAnsi="Arial" w:cs="Arial"/>
          <w:color w:val="000000" w:themeColor="text1"/>
          <w:szCs w:val="20"/>
        </w:rPr>
        <w:t>. Available at: https://www.gov.uk/government/publications/care-act-statutory-guidance (Accessed: 5 March 2026).</w:t>
      </w:r>
    </w:p>
    <w:p w14:paraId="5C56BB75"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National Institute for Health and Care Excellence (NICE) (2022) </w:t>
      </w:r>
      <w:r w:rsidRPr="0008111C">
        <w:rPr>
          <w:rFonts w:ascii="Arial" w:hAnsi="Arial" w:cs="Arial"/>
          <w:i/>
          <w:iCs/>
          <w:color w:val="000000" w:themeColor="text1"/>
          <w:szCs w:val="20"/>
        </w:rPr>
        <w:t>Workplace Health: Long-Term Sickness Absence and Capability to Work</w:t>
      </w:r>
      <w:r w:rsidRPr="0008111C">
        <w:rPr>
          <w:rFonts w:ascii="Arial" w:hAnsi="Arial" w:cs="Arial"/>
          <w:color w:val="000000" w:themeColor="text1"/>
          <w:szCs w:val="20"/>
        </w:rPr>
        <w:t>. Clinical Guideline NG146. NICE: London. Available at: https://www.nice.org.uk/guidance/ng146 (Accessed: 6 March 2026).</w:t>
      </w:r>
    </w:p>
    <w:p w14:paraId="06624EE0"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NHS England (2023) </w:t>
      </w:r>
      <w:r w:rsidRPr="0008111C">
        <w:rPr>
          <w:rFonts w:ascii="Arial" w:hAnsi="Arial" w:cs="Arial"/>
          <w:i/>
          <w:iCs/>
          <w:color w:val="000000" w:themeColor="text1"/>
          <w:szCs w:val="20"/>
        </w:rPr>
        <w:t>Pressure Ulcer Prevention and Management</w:t>
      </w:r>
      <w:r w:rsidRPr="0008111C">
        <w:rPr>
          <w:rFonts w:ascii="Arial" w:hAnsi="Arial" w:cs="Arial"/>
          <w:color w:val="000000" w:themeColor="text1"/>
          <w:szCs w:val="20"/>
        </w:rPr>
        <w:t>. Available at: https://www.england.nhs.uk/patient-safety/pressure-ulcers/ (Accessed: 7 March 2026).</w:t>
      </w:r>
    </w:p>
    <w:p w14:paraId="047892EA"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Royal College of Nursing (RCN) (2023) </w:t>
      </w:r>
      <w:r w:rsidRPr="0008111C">
        <w:rPr>
          <w:rFonts w:ascii="Arial" w:hAnsi="Arial" w:cs="Arial"/>
          <w:i/>
          <w:iCs/>
          <w:color w:val="000000" w:themeColor="text1"/>
          <w:szCs w:val="20"/>
        </w:rPr>
        <w:t>Observation and Monitoring: Principles of Nursing Practice</w:t>
      </w:r>
      <w:r w:rsidRPr="0008111C">
        <w:rPr>
          <w:rFonts w:ascii="Arial" w:hAnsi="Arial" w:cs="Arial"/>
          <w:color w:val="000000" w:themeColor="text1"/>
          <w:szCs w:val="20"/>
        </w:rPr>
        <w:t>. RCN: London. Available at: https://www.rcn.org.uk/clinical-topics/Patient-safety-and-human-factors/Principles-of-Nursing-Practice (Accessed: 7 March 2026).</w:t>
      </w:r>
    </w:p>
    <w:p w14:paraId="04573BA2" w14:textId="77777777" w:rsidR="0008111C" w:rsidRPr="0008111C" w:rsidRDefault="0008111C" w:rsidP="0008111C">
      <w:pPr>
        <w:spacing w:line="360" w:lineRule="auto"/>
        <w:ind w:left="720" w:hanging="720"/>
        <w:rPr>
          <w:rFonts w:ascii="Arial" w:hAnsi="Arial" w:cs="Arial"/>
          <w:color w:val="000000" w:themeColor="text1"/>
        </w:rPr>
      </w:pPr>
      <w:r w:rsidRPr="0008111C">
        <w:rPr>
          <w:rFonts w:ascii="Arial" w:hAnsi="Arial" w:cs="Arial"/>
          <w:color w:val="000000" w:themeColor="text1"/>
          <w:szCs w:val="20"/>
        </w:rPr>
        <w:t xml:space="preserve">Watt, R., Sherwood, G. and Pearce, G. (2023) 'Reflective practice and communication development in community care workers: a mixed-methods evaluation', </w:t>
      </w:r>
      <w:r w:rsidRPr="0008111C">
        <w:rPr>
          <w:rFonts w:ascii="Arial" w:hAnsi="Arial" w:cs="Arial"/>
          <w:i/>
          <w:iCs/>
          <w:color w:val="000000" w:themeColor="text1"/>
          <w:szCs w:val="20"/>
        </w:rPr>
        <w:t>Journal of Health and Social Care in the Community</w:t>
      </w:r>
      <w:r w:rsidRPr="0008111C">
        <w:rPr>
          <w:rFonts w:ascii="Arial" w:hAnsi="Arial" w:cs="Arial"/>
          <w:color w:val="000000" w:themeColor="text1"/>
          <w:szCs w:val="20"/>
        </w:rPr>
        <w:t>, 31(2), pp. 345–357.</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4AA42" w14:textId="77777777" w:rsidR="00E36718" w:rsidRDefault="00E36718" w:rsidP="003C7C97">
      <w:pPr>
        <w:spacing w:after="0" w:line="240" w:lineRule="auto"/>
      </w:pPr>
      <w:r>
        <w:separator/>
      </w:r>
    </w:p>
  </w:endnote>
  <w:endnote w:type="continuationSeparator" w:id="0">
    <w:p w14:paraId="31409B7E" w14:textId="77777777" w:rsidR="00E36718" w:rsidRDefault="00E3671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0160B" w14:textId="77777777" w:rsidR="00E36718" w:rsidRDefault="00E36718" w:rsidP="003C7C97">
      <w:pPr>
        <w:spacing w:after="0" w:line="240" w:lineRule="auto"/>
      </w:pPr>
      <w:r>
        <w:separator/>
      </w:r>
    </w:p>
  </w:footnote>
  <w:footnote w:type="continuationSeparator" w:id="0">
    <w:p w14:paraId="7107EF12" w14:textId="77777777" w:rsidR="00E36718" w:rsidRDefault="00E3671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763C17"/>
    <w:multiLevelType w:val="hybridMultilevel"/>
    <w:tmpl w:val="0FBC019E"/>
    <w:lvl w:ilvl="0" w:tplc="1A967208">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4"/>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3"/>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1731548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3F0"/>
    <w:rsid w:val="0001715D"/>
    <w:rsid w:val="00022C42"/>
    <w:rsid w:val="00027B15"/>
    <w:rsid w:val="00030A05"/>
    <w:rsid w:val="00070818"/>
    <w:rsid w:val="0008111C"/>
    <w:rsid w:val="0008238F"/>
    <w:rsid w:val="00082EC6"/>
    <w:rsid w:val="00085388"/>
    <w:rsid w:val="000D41DC"/>
    <w:rsid w:val="00125D37"/>
    <w:rsid w:val="00127C1A"/>
    <w:rsid w:val="00150D81"/>
    <w:rsid w:val="00166CEB"/>
    <w:rsid w:val="00183CB9"/>
    <w:rsid w:val="00184A9A"/>
    <w:rsid w:val="001947DF"/>
    <w:rsid w:val="001A4FB0"/>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1766"/>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514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85B03"/>
    <w:rsid w:val="00D95CAF"/>
    <w:rsid w:val="00DB60B6"/>
    <w:rsid w:val="00DC1CC6"/>
    <w:rsid w:val="00E067A8"/>
    <w:rsid w:val="00E13924"/>
    <w:rsid w:val="00E15FD5"/>
    <w:rsid w:val="00E1725A"/>
    <w:rsid w:val="00E33758"/>
    <w:rsid w:val="00E3671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6E51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1710</Words>
  <Characters>9749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Soner Yarasikli (2519545)</cp:lastModifiedBy>
  <cp:revision>2</cp:revision>
  <dcterms:created xsi:type="dcterms:W3CDTF">2026-03-14T10:31:00Z</dcterms:created>
  <dcterms:modified xsi:type="dcterms:W3CDTF">2026-03-14T10:31:00Z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