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5665192" w:rsidP="4AF775A2" w:rsidRDefault="65665192" w14:paraId="4D313DA8" w14:textId="0DA39F12">
      <w:pPr>
        <w:pStyle w:val="ListParagraph"/>
        <w:numPr>
          <w:ilvl w:val="0"/>
          <w:numId w:val="8"/>
        </w:numPr>
        <w:bidi w:val="0"/>
        <w:spacing w:before="0" w:beforeAutospacing="off" w:after="0" w:afterAutospacing="off" w:line="360" w:lineRule="auto"/>
        <w:ind w:left="720" w:right="0" w:hanging="360"/>
        <w:jc w:val="center"/>
        <w:rPr>
          <w:rFonts w:ascii="Arial Nova" w:hAnsi="Arial Nova" w:eastAsia="Arial Nova" w:cs="Arial Nova" w:asciiTheme="minorAscii" w:hAnsiTheme="minorAscii" w:eastAsiaTheme="minorAscii" w:cstheme="minorAscii"/>
          <w:noProof w:val="0"/>
          <w:sz w:val="24"/>
          <w:szCs w:val="24"/>
          <w:lang w:val="en-GB"/>
        </w:rPr>
      </w:pPr>
      <w:r w:rsidRPr="4AF775A2" w:rsidR="063B7C83">
        <w:rPr>
          <w:rFonts w:ascii="Arial Nova" w:hAnsi="Arial Nova" w:eastAsia="Arial Nova" w:cs="Arial Nova" w:asciiTheme="minorAscii" w:hAnsiTheme="minorAscii" w:eastAsiaTheme="minorAscii" w:cstheme="minorAscii"/>
          <w:noProof w:val="0"/>
          <w:sz w:val="24"/>
          <w:szCs w:val="24"/>
          <w:lang w:val="en-GB"/>
        </w:rPr>
        <w:t>University of Wales Trinit</w:t>
      </w:r>
      <w:r w:rsidRPr="4AF775A2" w:rsidR="366164B2">
        <w:rPr>
          <w:rFonts w:ascii="Arial Nova" w:hAnsi="Arial Nova" w:eastAsia="Arial Nova" w:cs="Arial Nova" w:asciiTheme="minorAscii" w:hAnsiTheme="minorAscii" w:eastAsiaTheme="minorAscii" w:cstheme="minorAscii"/>
          <w:noProof w:val="0"/>
          <w:sz w:val="24"/>
          <w:szCs w:val="24"/>
          <w:lang w:val="en-GB"/>
        </w:rPr>
        <w:t>y Saint David</w:t>
      </w:r>
      <w:r w:rsidRPr="4AF775A2" w:rsidR="063B7C83">
        <w:rPr>
          <w:rFonts w:ascii="Arial Nova" w:hAnsi="Arial Nova" w:eastAsia="Arial Nova" w:cs="Arial Nova" w:asciiTheme="minorAscii" w:hAnsiTheme="minorAscii" w:eastAsiaTheme="minorAscii" w:cstheme="minorAscii"/>
          <w:noProof w:val="0"/>
          <w:sz w:val="24"/>
          <w:szCs w:val="24"/>
          <w:lang w:val="en-GB"/>
        </w:rPr>
        <w:t xml:space="preserve"> &amp; </w:t>
      </w:r>
      <w:r w:rsidRPr="4AF775A2" w:rsidR="004B8ACB">
        <w:rPr>
          <w:rFonts w:ascii="Arial Nova" w:hAnsi="Arial Nova" w:eastAsia="Arial Nova" w:cs="Arial Nova" w:asciiTheme="minorAscii" w:hAnsiTheme="minorAscii" w:eastAsiaTheme="minorAscii" w:cstheme="minorAscii"/>
          <w:noProof w:val="0"/>
          <w:sz w:val="24"/>
          <w:szCs w:val="24"/>
          <w:lang w:val="en-GB"/>
        </w:rPr>
        <w:t>International Business</w:t>
      </w:r>
    </w:p>
    <w:p w:rsidR="65665192" w:rsidP="4AF775A2" w:rsidRDefault="65665192" w14:paraId="5EA477E6" w14:textId="4BA335E3">
      <w:pPr>
        <w:pStyle w:val="ListParagraph"/>
        <w:numPr>
          <w:ilvl w:val="0"/>
          <w:numId w:val="8"/>
        </w:numPr>
        <w:bidi w:val="0"/>
        <w:spacing w:before="0" w:beforeAutospacing="off" w:after="0" w:afterAutospacing="off" w:line="360" w:lineRule="auto"/>
        <w:ind w:left="720" w:right="0" w:hanging="360"/>
        <w:jc w:val="center"/>
        <w:rPr>
          <w:rFonts w:ascii="Arial Nova" w:hAnsi="Arial Nova" w:eastAsia="Arial Nova" w:cs="Arial Nova" w:asciiTheme="minorAscii" w:hAnsiTheme="minorAscii" w:eastAsiaTheme="minorAscii" w:cstheme="minorAscii"/>
          <w:noProof w:val="0"/>
          <w:sz w:val="24"/>
          <w:szCs w:val="24"/>
          <w:lang w:val="en-GB"/>
        </w:rPr>
      </w:pPr>
      <w:r w:rsidRPr="4AF775A2" w:rsidR="20E637C0">
        <w:rPr>
          <w:rFonts w:ascii="Arial Nova" w:hAnsi="Arial Nova" w:eastAsia="Arial Nova" w:cs="Arial Nova" w:asciiTheme="minorAscii" w:hAnsiTheme="minorAscii" w:eastAsiaTheme="minorAscii" w:cstheme="minorAscii"/>
          <w:noProof w:val="0"/>
          <w:sz w:val="24"/>
          <w:szCs w:val="24"/>
          <w:lang w:val="en-GB"/>
        </w:rPr>
        <w:t>Name:</w:t>
      </w:r>
      <w:r w:rsidRPr="4AF775A2" w:rsidR="20E637C0">
        <w:rPr>
          <w:rFonts w:ascii="Arial Nova" w:hAnsi="Arial Nova" w:eastAsia="Arial Nova" w:cs="Arial Nova" w:asciiTheme="minorAscii" w:hAnsiTheme="minorAscii" w:eastAsiaTheme="minorAscii" w:cstheme="minorAscii"/>
          <w:noProof w:val="0"/>
          <w:sz w:val="24"/>
          <w:szCs w:val="24"/>
          <w:lang w:val="en-GB"/>
        </w:rPr>
        <w:t xml:space="preserve"> </w:t>
      </w:r>
      <w:r w:rsidRPr="4AF775A2" w:rsidR="004B8ACB">
        <w:rPr>
          <w:rFonts w:ascii="Arial Nova" w:hAnsi="Arial Nova" w:eastAsia="Arial Nova" w:cs="Arial Nova" w:asciiTheme="minorAscii" w:hAnsiTheme="minorAscii" w:eastAsiaTheme="minorAscii" w:cstheme="minorAscii"/>
          <w:noProof w:val="0"/>
          <w:sz w:val="24"/>
          <w:szCs w:val="24"/>
          <w:lang w:val="en-GB"/>
        </w:rPr>
        <w:t>Rebecca Travers Student Number</w:t>
      </w:r>
      <w:r w:rsidRPr="4AF775A2" w:rsidR="1FF10512">
        <w:rPr>
          <w:rFonts w:ascii="Arial Nova" w:hAnsi="Arial Nova" w:eastAsia="Arial Nova" w:cs="Arial Nova" w:asciiTheme="minorAscii" w:hAnsiTheme="minorAscii" w:eastAsiaTheme="minorAscii" w:cstheme="minorAscii"/>
          <w:noProof w:val="0"/>
          <w:sz w:val="24"/>
          <w:szCs w:val="24"/>
          <w:lang w:val="en-GB"/>
        </w:rPr>
        <w:t xml:space="preserve"> - </w:t>
      </w:r>
      <w:r w:rsidRPr="4AF775A2" w:rsidR="004B8ACB">
        <w:rPr>
          <w:rFonts w:ascii="Arial Nova" w:hAnsi="Arial Nova" w:eastAsia="Arial Nova" w:cs="Arial Nova" w:asciiTheme="minorAscii" w:hAnsiTheme="minorAscii" w:eastAsiaTheme="minorAscii" w:cstheme="minorAscii"/>
          <w:noProof w:val="0"/>
          <w:sz w:val="24"/>
          <w:szCs w:val="24"/>
          <w:lang w:val="en-GB"/>
        </w:rPr>
        <w:t>2128316</w:t>
      </w:r>
    </w:p>
    <w:p w:rsidR="65665192" w:rsidP="4AF775A2" w:rsidRDefault="65665192" w14:paraId="5EFED1DE" w14:textId="4A509680">
      <w:pPr>
        <w:pStyle w:val="ListParagraph"/>
        <w:bidi w:val="0"/>
        <w:spacing w:before="0" w:beforeAutospacing="off" w:after="0" w:afterAutospacing="off" w:line="360" w:lineRule="auto"/>
        <w:ind w:left="720" w:right="0" w:hanging="360"/>
        <w:jc w:val="center"/>
        <w:rPr>
          <w:rFonts w:ascii="Arial Nova" w:hAnsi="Arial Nova" w:eastAsia="Arial Nova" w:cs="Arial Nova" w:asciiTheme="minorAscii" w:hAnsiTheme="minorAscii" w:eastAsiaTheme="minorAscii" w:cstheme="minorAscii"/>
          <w:noProof w:val="0"/>
          <w:sz w:val="24"/>
          <w:szCs w:val="24"/>
          <w:lang w:val="en-GB"/>
        </w:rPr>
      </w:pPr>
      <w:r w:rsidRPr="4AF775A2" w:rsidR="6455BAD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Employee Engagement, Retention, and Skill Shortages in easyJet: An Evaluation of Human Resource Management Practices.</w:t>
      </w:r>
    </w:p>
    <w:p w:rsidR="65665192" w:rsidP="4AF775A2" w:rsidRDefault="65665192" w14:paraId="12A37789" w14:textId="471EB399">
      <w:pPr>
        <w:pStyle w:val="ListParagraph"/>
        <w:numPr>
          <w:ilvl w:val="0"/>
          <w:numId w:val="8"/>
        </w:numPr>
        <w:bidi w:val="0"/>
        <w:spacing w:before="0" w:beforeAutospacing="off" w:after="0" w:afterAutospacing="off" w:line="360" w:lineRule="auto"/>
        <w:ind w:left="720" w:right="0" w:hanging="360"/>
        <w:jc w:val="center"/>
        <w:rPr>
          <w:rFonts w:ascii="Arial Nova" w:hAnsi="Arial Nova" w:eastAsia="Arial Nova" w:cs="Arial Nova" w:asciiTheme="minorAscii" w:hAnsiTheme="minorAscii" w:eastAsiaTheme="minorAscii" w:cstheme="minorAscii"/>
          <w:noProof w:val="0"/>
          <w:sz w:val="24"/>
          <w:szCs w:val="24"/>
          <w:lang w:val="en-GB"/>
        </w:rPr>
      </w:pPr>
      <w:r w:rsidRPr="4AF775A2" w:rsidR="063B7C83">
        <w:rPr>
          <w:rFonts w:ascii="Arial Nova" w:hAnsi="Arial Nova" w:eastAsia="Arial Nova" w:cs="Arial Nova" w:asciiTheme="minorAscii" w:hAnsiTheme="minorAscii" w:eastAsiaTheme="minorAscii" w:cstheme="minorAscii"/>
          <w:noProof w:val="0"/>
          <w:sz w:val="24"/>
          <w:szCs w:val="24"/>
          <w:lang w:val="en-GB"/>
        </w:rPr>
        <w:t>Supervisor</w:t>
      </w:r>
      <w:r w:rsidRPr="4AF775A2" w:rsidR="3218C074">
        <w:rPr>
          <w:rFonts w:ascii="Arial Nova" w:hAnsi="Arial Nova" w:eastAsia="Arial Nova" w:cs="Arial Nova" w:asciiTheme="minorAscii" w:hAnsiTheme="minorAscii" w:eastAsiaTheme="minorAscii" w:cstheme="minorAscii"/>
          <w:noProof w:val="0"/>
          <w:sz w:val="24"/>
          <w:szCs w:val="24"/>
          <w:lang w:val="en-GB"/>
        </w:rPr>
        <w:t xml:space="preserve">: Ejike </w:t>
      </w:r>
      <w:r w:rsidRPr="4AF775A2" w:rsidR="3218C074">
        <w:rPr>
          <w:rFonts w:ascii="Arial Nova" w:hAnsi="Arial Nova" w:eastAsia="Arial Nova" w:cs="Arial Nova" w:asciiTheme="minorAscii" w:hAnsiTheme="minorAscii" w:eastAsiaTheme="minorAscii" w:cstheme="minorAscii"/>
          <w:noProof w:val="0"/>
          <w:sz w:val="24"/>
          <w:szCs w:val="24"/>
          <w:lang w:val="en-GB"/>
        </w:rPr>
        <w:t>Udeogu</w:t>
      </w:r>
    </w:p>
    <w:p w:rsidR="65665192" w:rsidP="4AF775A2" w:rsidRDefault="65665192" w14:paraId="6369885D" w14:textId="2A27DAE4">
      <w:pPr>
        <w:bidi w:val="0"/>
        <w:spacing w:before="0" w:beforeAutospacing="off" w:after="160" w:afterAutospacing="off" w:line="257" w:lineRule="auto"/>
        <w:jc w:val="both"/>
      </w:pPr>
      <w:r w:rsidRPr="4AF775A2" w:rsidR="063B7C83">
        <w:rPr>
          <w:rFonts w:ascii="Arial" w:hAnsi="Arial" w:eastAsia="Arial" w:cs="Arial"/>
          <w:noProof w:val="0"/>
          <w:sz w:val="22"/>
          <w:szCs w:val="22"/>
          <w:lang w:val="en-GB"/>
        </w:rPr>
        <w:t xml:space="preserve"> </w:t>
      </w:r>
    </w:p>
    <w:p w:rsidR="65665192" w:rsidP="4AF775A2" w:rsidRDefault="65665192" w14:paraId="161007A1" w14:textId="0754807D">
      <w:pPr>
        <w:bidi w:val="0"/>
        <w:spacing w:before="0" w:beforeAutospacing="off" w:after="160" w:afterAutospacing="off" w:line="257" w:lineRule="auto"/>
        <w:jc w:val="both"/>
      </w:pPr>
      <w:r w:rsidRPr="4AF775A2" w:rsidR="063B7C83">
        <w:rPr>
          <w:rFonts w:ascii="Arial" w:hAnsi="Arial" w:eastAsia="Arial" w:cs="Arial"/>
          <w:noProof w:val="0"/>
          <w:sz w:val="22"/>
          <w:szCs w:val="22"/>
          <w:lang w:val="en-GB"/>
        </w:rPr>
        <w:t xml:space="preserve">DECLARATATION </w:t>
      </w:r>
    </w:p>
    <w:p w:rsidR="65665192" w:rsidP="4AF775A2" w:rsidRDefault="65665192" w14:paraId="2875E2EF" w14:textId="6626977E">
      <w:pPr>
        <w:bidi w:val="0"/>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4AF775A2" w:rsidR="063B7C83">
        <w:rPr>
          <w:rFonts w:ascii="Arial Nova" w:hAnsi="Arial Nova" w:eastAsia="Arial Nova" w:cs="Arial Nova" w:asciiTheme="minorAscii" w:hAnsiTheme="minorAscii" w:eastAsiaTheme="minorAscii" w:cstheme="minorAscii"/>
          <w:noProof w:val="0"/>
          <w:sz w:val="22"/>
          <w:szCs w:val="22"/>
          <w:lang w:val="en-GB"/>
        </w:rPr>
        <w:t xml:space="preserve">Please add the following paragraph: </w:t>
      </w:r>
    </w:p>
    <w:p w:rsidR="65665192" w:rsidP="4AF775A2" w:rsidRDefault="65665192" w14:paraId="5625E491" w14:textId="04BF7813">
      <w:pPr>
        <w:bidi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2"/>
          <w:szCs w:val="22"/>
          <w:lang w:val="en-GB"/>
        </w:rPr>
      </w:pPr>
      <w:r w:rsidRPr="4AF775A2" w:rsidR="063B7C83">
        <w:rPr>
          <w:rFonts w:ascii="Arial Nova" w:hAnsi="Arial Nova" w:eastAsia="Arial Nova" w:cs="Arial Nova" w:asciiTheme="minorAscii" w:hAnsiTheme="minorAscii" w:eastAsiaTheme="minorAscii" w:cstheme="minorAscii"/>
          <w:noProof w:val="0"/>
          <w:sz w:val="22"/>
          <w:szCs w:val="22"/>
          <w:lang w:val="en-GB"/>
        </w:rPr>
        <w:t xml:space="preserve">I, </w:t>
      </w:r>
      <w:r w:rsidRPr="4AF775A2" w:rsidR="0D5F67F9">
        <w:rPr>
          <w:rFonts w:ascii="Arial Nova" w:hAnsi="Arial Nova" w:eastAsia="Arial Nova" w:cs="Arial Nova" w:asciiTheme="minorAscii" w:hAnsiTheme="minorAscii" w:eastAsiaTheme="minorAscii" w:cstheme="minorAscii"/>
          <w:noProof w:val="0"/>
          <w:sz w:val="22"/>
          <w:szCs w:val="22"/>
          <w:lang w:val="en-GB"/>
        </w:rPr>
        <w:t>Rebecca Travers</w:t>
      </w:r>
      <w:r w:rsidRPr="4AF775A2" w:rsidR="063B7C83">
        <w:rPr>
          <w:rFonts w:ascii="Arial Nova" w:hAnsi="Arial Nova" w:eastAsia="Arial Nova" w:cs="Arial Nova" w:asciiTheme="minorAscii" w:hAnsiTheme="minorAscii" w:eastAsiaTheme="minorAscii" w:cstheme="minorAscii"/>
          <w:noProof w:val="0"/>
          <w:sz w:val="22"/>
          <w:szCs w:val="22"/>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65665192" w:rsidP="4AF775A2" w:rsidRDefault="65665192" w14:paraId="59B9C334" w14:textId="110E227C">
      <w:pPr>
        <w:bidi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2"/>
          <w:szCs w:val="22"/>
          <w:lang w:val="en-GB"/>
        </w:rPr>
      </w:pPr>
      <w:r w:rsidRPr="4AF775A2" w:rsidR="063B7C83">
        <w:rPr>
          <w:rFonts w:ascii="Arial Nova" w:hAnsi="Arial Nova" w:eastAsia="Arial Nova" w:cs="Arial Nova" w:asciiTheme="minorAscii" w:hAnsiTheme="minorAscii" w:eastAsiaTheme="minorAscii" w:cstheme="minorAscii"/>
          <w:noProof w:val="0"/>
          <w:sz w:val="22"/>
          <w:szCs w:val="22"/>
          <w:lang w:val="en-GB"/>
        </w:rPr>
        <w:t xml:space="preserve"> </w:t>
      </w:r>
    </w:p>
    <w:p w:rsidR="65665192" w:rsidP="4AF775A2" w:rsidRDefault="65665192" w14:paraId="6568914D" w14:textId="67138CB5">
      <w:pPr>
        <w:bidi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2"/>
          <w:szCs w:val="22"/>
          <w:lang w:val="en-GB"/>
        </w:rPr>
      </w:pPr>
      <w:r w:rsidRPr="4AF775A2" w:rsidR="063B7C83">
        <w:rPr>
          <w:rFonts w:ascii="Arial Nova" w:hAnsi="Arial Nova" w:eastAsia="Arial Nova" w:cs="Arial Nova" w:asciiTheme="minorAscii" w:hAnsiTheme="minorAscii" w:eastAsiaTheme="minorAscii" w:cstheme="minorAscii"/>
          <w:noProof w:val="0"/>
          <w:sz w:val="22"/>
          <w:szCs w:val="22"/>
          <w:lang w:val="en-GB"/>
        </w:rPr>
        <w:t>Signature:</w:t>
      </w:r>
      <w:r w:rsidRPr="4AF775A2" w:rsidR="296E157B">
        <w:rPr>
          <w:rFonts w:ascii="Arial Nova" w:hAnsi="Arial Nova" w:eastAsia="Arial Nova" w:cs="Arial Nova" w:asciiTheme="minorAscii" w:hAnsiTheme="minorAscii" w:eastAsiaTheme="minorAscii" w:cstheme="minorAscii"/>
          <w:noProof w:val="0"/>
          <w:sz w:val="22"/>
          <w:szCs w:val="22"/>
          <w:lang w:val="en-GB"/>
        </w:rPr>
        <w:t xml:space="preserve"> </w:t>
      </w:r>
      <w:r w:rsidRPr="4AF775A2" w:rsidR="1F70BA21">
        <w:rPr>
          <w:rFonts w:ascii="Arial Nova" w:hAnsi="Arial Nova" w:eastAsia="Arial Nova" w:cs="Arial Nova" w:asciiTheme="minorAscii" w:hAnsiTheme="minorAscii" w:eastAsiaTheme="minorAscii" w:cstheme="minorAscii"/>
          <w:noProof w:val="0"/>
          <w:sz w:val="22"/>
          <w:szCs w:val="22"/>
          <w:lang w:val="en-GB"/>
        </w:rPr>
        <w:t>R.Travers</w:t>
      </w:r>
    </w:p>
    <w:p w:rsidR="65665192" w:rsidP="4AF775A2" w:rsidRDefault="65665192" w14:paraId="5C3D7EAE" w14:textId="40C5142F">
      <w:pPr>
        <w:bidi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2"/>
          <w:szCs w:val="22"/>
          <w:lang w:val="en-GB"/>
        </w:rPr>
      </w:pPr>
      <w:r w:rsidRPr="4AF775A2" w:rsidR="063B7C83">
        <w:rPr>
          <w:rFonts w:ascii="Arial Nova" w:hAnsi="Arial Nova" w:eastAsia="Arial Nova" w:cs="Arial Nova" w:asciiTheme="minorAscii" w:hAnsiTheme="minorAscii" w:eastAsiaTheme="minorAscii" w:cstheme="minorAscii"/>
          <w:noProof w:val="0"/>
          <w:sz w:val="22"/>
          <w:szCs w:val="22"/>
          <w:lang w:val="en-GB"/>
        </w:rPr>
        <w:t xml:space="preserve"> </w:t>
      </w:r>
    </w:p>
    <w:p w:rsidR="65665192" w:rsidP="4AF775A2" w:rsidRDefault="65665192" w14:paraId="54A45A9B" w14:textId="37C11FC1">
      <w:pPr>
        <w:bidi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2"/>
          <w:szCs w:val="22"/>
          <w:lang w:val="en-GB"/>
        </w:rPr>
      </w:pPr>
      <w:r w:rsidRPr="4AF775A2" w:rsidR="063B7C83">
        <w:rPr>
          <w:rFonts w:ascii="Arial Nova" w:hAnsi="Arial Nova" w:eastAsia="Arial Nova" w:cs="Arial Nova" w:asciiTheme="minorAscii" w:hAnsiTheme="minorAscii" w:eastAsiaTheme="minorAscii" w:cstheme="minorAscii"/>
          <w:noProof w:val="0"/>
          <w:sz w:val="22"/>
          <w:szCs w:val="22"/>
          <w:lang w:val="en-GB"/>
        </w:rPr>
        <w:t xml:space="preserve">Date: </w:t>
      </w:r>
      <w:r w:rsidRPr="4AF775A2" w:rsidR="56C21B2C">
        <w:rPr>
          <w:rFonts w:ascii="Arial Nova" w:hAnsi="Arial Nova" w:eastAsia="Arial Nova" w:cs="Arial Nova" w:asciiTheme="minorAscii" w:hAnsiTheme="minorAscii" w:eastAsiaTheme="minorAscii" w:cstheme="minorAscii"/>
          <w:noProof w:val="0"/>
          <w:sz w:val="22"/>
          <w:szCs w:val="22"/>
          <w:lang w:val="en-GB"/>
        </w:rPr>
        <w:t>05 May 2026</w:t>
      </w:r>
    </w:p>
    <w:p w:rsidR="65665192" w:rsidP="034594A6" w:rsidRDefault="65665192" w14:paraId="70FBD9A4" w14:textId="1D509E68">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79BE46FD" w14:textId="3482F3E8">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5C9546A9" w14:textId="5C2986C3">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62164B45" w14:textId="7770AF6D">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26732CC0" w14:textId="339A2CAA">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7DAC5F17" w14:textId="4E7A08F6">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6CE8D6D4" w14:textId="4BC54503">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3FE06198" w14:textId="17C6DE21">
      <w:pPr>
        <w:bidi w:val="0"/>
        <w:spacing w:before="120" w:beforeAutospacing="off" w:after="120" w:afterAutospacing="off" w:line="360" w:lineRule="auto"/>
      </w:pPr>
      <w:r>
        <w:br w:type="page"/>
      </w:r>
    </w:p>
    <w:sdt>
      <w:sdtPr>
        <w:id w:val="2030256604"/>
        <w:docPartObj>
          <w:docPartGallery w:val="Table of Contents"/>
          <w:docPartUnique/>
        </w:docPartObj>
      </w:sdtPr>
      <w:sdtContent>
        <w:p w:rsidR="65665192" w:rsidP="4AF775A2" w:rsidRDefault="65665192" w14:paraId="64496004" w14:textId="233E09D8">
          <w:pPr>
            <w:pStyle w:val="TOC1"/>
            <w:tabs>
              <w:tab w:val="right" w:leader="dot" w:pos="9015"/>
            </w:tabs>
            <w:rPr>
              <w:rStyle w:val="Hyperlink"/>
            </w:rPr>
          </w:pPr>
          <w:r>
            <w:fldChar w:fldCharType="begin"/>
          </w:r>
          <w:r>
            <w:instrText xml:space="preserve">TOC \o "1-9" \z \u \h</w:instrText>
          </w:r>
          <w:r>
            <w:fldChar w:fldCharType="separate"/>
          </w:r>
          <w:hyperlink w:anchor="_Toc734440692">
            <w:r w:rsidRPr="4AF775A2" w:rsidR="4AF775A2">
              <w:rPr>
                <w:rStyle w:val="Hyperlink"/>
              </w:rPr>
              <w:t>Employee Engagement, Retention, and Skill Shortages in easyJet: An Evaluation of Human Resource Management Practices.</w:t>
            </w:r>
            <w:r>
              <w:tab/>
            </w:r>
            <w:r>
              <w:fldChar w:fldCharType="begin"/>
            </w:r>
            <w:r>
              <w:instrText xml:space="preserve">PAGEREF _Toc734440692 \h</w:instrText>
            </w:r>
            <w:r>
              <w:fldChar w:fldCharType="separate"/>
            </w:r>
            <w:r w:rsidRPr="4AF775A2" w:rsidR="4AF775A2">
              <w:rPr>
                <w:rStyle w:val="Hyperlink"/>
              </w:rPr>
              <w:t>2</w:t>
            </w:r>
            <w:r>
              <w:fldChar w:fldCharType="end"/>
            </w:r>
          </w:hyperlink>
        </w:p>
        <w:p w:rsidR="65665192" w:rsidP="4AF775A2" w:rsidRDefault="65665192" w14:paraId="00923C8E" w14:textId="00E06797">
          <w:pPr>
            <w:pStyle w:val="TOC1"/>
            <w:tabs>
              <w:tab w:val="right" w:leader="dot" w:pos="9015"/>
            </w:tabs>
            <w:rPr>
              <w:rStyle w:val="Hyperlink"/>
            </w:rPr>
          </w:pPr>
          <w:hyperlink w:anchor="_Toc1323507692">
            <w:r w:rsidRPr="4AF775A2" w:rsidR="4AF775A2">
              <w:rPr>
                <w:rStyle w:val="Hyperlink"/>
              </w:rPr>
              <w:t>Introduction, Background and Context</w:t>
            </w:r>
            <w:r>
              <w:tab/>
            </w:r>
            <w:r>
              <w:fldChar w:fldCharType="begin"/>
            </w:r>
            <w:r>
              <w:instrText xml:space="preserve">PAGEREF _Toc1323507692 \h</w:instrText>
            </w:r>
            <w:r>
              <w:fldChar w:fldCharType="separate"/>
            </w:r>
            <w:r w:rsidRPr="4AF775A2" w:rsidR="4AF775A2">
              <w:rPr>
                <w:rStyle w:val="Hyperlink"/>
              </w:rPr>
              <w:t>3</w:t>
            </w:r>
            <w:r>
              <w:fldChar w:fldCharType="end"/>
            </w:r>
          </w:hyperlink>
        </w:p>
        <w:p w:rsidR="65665192" w:rsidP="4AF775A2" w:rsidRDefault="65665192" w14:paraId="36887211" w14:textId="145EF3A3">
          <w:pPr>
            <w:pStyle w:val="TOC3"/>
            <w:tabs>
              <w:tab w:val="right" w:leader="dot" w:pos="9015"/>
            </w:tabs>
            <w:rPr>
              <w:rStyle w:val="Hyperlink"/>
            </w:rPr>
          </w:pPr>
          <w:hyperlink w:anchor="_Toc1631517225">
            <w:r w:rsidRPr="4AF775A2" w:rsidR="4AF775A2">
              <w:rPr>
                <w:rStyle w:val="Hyperlink"/>
              </w:rPr>
              <w:t>Structure of the Dissertation</w:t>
            </w:r>
            <w:r>
              <w:tab/>
            </w:r>
            <w:r>
              <w:fldChar w:fldCharType="begin"/>
            </w:r>
            <w:r>
              <w:instrText xml:space="preserve">PAGEREF _Toc1631517225 \h</w:instrText>
            </w:r>
            <w:r>
              <w:fldChar w:fldCharType="separate"/>
            </w:r>
            <w:r w:rsidRPr="4AF775A2" w:rsidR="4AF775A2">
              <w:rPr>
                <w:rStyle w:val="Hyperlink"/>
              </w:rPr>
              <w:t>6</w:t>
            </w:r>
            <w:r>
              <w:fldChar w:fldCharType="end"/>
            </w:r>
          </w:hyperlink>
        </w:p>
        <w:p w:rsidR="65665192" w:rsidP="4AF775A2" w:rsidRDefault="65665192" w14:paraId="25F6A7FB" w14:textId="3DD685C6">
          <w:pPr>
            <w:pStyle w:val="TOC1"/>
            <w:tabs>
              <w:tab w:val="right" w:leader="dot" w:pos="9015"/>
            </w:tabs>
            <w:rPr>
              <w:rStyle w:val="Hyperlink"/>
            </w:rPr>
          </w:pPr>
          <w:hyperlink w:anchor="_Toc468606856">
            <w:r w:rsidRPr="4AF775A2" w:rsidR="4AF775A2">
              <w:rPr>
                <w:rStyle w:val="Hyperlink"/>
              </w:rPr>
              <w:t>Review of Relevant Literature</w:t>
            </w:r>
            <w:r>
              <w:tab/>
            </w:r>
            <w:r>
              <w:fldChar w:fldCharType="begin"/>
            </w:r>
            <w:r>
              <w:instrText xml:space="preserve">PAGEREF _Toc468606856 \h</w:instrText>
            </w:r>
            <w:r>
              <w:fldChar w:fldCharType="separate"/>
            </w:r>
            <w:r w:rsidRPr="4AF775A2" w:rsidR="4AF775A2">
              <w:rPr>
                <w:rStyle w:val="Hyperlink"/>
              </w:rPr>
              <w:t>7</w:t>
            </w:r>
            <w:r>
              <w:fldChar w:fldCharType="end"/>
            </w:r>
          </w:hyperlink>
        </w:p>
        <w:p w:rsidR="65665192" w:rsidP="4AF775A2" w:rsidRDefault="65665192" w14:paraId="6A448CBF" w14:textId="285CB0D3">
          <w:pPr>
            <w:pStyle w:val="TOC2"/>
            <w:tabs>
              <w:tab w:val="right" w:leader="dot" w:pos="9015"/>
            </w:tabs>
            <w:rPr>
              <w:rStyle w:val="Hyperlink"/>
            </w:rPr>
          </w:pPr>
          <w:hyperlink w:anchor="_Toc467346045">
            <w:r w:rsidRPr="4AF775A2" w:rsidR="4AF775A2">
              <w:rPr>
                <w:rStyle w:val="Hyperlink"/>
              </w:rPr>
              <w:t>Theories and Determinants of Motivation</w:t>
            </w:r>
            <w:r>
              <w:tab/>
            </w:r>
            <w:r>
              <w:fldChar w:fldCharType="begin"/>
            </w:r>
            <w:r>
              <w:instrText xml:space="preserve">PAGEREF _Toc467346045 \h</w:instrText>
            </w:r>
            <w:r>
              <w:fldChar w:fldCharType="separate"/>
            </w:r>
            <w:r w:rsidRPr="4AF775A2" w:rsidR="4AF775A2">
              <w:rPr>
                <w:rStyle w:val="Hyperlink"/>
              </w:rPr>
              <w:t>9</w:t>
            </w:r>
            <w:r>
              <w:fldChar w:fldCharType="end"/>
            </w:r>
          </w:hyperlink>
        </w:p>
        <w:p w:rsidR="65665192" w:rsidP="4AF775A2" w:rsidRDefault="65665192" w14:paraId="37B63509" w14:textId="30CEE5C0">
          <w:pPr>
            <w:pStyle w:val="TOC2"/>
            <w:tabs>
              <w:tab w:val="right" w:leader="dot" w:pos="9015"/>
            </w:tabs>
            <w:rPr>
              <w:rStyle w:val="Hyperlink"/>
            </w:rPr>
          </w:pPr>
          <w:hyperlink w:anchor="_Toc1731152536">
            <w:r w:rsidRPr="4AF775A2" w:rsidR="4AF775A2">
              <w:rPr>
                <w:rStyle w:val="Hyperlink"/>
              </w:rPr>
              <w:t>Organisational Support, Resilience, Engagement and Job Satisfaction</w:t>
            </w:r>
            <w:r>
              <w:tab/>
            </w:r>
            <w:r>
              <w:fldChar w:fldCharType="begin"/>
            </w:r>
            <w:r>
              <w:instrText xml:space="preserve">PAGEREF _Toc1731152536 \h</w:instrText>
            </w:r>
            <w:r>
              <w:fldChar w:fldCharType="separate"/>
            </w:r>
            <w:r w:rsidRPr="4AF775A2" w:rsidR="4AF775A2">
              <w:rPr>
                <w:rStyle w:val="Hyperlink"/>
              </w:rPr>
              <w:t>11</w:t>
            </w:r>
            <w:r>
              <w:fldChar w:fldCharType="end"/>
            </w:r>
          </w:hyperlink>
        </w:p>
        <w:p w:rsidR="65665192" w:rsidP="4AF775A2" w:rsidRDefault="65665192" w14:paraId="7083AB7C" w14:textId="27821B92">
          <w:pPr>
            <w:pStyle w:val="TOC2"/>
            <w:tabs>
              <w:tab w:val="right" w:leader="dot" w:pos="9015"/>
            </w:tabs>
            <w:rPr>
              <w:rStyle w:val="Hyperlink"/>
            </w:rPr>
          </w:pPr>
          <w:hyperlink w:anchor="_Toc642313353">
            <w:r w:rsidRPr="4AF775A2" w:rsidR="4AF775A2">
              <w:rPr>
                <w:rStyle w:val="Hyperlink"/>
              </w:rPr>
              <w:t>Recruitment and Retention</w:t>
            </w:r>
            <w:r>
              <w:tab/>
            </w:r>
            <w:r>
              <w:fldChar w:fldCharType="begin"/>
            </w:r>
            <w:r>
              <w:instrText xml:space="preserve">PAGEREF _Toc642313353 \h</w:instrText>
            </w:r>
            <w:r>
              <w:fldChar w:fldCharType="separate"/>
            </w:r>
            <w:r w:rsidRPr="4AF775A2" w:rsidR="4AF775A2">
              <w:rPr>
                <w:rStyle w:val="Hyperlink"/>
              </w:rPr>
              <w:t>14</w:t>
            </w:r>
            <w:r>
              <w:fldChar w:fldCharType="end"/>
            </w:r>
          </w:hyperlink>
        </w:p>
        <w:p w:rsidR="65665192" w:rsidP="4AF775A2" w:rsidRDefault="65665192" w14:paraId="0AAAE38C" w14:textId="550BB4FF">
          <w:pPr>
            <w:pStyle w:val="TOC2"/>
            <w:tabs>
              <w:tab w:val="right" w:leader="dot" w:pos="9015"/>
            </w:tabs>
            <w:rPr>
              <w:rStyle w:val="Hyperlink"/>
            </w:rPr>
          </w:pPr>
          <w:hyperlink w:anchor="_Toc1379835467">
            <w:r w:rsidRPr="4AF775A2" w:rsidR="4AF775A2">
              <w:rPr>
                <w:rStyle w:val="Hyperlink"/>
              </w:rPr>
              <w:t>Pilot Supply Decline: Working and Training Conditions</w:t>
            </w:r>
            <w:r>
              <w:tab/>
            </w:r>
            <w:r>
              <w:fldChar w:fldCharType="begin"/>
            </w:r>
            <w:r>
              <w:instrText xml:space="preserve">PAGEREF _Toc1379835467 \h</w:instrText>
            </w:r>
            <w:r>
              <w:fldChar w:fldCharType="separate"/>
            </w:r>
            <w:r w:rsidRPr="4AF775A2" w:rsidR="4AF775A2">
              <w:rPr>
                <w:rStyle w:val="Hyperlink"/>
              </w:rPr>
              <w:t>17</w:t>
            </w:r>
            <w:r>
              <w:fldChar w:fldCharType="end"/>
            </w:r>
          </w:hyperlink>
        </w:p>
        <w:p w:rsidR="65665192" w:rsidP="4AF775A2" w:rsidRDefault="65665192" w14:paraId="71A734E6" w14:textId="3C94A73D">
          <w:pPr>
            <w:pStyle w:val="TOC1"/>
            <w:tabs>
              <w:tab w:val="right" w:leader="dot" w:pos="9015"/>
            </w:tabs>
            <w:rPr>
              <w:rStyle w:val="Hyperlink"/>
            </w:rPr>
          </w:pPr>
          <w:hyperlink w:anchor="_Toc2003469063">
            <w:r w:rsidRPr="4AF775A2" w:rsidR="4AF775A2">
              <w:rPr>
                <w:rStyle w:val="Hyperlink"/>
              </w:rPr>
              <w:t>Conceptual Framework</w:t>
            </w:r>
            <w:r>
              <w:tab/>
            </w:r>
            <w:r>
              <w:fldChar w:fldCharType="begin"/>
            </w:r>
            <w:r>
              <w:instrText xml:space="preserve">PAGEREF _Toc2003469063 \h</w:instrText>
            </w:r>
            <w:r>
              <w:fldChar w:fldCharType="separate"/>
            </w:r>
            <w:r w:rsidRPr="4AF775A2" w:rsidR="4AF775A2">
              <w:rPr>
                <w:rStyle w:val="Hyperlink"/>
              </w:rPr>
              <w:t>20</w:t>
            </w:r>
            <w:r>
              <w:fldChar w:fldCharType="end"/>
            </w:r>
          </w:hyperlink>
        </w:p>
        <w:p w:rsidR="65665192" w:rsidP="4AF775A2" w:rsidRDefault="65665192" w14:paraId="24A845DD" w14:textId="6154BFCE">
          <w:pPr>
            <w:pStyle w:val="TOC1"/>
            <w:tabs>
              <w:tab w:val="right" w:leader="dot" w:pos="9015"/>
            </w:tabs>
            <w:rPr>
              <w:rStyle w:val="Hyperlink"/>
            </w:rPr>
          </w:pPr>
          <w:hyperlink w:anchor="_Toc1874555103">
            <w:r w:rsidRPr="4AF775A2" w:rsidR="4AF775A2">
              <w:rPr>
                <w:rStyle w:val="Hyperlink"/>
              </w:rPr>
              <w:t>Methodology</w:t>
            </w:r>
            <w:r>
              <w:tab/>
            </w:r>
            <w:r>
              <w:fldChar w:fldCharType="begin"/>
            </w:r>
            <w:r>
              <w:instrText xml:space="preserve">PAGEREF _Toc1874555103 \h</w:instrText>
            </w:r>
            <w:r>
              <w:fldChar w:fldCharType="separate"/>
            </w:r>
            <w:r w:rsidRPr="4AF775A2" w:rsidR="4AF775A2">
              <w:rPr>
                <w:rStyle w:val="Hyperlink"/>
              </w:rPr>
              <w:t>23</w:t>
            </w:r>
            <w:r>
              <w:fldChar w:fldCharType="end"/>
            </w:r>
          </w:hyperlink>
        </w:p>
        <w:p w:rsidR="65665192" w:rsidP="4AF775A2" w:rsidRDefault="65665192" w14:paraId="47ACA33C" w14:textId="4F7151D9">
          <w:pPr>
            <w:pStyle w:val="TOC2"/>
            <w:tabs>
              <w:tab w:val="right" w:leader="dot" w:pos="9015"/>
            </w:tabs>
            <w:rPr>
              <w:rStyle w:val="Hyperlink"/>
            </w:rPr>
          </w:pPr>
          <w:hyperlink w:anchor="_Toc1576932386">
            <w:r w:rsidRPr="4AF775A2" w:rsidR="4AF775A2">
              <w:rPr>
                <w:rStyle w:val="Hyperlink"/>
              </w:rPr>
              <w:t>Introduction</w:t>
            </w:r>
            <w:r>
              <w:tab/>
            </w:r>
            <w:r>
              <w:fldChar w:fldCharType="begin"/>
            </w:r>
            <w:r>
              <w:instrText xml:space="preserve">PAGEREF _Toc1576932386 \h</w:instrText>
            </w:r>
            <w:r>
              <w:fldChar w:fldCharType="separate"/>
            </w:r>
            <w:r w:rsidRPr="4AF775A2" w:rsidR="4AF775A2">
              <w:rPr>
                <w:rStyle w:val="Hyperlink"/>
              </w:rPr>
              <w:t>24</w:t>
            </w:r>
            <w:r>
              <w:fldChar w:fldCharType="end"/>
            </w:r>
          </w:hyperlink>
        </w:p>
        <w:p w:rsidR="65665192" w:rsidP="4AF775A2" w:rsidRDefault="65665192" w14:paraId="4F8C454C" w14:textId="173043E5">
          <w:pPr>
            <w:pStyle w:val="TOC2"/>
            <w:tabs>
              <w:tab w:val="right" w:leader="dot" w:pos="9015"/>
            </w:tabs>
            <w:rPr>
              <w:rStyle w:val="Hyperlink"/>
            </w:rPr>
          </w:pPr>
          <w:hyperlink w:anchor="_Toc70707387">
            <w:r w:rsidRPr="4AF775A2" w:rsidR="4AF775A2">
              <w:rPr>
                <w:rStyle w:val="Hyperlink"/>
              </w:rPr>
              <w:t>Research Philosophy and Assumptions</w:t>
            </w:r>
            <w:r>
              <w:tab/>
            </w:r>
            <w:r>
              <w:fldChar w:fldCharType="begin"/>
            </w:r>
            <w:r>
              <w:instrText xml:space="preserve">PAGEREF _Toc70707387 \h</w:instrText>
            </w:r>
            <w:r>
              <w:fldChar w:fldCharType="separate"/>
            </w:r>
            <w:r w:rsidRPr="4AF775A2" w:rsidR="4AF775A2">
              <w:rPr>
                <w:rStyle w:val="Hyperlink"/>
              </w:rPr>
              <w:t>24</w:t>
            </w:r>
            <w:r>
              <w:fldChar w:fldCharType="end"/>
            </w:r>
          </w:hyperlink>
        </w:p>
        <w:p w:rsidR="65665192" w:rsidP="4AF775A2" w:rsidRDefault="65665192" w14:paraId="3799289E" w14:textId="0DCDE04E">
          <w:pPr>
            <w:pStyle w:val="TOC2"/>
            <w:tabs>
              <w:tab w:val="right" w:leader="dot" w:pos="9015"/>
            </w:tabs>
            <w:rPr>
              <w:rStyle w:val="Hyperlink"/>
            </w:rPr>
          </w:pPr>
          <w:hyperlink w:anchor="_Toc588119690">
            <w:r w:rsidRPr="4AF775A2" w:rsidR="4AF775A2">
              <w:rPr>
                <w:rStyle w:val="Hyperlink"/>
              </w:rPr>
              <w:t>Research Design</w:t>
            </w:r>
            <w:r>
              <w:tab/>
            </w:r>
            <w:r>
              <w:fldChar w:fldCharType="begin"/>
            </w:r>
            <w:r>
              <w:instrText xml:space="preserve">PAGEREF _Toc588119690 \h</w:instrText>
            </w:r>
            <w:r>
              <w:fldChar w:fldCharType="separate"/>
            </w:r>
            <w:r w:rsidRPr="4AF775A2" w:rsidR="4AF775A2">
              <w:rPr>
                <w:rStyle w:val="Hyperlink"/>
              </w:rPr>
              <w:t>25</w:t>
            </w:r>
            <w:r>
              <w:fldChar w:fldCharType="end"/>
            </w:r>
          </w:hyperlink>
        </w:p>
        <w:p w:rsidR="65665192" w:rsidP="4AF775A2" w:rsidRDefault="65665192" w14:paraId="35AC688D" w14:textId="18B85290">
          <w:pPr>
            <w:pStyle w:val="TOC2"/>
            <w:tabs>
              <w:tab w:val="right" w:leader="dot" w:pos="9015"/>
            </w:tabs>
            <w:rPr>
              <w:rStyle w:val="Hyperlink"/>
            </w:rPr>
          </w:pPr>
          <w:hyperlink w:anchor="_Toc1383627954">
            <w:r w:rsidRPr="4AF775A2" w:rsidR="4AF775A2">
              <w:rPr>
                <w:rStyle w:val="Hyperlink"/>
              </w:rPr>
              <w:t>Research Approach</w:t>
            </w:r>
            <w:r>
              <w:tab/>
            </w:r>
            <w:r>
              <w:fldChar w:fldCharType="begin"/>
            </w:r>
            <w:r>
              <w:instrText xml:space="preserve">PAGEREF _Toc1383627954 \h</w:instrText>
            </w:r>
            <w:r>
              <w:fldChar w:fldCharType="separate"/>
            </w:r>
            <w:r w:rsidRPr="4AF775A2" w:rsidR="4AF775A2">
              <w:rPr>
                <w:rStyle w:val="Hyperlink"/>
              </w:rPr>
              <w:t>26</w:t>
            </w:r>
            <w:r>
              <w:fldChar w:fldCharType="end"/>
            </w:r>
          </w:hyperlink>
        </w:p>
        <w:p w:rsidR="65665192" w:rsidP="4AF775A2" w:rsidRDefault="65665192" w14:paraId="76AC2611" w14:textId="6410A4CC">
          <w:pPr>
            <w:pStyle w:val="TOC2"/>
            <w:tabs>
              <w:tab w:val="right" w:leader="dot" w:pos="9015"/>
            </w:tabs>
            <w:rPr>
              <w:rStyle w:val="Hyperlink"/>
            </w:rPr>
          </w:pPr>
          <w:hyperlink w:anchor="_Toc1343744692">
            <w:r w:rsidRPr="4AF775A2" w:rsidR="4AF775A2">
              <w:rPr>
                <w:rStyle w:val="Hyperlink"/>
              </w:rPr>
              <w:t>Data Collection Methods</w:t>
            </w:r>
            <w:r>
              <w:tab/>
            </w:r>
            <w:r>
              <w:fldChar w:fldCharType="begin"/>
            </w:r>
            <w:r>
              <w:instrText xml:space="preserve">PAGEREF _Toc1343744692 \h</w:instrText>
            </w:r>
            <w:r>
              <w:fldChar w:fldCharType="separate"/>
            </w:r>
            <w:r w:rsidRPr="4AF775A2" w:rsidR="4AF775A2">
              <w:rPr>
                <w:rStyle w:val="Hyperlink"/>
              </w:rPr>
              <w:t>28</w:t>
            </w:r>
            <w:r>
              <w:fldChar w:fldCharType="end"/>
            </w:r>
          </w:hyperlink>
        </w:p>
        <w:p w:rsidR="65665192" w:rsidP="4AF775A2" w:rsidRDefault="65665192" w14:paraId="3960E2BC" w14:textId="1BBDA1BD">
          <w:pPr>
            <w:pStyle w:val="TOC2"/>
            <w:tabs>
              <w:tab w:val="right" w:leader="dot" w:pos="9015"/>
            </w:tabs>
            <w:rPr>
              <w:rStyle w:val="Hyperlink"/>
            </w:rPr>
          </w:pPr>
          <w:hyperlink w:anchor="_Toc1401667942">
            <w:r w:rsidRPr="4AF775A2" w:rsidR="4AF775A2">
              <w:rPr>
                <w:rStyle w:val="Hyperlink"/>
              </w:rPr>
              <w:t>Academic and Industry Literature</w:t>
            </w:r>
            <w:r>
              <w:tab/>
            </w:r>
            <w:r>
              <w:fldChar w:fldCharType="begin"/>
            </w:r>
            <w:r>
              <w:instrText xml:space="preserve">PAGEREF _Toc1401667942 \h</w:instrText>
            </w:r>
            <w:r>
              <w:fldChar w:fldCharType="separate"/>
            </w:r>
            <w:r w:rsidRPr="4AF775A2" w:rsidR="4AF775A2">
              <w:rPr>
                <w:rStyle w:val="Hyperlink"/>
              </w:rPr>
              <w:t>28</w:t>
            </w:r>
            <w:r>
              <w:fldChar w:fldCharType="end"/>
            </w:r>
          </w:hyperlink>
        </w:p>
        <w:p w:rsidR="65665192" w:rsidP="4AF775A2" w:rsidRDefault="65665192" w14:paraId="755EE73C" w14:textId="24039A5D">
          <w:pPr>
            <w:pStyle w:val="TOC2"/>
            <w:tabs>
              <w:tab w:val="right" w:leader="dot" w:pos="9015"/>
            </w:tabs>
            <w:rPr>
              <w:rStyle w:val="Hyperlink"/>
            </w:rPr>
          </w:pPr>
          <w:hyperlink w:anchor="_Toc1297709543">
            <w:r w:rsidRPr="4AF775A2" w:rsidR="4AF775A2">
              <w:rPr>
                <w:rStyle w:val="Hyperlink"/>
              </w:rPr>
              <w:t>Data Analysis Methods</w:t>
            </w:r>
            <w:r>
              <w:tab/>
            </w:r>
            <w:r>
              <w:fldChar w:fldCharType="begin"/>
            </w:r>
            <w:r>
              <w:instrText xml:space="preserve">PAGEREF _Toc1297709543 \h</w:instrText>
            </w:r>
            <w:r>
              <w:fldChar w:fldCharType="separate"/>
            </w:r>
            <w:r w:rsidRPr="4AF775A2" w:rsidR="4AF775A2">
              <w:rPr>
                <w:rStyle w:val="Hyperlink"/>
              </w:rPr>
              <w:t>29</w:t>
            </w:r>
            <w:r>
              <w:fldChar w:fldCharType="end"/>
            </w:r>
          </w:hyperlink>
        </w:p>
        <w:p w:rsidR="65665192" w:rsidP="4AF775A2" w:rsidRDefault="65665192" w14:paraId="669D3F41" w14:textId="725601C6">
          <w:pPr>
            <w:pStyle w:val="TOC2"/>
            <w:tabs>
              <w:tab w:val="right" w:leader="dot" w:pos="9015"/>
            </w:tabs>
            <w:rPr>
              <w:rStyle w:val="Hyperlink"/>
            </w:rPr>
          </w:pPr>
          <w:hyperlink w:anchor="_Toc1534331984">
            <w:r w:rsidRPr="4AF775A2" w:rsidR="4AF775A2">
              <w:rPr>
                <w:rStyle w:val="Hyperlink"/>
              </w:rPr>
              <w:t>Study Selection Process Overview</w:t>
            </w:r>
            <w:r>
              <w:tab/>
            </w:r>
            <w:r>
              <w:fldChar w:fldCharType="begin"/>
            </w:r>
            <w:r>
              <w:instrText xml:space="preserve">PAGEREF _Toc1534331984 \h</w:instrText>
            </w:r>
            <w:r>
              <w:fldChar w:fldCharType="separate"/>
            </w:r>
            <w:r w:rsidRPr="4AF775A2" w:rsidR="4AF775A2">
              <w:rPr>
                <w:rStyle w:val="Hyperlink"/>
              </w:rPr>
              <w:t>29</w:t>
            </w:r>
            <w:r>
              <w:fldChar w:fldCharType="end"/>
            </w:r>
          </w:hyperlink>
        </w:p>
        <w:p w:rsidR="65665192" w:rsidP="4AF775A2" w:rsidRDefault="65665192" w14:paraId="25FB0B58" w14:textId="40A53E25">
          <w:pPr>
            <w:pStyle w:val="TOC2"/>
            <w:tabs>
              <w:tab w:val="right" w:leader="dot" w:pos="9015"/>
            </w:tabs>
            <w:rPr>
              <w:rStyle w:val="Hyperlink"/>
            </w:rPr>
          </w:pPr>
          <w:hyperlink w:anchor="_Toc735942009">
            <w:r w:rsidRPr="4AF775A2" w:rsidR="4AF775A2">
              <w:rPr>
                <w:rStyle w:val="Hyperlink"/>
              </w:rPr>
              <w:t>Identification of Sources</w:t>
            </w:r>
            <w:r>
              <w:tab/>
            </w:r>
            <w:r>
              <w:fldChar w:fldCharType="begin"/>
            </w:r>
            <w:r>
              <w:instrText xml:space="preserve">PAGEREF _Toc735942009 \h</w:instrText>
            </w:r>
            <w:r>
              <w:fldChar w:fldCharType="separate"/>
            </w:r>
            <w:r w:rsidRPr="4AF775A2" w:rsidR="4AF775A2">
              <w:rPr>
                <w:rStyle w:val="Hyperlink"/>
              </w:rPr>
              <w:t>29</w:t>
            </w:r>
            <w:r>
              <w:fldChar w:fldCharType="end"/>
            </w:r>
          </w:hyperlink>
        </w:p>
        <w:p w:rsidR="65665192" w:rsidP="4AF775A2" w:rsidRDefault="65665192" w14:paraId="7AD9C58B" w14:textId="3CFE43A4">
          <w:pPr>
            <w:pStyle w:val="TOC2"/>
            <w:tabs>
              <w:tab w:val="right" w:leader="dot" w:pos="9015"/>
            </w:tabs>
            <w:rPr>
              <w:rStyle w:val="Hyperlink"/>
            </w:rPr>
          </w:pPr>
          <w:hyperlink w:anchor="_Toc2110431328">
            <w:r w:rsidRPr="4AF775A2" w:rsidR="4AF775A2">
              <w:rPr>
                <w:rStyle w:val="Hyperlink"/>
              </w:rPr>
              <w:t>Screening Process</w:t>
            </w:r>
            <w:r>
              <w:tab/>
            </w:r>
            <w:r>
              <w:fldChar w:fldCharType="begin"/>
            </w:r>
            <w:r>
              <w:instrText xml:space="preserve">PAGEREF _Toc2110431328 \h</w:instrText>
            </w:r>
            <w:r>
              <w:fldChar w:fldCharType="separate"/>
            </w:r>
            <w:r w:rsidRPr="4AF775A2" w:rsidR="4AF775A2">
              <w:rPr>
                <w:rStyle w:val="Hyperlink"/>
              </w:rPr>
              <w:t>29</w:t>
            </w:r>
            <w:r>
              <w:fldChar w:fldCharType="end"/>
            </w:r>
          </w:hyperlink>
        </w:p>
        <w:p w:rsidR="65665192" w:rsidP="4AF775A2" w:rsidRDefault="65665192" w14:paraId="6CE278C9" w14:textId="089DE4B8">
          <w:pPr>
            <w:pStyle w:val="TOC2"/>
            <w:tabs>
              <w:tab w:val="right" w:leader="dot" w:pos="9015"/>
            </w:tabs>
            <w:rPr>
              <w:rStyle w:val="Hyperlink"/>
            </w:rPr>
          </w:pPr>
          <w:hyperlink w:anchor="_Toc1124420836">
            <w:r w:rsidRPr="4AF775A2" w:rsidR="4AF775A2">
              <w:rPr>
                <w:rStyle w:val="Hyperlink"/>
              </w:rPr>
              <w:t>Eligibility Assessment</w:t>
            </w:r>
            <w:r>
              <w:tab/>
            </w:r>
            <w:r>
              <w:fldChar w:fldCharType="begin"/>
            </w:r>
            <w:r>
              <w:instrText xml:space="preserve">PAGEREF _Toc1124420836 \h</w:instrText>
            </w:r>
            <w:r>
              <w:fldChar w:fldCharType="separate"/>
            </w:r>
            <w:r w:rsidRPr="4AF775A2" w:rsidR="4AF775A2">
              <w:rPr>
                <w:rStyle w:val="Hyperlink"/>
              </w:rPr>
              <w:t>30</w:t>
            </w:r>
            <w:r>
              <w:fldChar w:fldCharType="end"/>
            </w:r>
          </w:hyperlink>
        </w:p>
        <w:p w:rsidR="65665192" w:rsidP="4AF775A2" w:rsidRDefault="65665192" w14:paraId="0EE3C6EF" w14:textId="2C8A4E43">
          <w:pPr>
            <w:pStyle w:val="TOC2"/>
            <w:tabs>
              <w:tab w:val="right" w:leader="dot" w:pos="9015"/>
            </w:tabs>
            <w:rPr>
              <w:rStyle w:val="Hyperlink"/>
            </w:rPr>
          </w:pPr>
          <w:hyperlink w:anchor="_Toc8603090">
            <w:r w:rsidRPr="4AF775A2" w:rsidR="4AF775A2">
              <w:rPr>
                <w:rStyle w:val="Hyperlink"/>
              </w:rPr>
              <w:t>Included Studies</w:t>
            </w:r>
            <w:r>
              <w:tab/>
            </w:r>
            <w:r>
              <w:fldChar w:fldCharType="begin"/>
            </w:r>
            <w:r>
              <w:instrText xml:space="preserve">PAGEREF _Toc8603090 \h</w:instrText>
            </w:r>
            <w:r>
              <w:fldChar w:fldCharType="separate"/>
            </w:r>
            <w:r w:rsidRPr="4AF775A2" w:rsidR="4AF775A2">
              <w:rPr>
                <w:rStyle w:val="Hyperlink"/>
              </w:rPr>
              <w:t>30</w:t>
            </w:r>
            <w:r>
              <w:fldChar w:fldCharType="end"/>
            </w:r>
          </w:hyperlink>
        </w:p>
        <w:p w:rsidR="65665192" w:rsidP="4AF775A2" w:rsidRDefault="65665192" w14:paraId="39B61162" w14:textId="3E16C88C">
          <w:pPr>
            <w:pStyle w:val="TOC2"/>
            <w:tabs>
              <w:tab w:val="right" w:leader="dot" w:pos="9015"/>
            </w:tabs>
            <w:rPr>
              <w:rStyle w:val="Hyperlink"/>
            </w:rPr>
          </w:pPr>
          <w:hyperlink w:anchor="_Toc509803131">
            <w:r w:rsidRPr="4AF775A2" w:rsidR="4AF775A2">
              <w:rPr>
                <w:rStyle w:val="Hyperlink"/>
              </w:rPr>
              <w:t>Integration with Case Study Data</w:t>
            </w:r>
            <w:r>
              <w:tab/>
            </w:r>
            <w:r>
              <w:fldChar w:fldCharType="begin"/>
            </w:r>
            <w:r>
              <w:instrText xml:space="preserve">PAGEREF _Toc509803131 \h</w:instrText>
            </w:r>
            <w:r>
              <w:fldChar w:fldCharType="separate"/>
            </w:r>
            <w:r w:rsidRPr="4AF775A2" w:rsidR="4AF775A2">
              <w:rPr>
                <w:rStyle w:val="Hyperlink"/>
              </w:rPr>
              <w:t>31</w:t>
            </w:r>
            <w:r>
              <w:fldChar w:fldCharType="end"/>
            </w:r>
          </w:hyperlink>
        </w:p>
        <w:p w:rsidR="4AF775A2" w:rsidP="4AF775A2" w:rsidRDefault="4AF775A2" w14:paraId="35EB86FC" w14:textId="77F312E7">
          <w:pPr>
            <w:pStyle w:val="TOC3"/>
            <w:tabs>
              <w:tab w:val="right" w:leader="dot" w:pos="9015"/>
            </w:tabs>
            <w:bidi w:val="0"/>
          </w:pPr>
          <w:hyperlink w:anchor="_Toc1674756974">
            <w:r w:rsidRPr="4AF775A2" w:rsidR="4AF775A2">
              <w:rPr>
                <w:rStyle w:val="Hyperlink"/>
              </w:rPr>
              <w:t>Summary</w:t>
            </w:r>
            <w:r>
              <w:tab/>
            </w:r>
            <w:r>
              <w:fldChar w:fldCharType="begin"/>
            </w:r>
            <w:r>
              <w:instrText xml:space="preserve">PAGEREF _Toc1674756974 \h</w:instrText>
            </w:r>
            <w:r>
              <w:fldChar w:fldCharType="separate"/>
            </w:r>
            <w:r w:rsidRPr="4AF775A2" w:rsidR="4AF775A2">
              <w:rPr>
                <w:rStyle w:val="Hyperlink"/>
              </w:rPr>
              <w:t>31</w:t>
            </w:r>
            <w:r>
              <w:fldChar w:fldCharType="end"/>
            </w:r>
          </w:hyperlink>
        </w:p>
        <w:p w:rsidR="4AF775A2" w:rsidP="4AF775A2" w:rsidRDefault="4AF775A2" w14:paraId="7C06EC08" w14:textId="18C78612">
          <w:pPr>
            <w:pStyle w:val="TOC2"/>
            <w:tabs>
              <w:tab w:val="right" w:leader="dot" w:pos="9015"/>
            </w:tabs>
            <w:bidi w:val="0"/>
          </w:pPr>
          <w:hyperlink w:anchor="_Toc1265291876">
            <w:r w:rsidRPr="4AF775A2" w:rsidR="4AF775A2">
              <w:rPr>
                <w:rStyle w:val="Hyperlink"/>
              </w:rPr>
              <w:t>Ethical Considerations</w:t>
            </w:r>
            <w:r>
              <w:tab/>
            </w:r>
            <w:r>
              <w:fldChar w:fldCharType="begin"/>
            </w:r>
            <w:r>
              <w:instrText xml:space="preserve">PAGEREF _Toc1265291876 \h</w:instrText>
            </w:r>
            <w:r>
              <w:fldChar w:fldCharType="separate"/>
            </w:r>
            <w:r w:rsidRPr="4AF775A2" w:rsidR="4AF775A2">
              <w:rPr>
                <w:rStyle w:val="Hyperlink"/>
              </w:rPr>
              <w:t>31</w:t>
            </w:r>
            <w:r>
              <w:fldChar w:fldCharType="end"/>
            </w:r>
          </w:hyperlink>
        </w:p>
        <w:p w:rsidR="4AF775A2" w:rsidP="4AF775A2" w:rsidRDefault="4AF775A2" w14:paraId="7631E2E4" w14:textId="3C04292C">
          <w:pPr>
            <w:pStyle w:val="TOC2"/>
            <w:tabs>
              <w:tab w:val="right" w:leader="dot" w:pos="9015"/>
            </w:tabs>
            <w:bidi w:val="0"/>
          </w:pPr>
          <w:hyperlink w:anchor="_Toc528748858">
            <w:r w:rsidRPr="4AF775A2" w:rsidR="4AF775A2">
              <w:rPr>
                <w:rStyle w:val="Hyperlink"/>
              </w:rPr>
              <w:t>Conclusion</w:t>
            </w:r>
            <w:r>
              <w:tab/>
            </w:r>
            <w:r>
              <w:fldChar w:fldCharType="begin"/>
            </w:r>
            <w:r>
              <w:instrText xml:space="preserve">PAGEREF _Toc528748858 \h</w:instrText>
            </w:r>
            <w:r>
              <w:fldChar w:fldCharType="separate"/>
            </w:r>
            <w:r w:rsidRPr="4AF775A2" w:rsidR="4AF775A2">
              <w:rPr>
                <w:rStyle w:val="Hyperlink"/>
              </w:rPr>
              <w:t>32</w:t>
            </w:r>
            <w:r>
              <w:fldChar w:fldCharType="end"/>
            </w:r>
          </w:hyperlink>
        </w:p>
        <w:p w:rsidR="4AF775A2" w:rsidP="4AF775A2" w:rsidRDefault="4AF775A2" w14:paraId="1457CD7A" w14:textId="3ACB4CD2">
          <w:pPr>
            <w:pStyle w:val="TOC1"/>
            <w:tabs>
              <w:tab w:val="right" w:leader="dot" w:pos="9015"/>
            </w:tabs>
            <w:bidi w:val="0"/>
          </w:pPr>
          <w:hyperlink w:anchor="_Toc2004521608">
            <w:r w:rsidRPr="4AF775A2" w:rsidR="4AF775A2">
              <w:rPr>
                <w:rStyle w:val="Hyperlink"/>
              </w:rPr>
              <w:t>Findings</w:t>
            </w:r>
            <w:r>
              <w:tab/>
            </w:r>
            <w:r>
              <w:fldChar w:fldCharType="begin"/>
            </w:r>
            <w:r>
              <w:instrText xml:space="preserve">PAGEREF _Toc2004521608 \h</w:instrText>
            </w:r>
            <w:r>
              <w:fldChar w:fldCharType="separate"/>
            </w:r>
            <w:r w:rsidRPr="4AF775A2" w:rsidR="4AF775A2">
              <w:rPr>
                <w:rStyle w:val="Hyperlink"/>
              </w:rPr>
              <w:t>33</w:t>
            </w:r>
            <w:r>
              <w:fldChar w:fldCharType="end"/>
            </w:r>
          </w:hyperlink>
        </w:p>
        <w:p w:rsidR="4AF775A2" w:rsidP="4AF775A2" w:rsidRDefault="4AF775A2" w14:paraId="564F81A6" w14:textId="4C9249C1">
          <w:pPr>
            <w:pStyle w:val="TOC1"/>
            <w:tabs>
              <w:tab w:val="right" w:leader="dot" w:pos="9015"/>
            </w:tabs>
            <w:bidi w:val="0"/>
          </w:pPr>
          <w:hyperlink w:anchor="_Toc881644297">
            <w:r w:rsidRPr="4AF775A2" w:rsidR="4AF775A2">
              <w:rPr>
                <w:rStyle w:val="Hyperlink"/>
              </w:rPr>
              <w:t>RQ1: HRM Practices Influencing Retention</w:t>
            </w:r>
            <w:r>
              <w:tab/>
            </w:r>
            <w:r>
              <w:fldChar w:fldCharType="begin"/>
            </w:r>
            <w:r>
              <w:instrText xml:space="preserve">PAGEREF _Toc881644297 \h</w:instrText>
            </w:r>
            <w:r>
              <w:fldChar w:fldCharType="separate"/>
            </w:r>
            <w:r w:rsidRPr="4AF775A2" w:rsidR="4AF775A2">
              <w:rPr>
                <w:rStyle w:val="Hyperlink"/>
              </w:rPr>
              <w:t>35</w:t>
            </w:r>
            <w:r>
              <w:fldChar w:fldCharType="end"/>
            </w:r>
          </w:hyperlink>
        </w:p>
        <w:p w:rsidR="4AF775A2" w:rsidP="4AF775A2" w:rsidRDefault="4AF775A2" w14:paraId="28145B17" w14:textId="78130574">
          <w:pPr>
            <w:pStyle w:val="TOC2"/>
            <w:tabs>
              <w:tab w:val="right" w:leader="dot" w:pos="9015"/>
            </w:tabs>
            <w:bidi w:val="0"/>
          </w:pPr>
          <w:hyperlink w:anchor="_Toc958192933">
            <w:r w:rsidRPr="4AF775A2" w:rsidR="4AF775A2">
              <w:rPr>
                <w:rStyle w:val="Hyperlink"/>
              </w:rPr>
              <w:t>Communication and Organisational Support</w:t>
            </w:r>
            <w:r>
              <w:tab/>
            </w:r>
            <w:r>
              <w:fldChar w:fldCharType="begin"/>
            </w:r>
            <w:r>
              <w:instrText xml:space="preserve">PAGEREF _Toc958192933 \h</w:instrText>
            </w:r>
            <w:r>
              <w:fldChar w:fldCharType="separate"/>
            </w:r>
            <w:r w:rsidRPr="4AF775A2" w:rsidR="4AF775A2">
              <w:rPr>
                <w:rStyle w:val="Hyperlink"/>
              </w:rPr>
              <w:t>36</w:t>
            </w:r>
            <w:r>
              <w:fldChar w:fldCharType="end"/>
            </w:r>
          </w:hyperlink>
        </w:p>
        <w:p w:rsidR="4AF775A2" w:rsidP="4AF775A2" w:rsidRDefault="4AF775A2" w14:paraId="51D6D9B2" w14:textId="67B00899">
          <w:pPr>
            <w:pStyle w:val="TOC2"/>
            <w:tabs>
              <w:tab w:val="right" w:leader="dot" w:pos="9015"/>
            </w:tabs>
            <w:bidi w:val="0"/>
          </w:pPr>
          <w:hyperlink w:anchor="_Toc1577617760">
            <w:r w:rsidRPr="4AF775A2" w:rsidR="4AF775A2">
              <w:rPr>
                <w:rStyle w:val="Hyperlink"/>
              </w:rPr>
              <w:t>Financial Motivation</w:t>
            </w:r>
            <w:r>
              <w:tab/>
            </w:r>
            <w:r>
              <w:fldChar w:fldCharType="begin"/>
            </w:r>
            <w:r>
              <w:instrText xml:space="preserve">PAGEREF _Toc1577617760 \h</w:instrText>
            </w:r>
            <w:r>
              <w:fldChar w:fldCharType="separate"/>
            </w:r>
            <w:r w:rsidRPr="4AF775A2" w:rsidR="4AF775A2">
              <w:rPr>
                <w:rStyle w:val="Hyperlink"/>
              </w:rPr>
              <w:t>37</w:t>
            </w:r>
            <w:r>
              <w:fldChar w:fldCharType="end"/>
            </w:r>
          </w:hyperlink>
        </w:p>
        <w:p w:rsidR="4AF775A2" w:rsidP="4AF775A2" w:rsidRDefault="4AF775A2" w14:paraId="0D06514D" w14:textId="72AF375E">
          <w:pPr>
            <w:pStyle w:val="TOC2"/>
            <w:tabs>
              <w:tab w:val="right" w:leader="dot" w:pos="9015"/>
            </w:tabs>
            <w:bidi w:val="0"/>
          </w:pPr>
          <w:hyperlink w:anchor="_Toc1541782008">
            <w:r w:rsidRPr="4AF775A2" w:rsidR="4AF775A2">
              <w:rPr>
                <w:rStyle w:val="Hyperlink"/>
              </w:rPr>
              <w:t>Training and Development</w:t>
            </w:r>
            <w:r>
              <w:tab/>
            </w:r>
            <w:r>
              <w:fldChar w:fldCharType="begin"/>
            </w:r>
            <w:r>
              <w:instrText xml:space="preserve">PAGEREF _Toc1541782008 \h</w:instrText>
            </w:r>
            <w:r>
              <w:fldChar w:fldCharType="separate"/>
            </w:r>
            <w:r w:rsidRPr="4AF775A2" w:rsidR="4AF775A2">
              <w:rPr>
                <w:rStyle w:val="Hyperlink"/>
              </w:rPr>
              <w:t>37</w:t>
            </w:r>
            <w:r>
              <w:fldChar w:fldCharType="end"/>
            </w:r>
          </w:hyperlink>
        </w:p>
        <w:p w:rsidR="4AF775A2" w:rsidP="4AF775A2" w:rsidRDefault="4AF775A2" w14:paraId="524FF9D9" w14:textId="5A5AC19F">
          <w:pPr>
            <w:pStyle w:val="TOC2"/>
            <w:tabs>
              <w:tab w:val="right" w:leader="dot" w:pos="9015"/>
            </w:tabs>
            <w:bidi w:val="0"/>
          </w:pPr>
          <w:hyperlink w:anchor="_Toc231607201">
            <w:r w:rsidRPr="4AF775A2" w:rsidR="4AF775A2">
              <w:rPr>
                <w:rStyle w:val="Hyperlink"/>
              </w:rPr>
              <w:t>Work Schedule &amp; Conditions</w:t>
            </w:r>
            <w:r>
              <w:tab/>
            </w:r>
            <w:r>
              <w:fldChar w:fldCharType="begin"/>
            </w:r>
            <w:r>
              <w:instrText xml:space="preserve">PAGEREF _Toc231607201 \h</w:instrText>
            </w:r>
            <w:r>
              <w:fldChar w:fldCharType="separate"/>
            </w:r>
            <w:r w:rsidRPr="4AF775A2" w:rsidR="4AF775A2">
              <w:rPr>
                <w:rStyle w:val="Hyperlink"/>
              </w:rPr>
              <w:t>39</w:t>
            </w:r>
            <w:r>
              <w:fldChar w:fldCharType="end"/>
            </w:r>
          </w:hyperlink>
        </w:p>
        <w:p w:rsidR="4AF775A2" w:rsidP="4AF775A2" w:rsidRDefault="4AF775A2" w14:paraId="21CB9880" w14:textId="066BF6AF">
          <w:pPr>
            <w:pStyle w:val="TOC3"/>
            <w:tabs>
              <w:tab w:val="right" w:leader="dot" w:pos="9015"/>
            </w:tabs>
            <w:bidi w:val="0"/>
          </w:pPr>
          <w:hyperlink w:anchor="_Toc1417912740">
            <w:r w:rsidRPr="4AF775A2" w:rsidR="4AF775A2">
              <w:rPr>
                <w:rStyle w:val="Hyperlink"/>
              </w:rPr>
              <w:t>Summary of RQ1</w:t>
            </w:r>
            <w:r>
              <w:tab/>
            </w:r>
            <w:r>
              <w:fldChar w:fldCharType="begin"/>
            </w:r>
            <w:r>
              <w:instrText xml:space="preserve">PAGEREF _Toc1417912740 \h</w:instrText>
            </w:r>
            <w:r>
              <w:fldChar w:fldCharType="separate"/>
            </w:r>
            <w:r w:rsidRPr="4AF775A2" w:rsidR="4AF775A2">
              <w:rPr>
                <w:rStyle w:val="Hyperlink"/>
              </w:rPr>
              <w:t>39</w:t>
            </w:r>
            <w:r>
              <w:fldChar w:fldCharType="end"/>
            </w:r>
          </w:hyperlink>
        </w:p>
        <w:p w:rsidR="4AF775A2" w:rsidP="4AF775A2" w:rsidRDefault="4AF775A2" w14:paraId="20400ED9" w14:textId="29FCCDB0">
          <w:pPr>
            <w:pStyle w:val="TOC1"/>
            <w:tabs>
              <w:tab w:val="right" w:leader="dot" w:pos="9015"/>
            </w:tabs>
            <w:bidi w:val="0"/>
          </w:pPr>
          <w:hyperlink w:anchor="_Toc255306170">
            <w:r w:rsidRPr="4AF775A2" w:rsidR="4AF775A2">
              <w:rPr>
                <w:rStyle w:val="Hyperlink"/>
              </w:rPr>
              <w:t>Narrative synthesis of RQ2</w:t>
            </w:r>
            <w:r>
              <w:tab/>
            </w:r>
            <w:r>
              <w:fldChar w:fldCharType="begin"/>
            </w:r>
            <w:r>
              <w:instrText xml:space="preserve">PAGEREF _Toc255306170 \h</w:instrText>
            </w:r>
            <w:r>
              <w:fldChar w:fldCharType="separate"/>
            </w:r>
            <w:r w:rsidRPr="4AF775A2" w:rsidR="4AF775A2">
              <w:rPr>
                <w:rStyle w:val="Hyperlink"/>
              </w:rPr>
              <w:t>40</w:t>
            </w:r>
            <w:r>
              <w:fldChar w:fldCharType="end"/>
            </w:r>
          </w:hyperlink>
        </w:p>
        <w:p w:rsidR="4AF775A2" w:rsidP="4AF775A2" w:rsidRDefault="4AF775A2" w14:paraId="075BD82A" w14:textId="7B547C63">
          <w:pPr>
            <w:pStyle w:val="TOC2"/>
            <w:tabs>
              <w:tab w:val="right" w:leader="dot" w:pos="9015"/>
            </w:tabs>
            <w:bidi w:val="0"/>
          </w:pPr>
          <w:hyperlink w:anchor="_Toc702423903">
            <w:r w:rsidRPr="4AF775A2" w:rsidR="4AF775A2">
              <w:rPr>
                <w:rStyle w:val="Hyperlink"/>
              </w:rPr>
              <w:t>Retention and Turnover Trends</w:t>
            </w:r>
            <w:r>
              <w:tab/>
            </w:r>
            <w:r>
              <w:fldChar w:fldCharType="begin"/>
            </w:r>
            <w:r>
              <w:instrText xml:space="preserve">PAGEREF _Toc702423903 \h</w:instrText>
            </w:r>
            <w:r>
              <w:fldChar w:fldCharType="separate"/>
            </w:r>
            <w:r w:rsidRPr="4AF775A2" w:rsidR="4AF775A2">
              <w:rPr>
                <w:rStyle w:val="Hyperlink"/>
              </w:rPr>
              <w:t>41</w:t>
            </w:r>
            <w:r>
              <w:fldChar w:fldCharType="end"/>
            </w:r>
          </w:hyperlink>
        </w:p>
        <w:p w:rsidR="4AF775A2" w:rsidP="4AF775A2" w:rsidRDefault="4AF775A2" w14:paraId="641812BC" w14:textId="5061FF48">
          <w:pPr>
            <w:pStyle w:val="TOC2"/>
            <w:tabs>
              <w:tab w:val="right" w:leader="dot" w:pos="9015"/>
            </w:tabs>
            <w:bidi w:val="0"/>
          </w:pPr>
          <w:hyperlink w:anchor="_Toc311820441">
            <w:r w:rsidRPr="4AF775A2" w:rsidR="4AF775A2">
              <w:rPr>
                <w:rStyle w:val="Hyperlink"/>
              </w:rPr>
              <w:t>Engagement and Employee Experience</w:t>
            </w:r>
            <w:r>
              <w:tab/>
            </w:r>
            <w:r>
              <w:fldChar w:fldCharType="begin"/>
            </w:r>
            <w:r>
              <w:instrText xml:space="preserve">PAGEREF _Toc311820441 \h</w:instrText>
            </w:r>
            <w:r>
              <w:fldChar w:fldCharType="separate"/>
            </w:r>
            <w:r w:rsidRPr="4AF775A2" w:rsidR="4AF775A2">
              <w:rPr>
                <w:rStyle w:val="Hyperlink"/>
              </w:rPr>
              <w:t>41</w:t>
            </w:r>
            <w:r>
              <w:fldChar w:fldCharType="end"/>
            </w:r>
          </w:hyperlink>
        </w:p>
        <w:p w:rsidR="4AF775A2" w:rsidP="4AF775A2" w:rsidRDefault="4AF775A2" w14:paraId="0FCAD355" w14:textId="6583F20B">
          <w:pPr>
            <w:pStyle w:val="TOC3"/>
            <w:tabs>
              <w:tab w:val="right" w:leader="dot" w:pos="9015"/>
            </w:tabs>
            <w:bidi w:val="0"/>
          </w:pPr>
          <w:hyperlink w:anchor="_Toc2060131495">
            <w:r w:rsidRPr="4AF775A2" w:rsidR="4AF775A2">
              <w:rPr>
                <w:rStyle w:val="Hyperlink"/>
              </w:rPr>
              <w:t>Summary of RQ2</w:t>
            </w:r>
            <w:r>
              <w:tab/>
            </w:r>
            <w:r>
              <w:fldChar w:fldCharType="begin"/>
            </w:r>
            <w:r>
              <w:instrText xml:space="preserve">PAGEREF _Toc2060131495 \h</w:instrText>
            </w:r>
            <w:r>
              <w:fldChar w:fldCharType="separate"/>
            </w:r>
            <w:r w:rsidRPr="4AF775A2" w:rsidR="4AF775A2">
              <w:rPr>
                <w:rStyle w:val="Hyperlink"/>
              </w:rPr>
              <w:t>42</w:t>
            </w:r>
            <w:r>
              <w:fldChar w:fldCharType="end"/>
            </w:r>
          </w:hyperlink>
        </w:p>
        <w:p w:rsidR="4AF775A2" w:rsidP="4AF775A2" w:rsidRDefault="4AF775A2" w14:paraId="14C8AE7C" w14:textId="2DC4A282">
          <w:pPr>
            <w:pStyle w:val="TOC1"/>
            <w:tabs>
              <w:tab w:val="right" w:leader="dot" w:pos="9015"/>
            </w:tabs>
            <w:bidi w:val="0"/>
          </w:pPr>
          <w:hyperlink w:anchor="_Toc1307483">
            <w:r w:rsidRPr="4AF775A2" w:rsidR="4AF775A2">
              <w:rPr>
                <w:rStyle w:val="Hyperlink"/>
              </w:rPr>
              <w:t>Organisational Constraints: Cost Efficiency and Structural Limitations in Retention Strategies (RQ3)</w:t>
            </w:r>
            <w:r>
              <w:tab/>
            </w:r>
            <w:r>
              <w:fldChar w:fldCharType="begin"/>
            </w:r>
            <w:r>
              <w:instrText xml:space="preserve">PAGEREF _Toc1307483 \h</w:instrText>
            </w:r>
            <w:r>
              <w:fldChar w:fldCharType="separate"/>
            </w:r>
            <w:r w:rsidRPr="4AF775A2" w:rsidR="4AF775A2">
              <w:rPr>
                <w:rStyle w:val="Hyperlink"/>
              </w:rPr>
              <w:t>42</w:t>
            </w:r>
            <w:r>
              <w:fldChar w:fldCharType="end"/>
            </w:r>
          </w:hyperlink>
        </w:p>
        <w:p w:rsidR="4AF775A2" w:rsidP="4AF775A2" w:rsidRDefault="4AF775A2" w14:paraId="06B8D2CD" w14:textId="50E9BB8B">
          <w:pPr>
            <w:pStyle w:val="TOC2"/>
            <w:tabs>
              <w:tab w:val="right" w:leader="dot" w:pos="9015"/>
            </w:tabs>
            <w:bidi w:val="0"/>
          </w:pPr>
          <w:hyperlink w:anchor="_Toc830182720">
            <w:r w:rsidRPr="4AF775A2" w:rsidR="4AF775A2">
              <w:rPr>
                <w:rStyle w:val="Hyperlink"/>
              </w:rPr>
              <w:t>Working Conditions and Operational Demands</w:t>
            </w:r>
            <w:r>
              <w:tab/>
            </w:r>
            <w:r>
              <w:fldChar w:fldCharType="begin"/>
            </w:r>
            <w:r>
              <w:instrText xml:space="preserve">PAGEREF _Toc830182720 \h</w:instrText>
            </w:r>
            <w:r>
              <w:fldChar w:fldCharType="separate"/>
            </w:r>
            <w:r w:rsidRPr="4AF775A2" w:rsidR="4AF775A2">
              <w:rPr>
                <w:rStyle w:val="Hyperlink"/>
              </w:rPr>
              <w:t>43</w:t>
            </w:r>
            <w:r>
              <w:fldChar w:fldCharType="end"/>
            </w:r>
          </w:hyperlink>
        </w:p>
        <w:p w:rsidR="4AF775A2" w:rsidP="4AF775A2" w:rsidRDefault="4AF775A2" w14:paraId="5435129D" w14:textId="7ED0948D">
          <w:pPr>
            <w:pStyle w:val="TOC3"/>
            <w:tabs>
              <w:tab w:val="right" w:leader="dot" w:pos="9015"/>
            </w:tabs>
            <w:bidi w:val="0"/>
          </w:pPr>
          <w:hyperlink w:anchor="_Toc1162769968">
            <w:r w:rsidRPr="4AF775A2" w:rsidR="4AF775A2">
              <w:rPr>
                <w:rStyle w:val="Hyperlink"/>
              </w:rPr>
              <w:t>Summary of Findings for RQ3</w:t>
            </w:r>
            <w:r>
              <w:tab/>
            </w:r>
            <w:r>
              <w:fldChar w:fldCharType="begin"/>
            </w:r>
            <w:r>
              <w:instrText xml:space="preserve">PAGEREF _Toc1162769968 \h</w:instrText>
            </w:r>
            <w:r>
              <w:fldChar w:fldCharType="separate"/>
            </w:r>
            <w:r w:rsidRPr="4AF775A2" w:rsidR="4AF775A2">
              <w:rPr>
                <w:rStyle w:val="Hyperlink"/>
              </w:rPr>
              <w:t>43</w:t>
            </w:r>
            <w:r>
              <w:fldChar w:fldCharType="end"/>
            </w:r>
          </w:hyperlink>
        </w:p>
        <w:p w:rsidR="4AF775A2" w:rsidP="4AF775A2" w:rsidRDefault="4AF775A2" w14:paraId="3933C82B" w14:textId="260BA3DA">
          <w:pPr>
            <w:pStyle w:val="TOC1"/>
            <w:tabs>
              <w:tab w:val="right" w:leader="dot" w:pos="9015"/>
            </w:tabs>
            <w:bidi w:val="0"/>
          </w:pPr>
          <w:hyperlink w:anchor="_Toc175273582">
            <w:r w:rsidRPr="4AF775A2" w:rsidR="4AF775A2">
              <w:rPr>
                <w:rStyle w:val="Hyperlink"/>
              </w:rPr>
              <w:t>External Labour Market Restrictions</w:t>
            </w:r>
            <w:r>
              <w:tab/>
            </w:r>
            <w:r>
              <w:fldChar w:fldCharType="begin"/>
            </w:r>
            <w:r>
              <w:instrText xml:space="preserve">PAGEREF _Toc175273582 \h</w:instrText>
            </w:r>
            <w:r>
              <w:fldChar w:fldCharType="separate"/>
            </w:r>
            <w:r w:rsidRPr="4AF775A2" w:rsidR="4AF775A2">
              <w:rPr>
                <w:rStyle w:val="Hyperlink"/>
              </w:rPr>
              <w:t>44</w:t>
            </w:r>
            <w:r>
              <w:fldChar w:fldCharType="end"/>
            </w:r>
          </w:hyperlink>
        </w:p>
        <w:p w:rsidR="4AF775A2" w:rsidP="4AF775A2" w:rsidRDefault="4AF775A2" w14:paraId="489D4A08" w14:textId="34A10BB8">
          <w:pPr>
            <w:pStyle w:val="TOC2"/>
            <w:tabs>
              <w:tab w:val="right" w:leader="dot" w:pos="9015"/>
            </w:tabs>
            <w:bidi w:val="0"/>
          </w:pPr>
          <w:hyperlink w:anchor="_Toc2030052575">
            <w:r w:rsidRPr="4AF775A2" w:rsidR="4AF775A2">
              <w:rPr>
                <w:rStyle w:val="Hyperlink"/>
              </w:rPr>
              <w:t>Pilot Shortage and Labour Market Competition</w:t>
            </w:r>
            <w:r>
              <w:tab/>
            </w:r>
            <w:r>
              <w:fldChar w:fldCharType="begin"/>
            </w:r>
            <w:r>
              <w:instrText xml:space="preserve">PAGEREF _Toc2030052575 \h</w:instrText>
            </w:r>
            <w:r>
              <w:fldChar w:fldCharType="separate"/>
            </w:r>
            <w:r w:rsidRPr="4AF775A2" w:rsidR="4AF775A2">
              <w:rPr>
                <w:rStyle w:val="Hyperlink"/>
              </w:rPr>
              <w:t>44</w:t>
            </w:r>
            <w:r>
              <w:fldChar w:fldCharType="end"/>
            </w:r>
          </w:hyperlink>
        </w:p>
        <w:p w:rsidR="4AF775A2" w:rsidP="4AF775A2" w:rsidRDefault="4AF775A2" w14:paraId="628364D9" w14:textId="11373117">
          <w:pPr>
            <w:pStyle w:val="TOC3"/>
            <w:tabs>
              <w:tab w:val="right" w:leader="dot" w:pos="9015"/>
            </w:tabs>
            <w:bidi w:val="0"/>
          </w:pPr>
          <w:hyperlink w:anchor="_Toc1097544675">
            <w:r w:rsidRPr="4AF775A2" w:rsidR="4AF775A2">
              <w:rPr>
                <w:rStyle w:val="Hyperlink"/>
              </w:rPr>
              <w:t>Labour Mobility and Career Opportunities</w:t>
            </w:r>
            <w:r>
              <w:tab/>
            </w:r>
            <w:r>
              <w:fldChar w:fldCharType="begin"/>
            </w:r>
            <w:r>
              <w:instrText xml:space="preserve">PAGEREF _Toc1097544675 \h</w:instrText>
            </w:r>
            <w:r>
              <w:fldChar w:fldCharType="separate"/>
            </w:r>
            <w:r w:rsidRPr="4AF775A2" w:rsidR="4AF775A2">
              <w:rPr>
                <w:rStyle w:val="Hyperlink"/>
              </w:rPr>
              <w:t>44</w:t>
            </w:r>
            <w:r>
              <w:fldChar w:fldCharType="end"/>
            </w:r>
          </w:hyperlink>
        </w:p>
        <w:p w:rsidR="4AF775A2" w:rsidP="4AF775A2" w:rsidRDefault="4AF775A2" w14:paraId="5096F143" w14:textId="5505DA09">
          <w:pPr>
            <w:pStyle w:val="TOC2"/>
            <w:tabs>
              <w:tab w:val="right" w:leader="dot" w:pos="9015"/>
            </w:tabs>
            <w:bidi w:val="0"/>
          </w:pPr>
          <w:hyperlink w:anchor="_Toc1503745252">
            <w:r w:rsidRPr="4AF775A2" w:rsidR="4AF775A2">
              <w:rPr>
                <w:rStyle w:val="Hyperlink"/>
              </w:rPr>
              <w:t>Summary of RQ4</w:t>
            </w:r>
            <w:r>
              <w:tab/>
            </w:r>
            <w:r>
              <w:fldChar w:fldCharType="begin"/>
            </w:r>
            <w:r>
              <w:instrText xml:space="preserve">PAGEREF _Toc1503745252 \h</w:instrText>
            </w:r>
            <w:r>
              <w:fldChar w:fldCharType="separate"/>
            </w:r>
            <w:r w:rsidRPr="4AF775A2" w:rsidR="4AF775A2">
              <w:rPr>
                <w:rStyle w:val="Hyperlink"/>
              </w:rPr>
              <w:t>44</w:t>
            </w:r>
            <w:r>
              <w:fldChar w:fldCharType="end"/>
            </w:r>
          </w:hyperlink>
        </w:p>
        <w:p w:rsidR="4AF775A2" w:rsidP="4AF775A2" w:rsidRDefault="4AF775A2" w14:paraId="55820675" w14:textId="7F4092AE">
          <w:pPr>
            <w:pStyle w:val="TOC3"/>
            <w:tabs>
              <w:tab w:val="right" w:leader="dot" w:pos="9015"/>
            </w:tabs>
            <w:bidi w:val="0"/>
          </w:pPr>
          <w:hyperlink w:anchor="_Toc1429619393">
            <w:r w:rsidRPr="4AF775A2" w:rsidR="4AF775A2">
              <w:rPr>
                <w:rStyle w:val="Hyperlink"/>
              </w:rPr>
              <w:t>Discussion</w:t>
            </w:r>
            <w:r>
              <w:tab/>
            </w:r>
            <w:r>
              <w:fldChar w:fldCharType="begin"/>
            </w:r>
            <w:r>
              <w:instrText xml:space="preserve">PAGEREF _Toc1429619393 \h</w:instrText>
            </w:r>
            <w:r>
              <w:fldChar w:fldCharType="separate"/>
            </w:r>
            <w:r w:rsidRPr="4AF775A2" w:rsidR="4AF775A2">
              <w:rPr>
                <w:rStyle w:val="Hyperlink"/>
              </w:rPr>
              <w:t>45</w:t>
            </w:r>
            <w:r>
              <w:fldChar w:fldCharType="end"/>
            </w:r>
          </w:hyperlink>
        </w:p>
        <w:p w:rsidR="4AF775A2" w:rsidP="4AF775A2" w:rsidRDefault="4AF775A2" w14:paraId="71C33DBE" w14:textId="41DFEF90">
          <w:pPr>
            <w:pStyle w:val="TOC2"/>
            <w:tabs>
              <w:tab w:val="right" w:leader="dot" w:pos="9015"/>
            </w:tabs>
            <w:bidi w:val="0"/>
          </w:pPr>
          <w:hyperlink w:anchor="_Toc1313484454">
            <w:r w:rsidRPr="4AF775A2" w:rsidR="4AF775A2">
              <w:rPr>
                <w:rStyle w:val="Hyperlink"/>
              </w:rPr>
              <w:t>The Limits of Engagement as a Retention Strategy</w:t>
            </w:r>
            <w:r>
              <w:tab/>
            </w:r>
            <w:r>
              <w:fldChar w:fldCharType="begin"/>
            </w:r>
            <w:r>
              <w:instrText xml:space="preserve">PAGEREF _Toc1313484454 \h</w:instrText>
            </w:r>
            <w:r>
              <w:fldChar w:fldCharType="separate"/>
            </w:r>
            <w:r w:rsidRPr="4AF775A2" w:rsidR="4AF775A2">
              <w:rPr>
                <w:rStyle w:val="Hyperlink"/>
              </w:rPr>
              <w:t>46</w:t>
            </w:r>
            <w:r>
              <w:fldChar w:fldCharType="end"/>
            </w:r>
          </w:hyperlink>
        </w:p>
        <w:p w:rsidR="4AF775A2" w:rsidP="4AF775A2" w:rsidRDefault="4AF775A2" w14:paraId="1B608E10" w14:textId="2E4EE41D">
          <w:pPr>
            <w:pStyle w:val="TOC2"/>
            <w:tabs>
              <w:tab w:val="right" w:leader="dot" w:pos="9015"/>
            </w:tabs>
            <w:bidi w:val="0"/>
          </w:pPr>
          <w:hyperlink w:anchor="_Toc1752538881">
            <w:r w:rsidRPr="4AF775A2" w:rsidR="4AF775A2">
              <w:rPr>
                <w:rStyle w:val="Hyperlink"/>
              </w:rPr>
              <w:t>Training as Both a Retention Tool and Mobility Enabler</w:t>
            </w:r>
            <w:r>
              <w:tab/>
            </w:r>
            <w:r>
              <w:fldChar w:fldCharType="begin"/>
            </w:r>
            <w:r>
              <w:instrText xml:space="preserve">PAGEREF _Toc1752538881 \h</w:instrText>
            </w:r>
            <w:r>
              <w:fldChar w:fldCharType="separate"/>
            </w:r>
            <w:r w:rsidRPr="4AF775A2" w:rsidR="4AF775A2">
              <w:rPr>
                <w:rStyle w:val="Hyperlink"/>
              </w:rPr>
              <w:t>46</w:t>
            </w:r>
            <w:r>
              <w:fldChar w:fldCharType="end"/>
            </w:r>
          </w:hyperlink>
        </w:p>
        <w:p w:rsidR="4AF775A2" w:rsidP="4AF775A2" w:rsidRDefault="4AF775A2" w14:paraId="7B0A4A04" w14:textId="6AA1E54F">
          <w:pPr>
            <w:pStyle w:val="TOC2"/>
            <w:tabs>
              <w:tab w:val="right" w:leader="dot" w:pos="9015"/>
            </w:tabs>
            <w:bidi w:val="0"/>
          </w:pPr>
          <w:hyperlink w:anchor="_Toc2126914499">
            <w:r w:rsidRPr="4AF775A2" w:rsidR="4AF775A2">
              <w:rPr>
                <w:rStyle w:val="Hyperlink"/>
              </w:rPr>
              <w:t>Structural Boundaries of the Low-Cost Airline Model</w:t>
            </w:r>
            <w:r>
              <w:tab/>
            </w:r>
            <w:r>
              <w:fldChar w:fldCharType="begin"/>
            </w:r>
            <w:r>
              <w:instrText xml:space="preserve">PAGEREF _Toc2126914499 \h</w:instrText>
            </w:r>
            <w:r>
              <w:fldChar w:fldCharType="separate"/>
            </w:r>
            <w:r w:rsidRPr="4AF775A2" w:rsidR="4AF775A2">
              <w:rPr>
                <w:rStyle w:val="Hyperlink"/>
              </w:rPr>
              <w:t>47</w:t>
            </w:r>
            <w:r>
              <w:fldChar w:fldCharType="end"/>
            </w:r>
          </w:hyperlink>
        </w:p>
        <w:p w:rsidR="4AF775A2" w:rsidP="4AF775A2" w:rsidRDefault="4AF775A2" w14:paraId="0E32850D" w14:textId="6FB7F217">
          <w:pPr>
            <w:pStyle w:val="TOC2"/>
            <w:tabs>
              <w:tab w:val="right" w:leader="dot" w:pos="9015"/>
            </w:tabs>
            <w:bidi w:val="0"/>
          </w:pPr>
          <w:hyperlink w:anchor="_Toc1056013604">
            <w:r w:rsidRPr="4AF775A2" w:rsidR="4AF775A2">
              <w:rPr>
                <w:rStyle w:val="Hyperlink"/>
              </w:rPr>
              <w:t>The Dominance of External Labour Market Forces</w:t>
            </w:r>
            <w:r>
              <w:tab/>
            </w:r>
            <w:r>
              <w:fldChar w:fldCharType="begin"/>
            </w:r>
            <w:r>
              <w:instrText xml:space="preserve">PAGEREF _Toc1056013604 \h</w:instrText>
            </w:r>
            <w:r>
              <w:fldChar w:fldCharType="separate"/>
            </w:r>
            <w:r w:rsidRPr="4AF775A2" w:rsidR="4AF775A2">
              <w:rPr>
                <w:rStyle w:val="Hyperlink"/>
              </w:rPr>
              <w:t>47</w:t>
            </w:r>
            <w:r>
              <w:fldChar w:fldCharType="end"/>
            </w:r>
          </w:hyperlink>
        </w:p>
        <w:p w:rsidR="4AF775A2" w:rsidP="4AF775A2" w:rsidRDefault="4AF775A2" w14:paraId="64B0A680" w14:textId="74CEA41B">
          <w:pPr>
            <w:pStyle w:val="TOC1"/>
            <w:tabs>
              <w:tab w:val="right" w:leader="dot" w:pos="9015"/>
            </w:tabs>
            <w:bidi w:val="0"/>
          </w:pPr>
          <w:hyperlink w:anchor="_Toc2094666624">
            <w:r w:rsidRPr="4AF775A2" w:rsidR="4AF775A2">
              <w:rPr>
                <w:rStyle w:val="Hyperlink"/>
              </w:rPr>
              <w:t>Conclusion</w:t>
            </w:r>
            <w:r>
              <w:tab/>
            </w:r>
            <w:r>
              <w:fldChar w:fldCharType="begin"/>
            </w:r>
            <w:r>
              <w:instrText xml:space="preserve">PAGEREF _Toc2094666624 \h</w:instrText>
            </w:r>
            <w:r>
              <w:fldChar w:fldCharType="separate"/>
            </w:r>
            <w:r w:rsidRPr="4AF775A2" w:rsidR="4AF775A2">
              <w:rPr>
                <w:rStyle w:val="Hyperlink"/>
              </w:rPr>
              <w:t>47</w:t>
            </w:r>
            <w:r>
              <w:fldChar w:fldCharType="end"/>
            </w:r>
          </w:hyperlink>
        </w:p>
        <w:p w:rsidR="4AF775A2" w:rsidP="4AF775A2" w:rsidRDefault="4AF775A2" w14:paraId="52E1C08C" w14:textId="7FF5A7D5">
          <w:pPr>
            <w:pStyle w:val="TOC1"/>
            <w:tabs>
              <w:tab w:val="right" w:leader="dot" w:pos="9015"/>
            </w:tabs>
            <w:bidi w:val="0"/>
          </w:pPr>
          <w:hyperlink w:anchor="_Toc1439461662">
            <w:r w:rsidRPr="4AF775A2" w:rsidR="4AF775A2">
              <w:rPr>
                <w:rStyle w:val="Hyperlink"/>
              </w:rPr>
              <w:t>References</w:t>
            </w:r>
            <w:r>
              <w:tab/>
            </w:r>
            <w:r>
              <w:fldChar w:fldCharType="begin"/>
            </w:r>
            <w:r>
              <w:instrText xml:space="preserve">PAGEREF _Toc1439461662 \h</w:instrText>
            </w:r>
            <w:r>
              <w:fldChar w:fldCharType="separate"/>
            </w:r>
            <w:r w:rsidRPr="4AF775A2" w:rsidR="4AF775A2">
              <w:rPr>
                <w:rStyle w:val="Hyperlink"/>
              </w:rPr>
              <w:t>51</w:t>
            </w:r>
            <w:r>
              <w:fldChar w:fldCharType="end"/>
            </w:r>
          </w:hyperlink>
        </w:p>
        <w:p w:rsidR="4AF775A2" w:rsidP="4AF775A2" w:rsidRDefault="4AF775A2" w14:paraId="118A57F5" w14:textId="1B86C7C0">
          <w:pPr>
            <w:pStyle w:val="TOC1"/>
            <w:tabs>
              <w:tab w:val="right" w:leader="dot" w:pos="9015"/>
            </w:tabs>
            <w:bidi w:val="0"/>
          </w:pPr>
          <w:hyperlink w:anchor="_Toc401894114">
            <w:r w:rsidRPr="4AF775A2" w:rsidR="4AF775A2">
              <w:rPr>
                <w:rStyle w:val="Hyperlink"/>
              </w:rPr>
              <w:t>Appendix 1 – Literature Review Table</w:t>
            </w:r>
            <w:r>
              <w:tab/>
            </w:r>
            <w:r>
              <w:fldChar w:fldCharType="begin"/>
            </w:r>
            <w:r>
              <w:instrText xml:space="preserve">PAGEREF _Toc401894114 \h</w:instrText>
            </w:r>
            <w:r>
              <w:fldChar w:fldCharType="separate"/>
            </w:r>
            <w:r w:rsidRPr="4AF775A2" w:rsidR="4AF775A2">
              <w:rPr>
                <w:rStyle w:val="Hyperlink"/>
              </w:rPr>
              <w:t>58</w:t>
            </w:r>
            <w:r>
              <w:fldChar w:fldCharType="end"/>
            </w:r>
          </w:hyperlink>
        </w:p>
        <w:p w:rsidR="4AF775A2" w:rsidP="4AF775A2" w:rsidRDefault="4AF775A2" w14:paraId="58FB9C61" w14:textId="5BB7D808">
          <w:pPr>
            <w:pStyle w:val="TOC1"/>
            <w:tabs>
              <w:tab w:val="right" w:leader="dot" w:pos="9015"/>
            </w:tabs>
            <w:bidi w:val="0"/>
          </w:pPr>
          <w:hyperlink w:anchor="_Toc1179659164">
            <w:r w:rsidRPr="4AF775A2" w:rsidR="4AF775A2">
              <w:rPr>
                <w:rStyle w:val="Hyperlink"/>
              </w:rPr>
              <w:t>Appendix 2 - Thematic coding table.</w:t>
            </w:r>
            <w:r>
              <w:tab/>
            </w:r>
            <w:r>
              <w:fldChar w:fldCharType="begin"/>
            </w:r>
            <w:r>
              <w:instrText xml:space="preserve">PAGEREF _Toc1179659164 \h</w:instrText>
            </w:r>
            <w:r>
              <w:fldChar w:fldCharType="separate"/>
            </w:r>
            <w:r w:rsidRPr="4AF775A2" w:rsidR="4AF775A2">
              <w:rPr>
                <w:rStyle w:val="Hyperlink"/>
              </w:rPr>
              <w:t>60</w:t>
            </w:r>
            <w:r>
              <w:fldChar w:fldCharType="end"/>
            </w:r>
          </w:hyperlink>
        </w:p>
        <w:p w:rsidR="4AF775A2" w:rsidP="4AF775A2" w:rsidRDefault="4AF775A2" w14:paraId="2D03AE0C" w14:textId="23498540">
          <w:pPr>
            <w:pStyle w:val="TOC1"/>
            <w:tabs>
              <w:tab w:val="right" w:leader="dot" w:pos="9015"/>
            </w:tabs>
            <w:bidi w:val="0"/>
          </w:pPr>
          <w:hyperlink w:anchor="_Toc1189582432">
            <w:r w:rsidRPr="4AF775A2" w:rsidR="4AF775A2">
              <w:rPr>
                <w:rStyle w:val="Hyperlink"/>
              </w:rPr>
              <w:t>Appendix 3 - PRYSMA</w:t>
            </w:r>
            <w:r>
              <w:tab/>
            </w:r>
            <w:r>
              <w:fldChar w:fldCharType="begin"/>
            </w:r>
            <w:r>
              <w:instrText xml:space="preserve">PAGEREF _Toc1189582432 \h</w:instrText>
            </w:r>
            <w:r>
              <w:fldChar w:fldCharType="separate"/>
            </w:r>
            <w:r w:rsidRPr="4AF775A2" w:rsidR="4AF775A2">
              <w:rPr>
                <w:rStyle w:val="Hyperlink"/>
              </w:rPr>
              <w:t>60</w:t>
            </w:r>
            <w:r>
              <w:fldChar w:fldCharType="end"/>
            </w:r>
          </w:hyperlink>
        </w:p>
        <w:p w:rsidR="65665192" w:rsidP="4AF775A2" w:rsidRDefault="65665192" w14:paraId="71A4E955" w14:textId="377BF961">
          <w:pPr>
            <w:pStyle w:val="TOC1"/>
            <w:tabs>
              <w:tab w:val="right" w:leader="dot" w:pos="9015"/>
            </w:tabs>
            <w:bidi w:val="0"/>
            <w:spacing w:before="120" w:beforeAutospacing="off" w:after="120" w:afterAutospacing="off" w:line="360" w:lineRule="auto"/>
          </w:pPr>
          <w:r>
            <w:fldChar w:fldCharType="end"/>
          </w:r>
        </w:p>
      </w:sdtContent>
    </w:sdt>
    <w:p w:rsidR="4AF775A2" w:rsidP="4AF775A2" w:rsidRDefault="4AF775A2" w14:paraId="0B4DAECD" w14:textId="4F8AF037">
      <w:pPr>
        <w:pStyle w:val="Heading1"/>
        <w:bidi w:val="0"/>
        <w:spacing w:before="0" w:beforeAutospacing="off" w:after="0" w:afterAutospacing="off" w:line="360" w:lineRule="auto"/>
        <w:jc w:val="both"/>
        <w:rPr>
          <w:rFonts w:ascii="Arial" w:hAnsi="Arial" w:eastAsia="Arial" w:cs="Arial"/>
          <w:noProof w:val="0"/>
          <w:sz w:val="24"/>
          <w:szCs w:val="24"/>
          <w:lang w:val="en-GB"/>
        </w:rPr>
      </w:pPr>
    </w:p>
    <w:p w:rsidR="4AF775A2" w:rsidRDefault="4AF775A2" w14:paraId="71B549A3" w14:textId="3A104541">
      <w:r>
        <w:br w:type="page"/>
      </w:r>
    </w:p>
    <w:p w:rsidR="38D12EC5" w:rsidP="4AF775A2" w:rsidRDefault="38D12EC5" w14:paraId="554EA553" w14:textId="4A509680">
      <w:pPr>
        <w:pStyle w:val="Heading1"/>
        <w:bidi w:val="0"/>
        <w:jc w:val="center"/>
        <w:rPr>
          <w:rFonts w:ascii="Arial Nova" w:hAnsi="Arial Nova" w:eastAsia="Arial Nova" w:cs="Arial Nova" w:asciiTheme="minorAscii" w:hAnsiTheme="minorAscii" w:eastAsiaTheme="minorAscii" w:cstheme="minorAscii"/>
          <w:noProof w:val="0"/>
          <w:sz w:val="24"/>
          <w:szCs w:val="24"/>
          <w:lang w:val="en-GB"/>
        </w:rPr>
      </w:pPr>
      <w:bookmarkStart w:name="_Toc734440692" w:id="81776277"/>
      <w:r w:rsidRPr="4AF775A2" w:rsidR="38D12EC5">
        <w:rPr>
          <w:noProof w:val="0"/>
          <w:lang w:val="en-GB"/>
        </w:rPr>
        <w:t>Employee Engagement, Retention, and Skill Shortages in easyJet: An Evaluation of Human Resource Management Practices.</w:t>
      </w:r>
      <w:bookmarkEnd w:id="81776277"/>
    </w:p>
    <w:p w:rsidR="4AF775A2" w:rsidP="4AF775A2" w:rsidRDefault="4AF775A2" w14:paraId="19CEAFE9" w14:textId="24EEE64E">
      <w:pPr>
        <w:pStyle w:val="Normal"/>
        <w:bidi w:val="0"/>
        <w:rPr>
          <w:noProof w:val="0"/>
          <w:lang w:val="en-GB"/>
        </w:rPr>
      </w:pPr>
    </w:p>
    <w:p w:rsidR="4AF775A2" w:rsidP="4AF775A2" w:rsidRDefault="4AF775A2" w14:paraId="4C8AB90C" w14:textId="0E66E54B">
      <w:pPr>
        <w:pStyle w:val="Heading1"/>
        <w:bidi w:val="0"/>
        <w:spacing w:before="0" w:beforeAutospacing="off" w:after="0" w:afterAutospacing="off" w:line="360" w:lineRule="auto"/>
        <w:jc w:val="both"/>
        <w:rPr>
          <w:rFonts w:ascii="Arial" w:hAnsi="Arial" w:eastAsia="Arial" w:cs="Arial"/>
          <w:noProof w:val="0"/>
          <w:sz w:val="22"/>
          <w:szCs w:val="22"/>
          <w:lang w:val="en-GB"/>
        </w:rPr>
      </w:pPr>
    </w:p>
    <w:p w:rsidR="65665192" w:rsidP="4AF775A2" w:rsidRDefault="65665192" w14:paraId="2E31025B" w14:textId="39BB642F">
      <w:pPr>
        <w:pStyle w:val="Heading1"/>
        <w:bidi w:val="0"/>
        <w:spacing w:before="0" w:beforeAutospacing="off" w:after="0" w:afterAutospacing="off" w:line="360" w:lineRule="auto"/>
        <w:jc w:val="both"/>
        <w:rPr>
          <w:rFonts w:ascii="Arial" w:hAnsi="Arial" w:eastAsia="Arial" w:cs="Arial"/>
          <w:noProof w:val="0"/>
          <w:sz w:val="22"/>
          <w:szCs w:val="22"/>
          <w:lang w:val="en-GB"/>
        </w:rPr>
      </w:pPr>
      <w:bookmarkStart w:name="_Toc1323507692" w:id="1003605980"/>
      <w:r w:rsidRPr="4AF775A2" w:rsidR="13B1EE2A">
        <w:rPr>
          <w:rFonts w:ascii="Arial" w:hAnsi="Arial" w:eastAsia="Arial" w:cs="Arial"/>
          <w:noProof w:val="0"/>
          <w:sz w:val="22"/>
          <w:szCs w:val="22"/>
          <w:lang w:val="en-GB"/>
        </w:rPr>
        <w:t xml:space="preserve">Introduction, </w:t>
      </w:r>
      <w:r w:rsidRPr="4AF775A2" w:rsidR="254B2BBA">
        <w:rPr>
          <w:rFonts w:ascii="Arial" w:hAnsi="Arial" w:eastAsia="Arial" w:cs="Arial"/>
          <w:noProof w:val="0"/>
          <w:sz w:val="22"/>
          <w:szCs w:val="22"/>
          <w:lang w:val="en-GB"/>
        </w:rPr>
        <w:t xml:space="preserve">Background and </w:t>
      </w:r>
      <w:r w:rsidRPr="4AF775A2" w:rsidR="72FA0DD6">
        <w:rPr>
          <w:rFonts w:ascii="Arial" w:hAnsi="Arial" w:eastAsia="Arial" w:cs="Arial"/>
          <w:noProof w:val="0"/>
          <w:sz w:val="22"/>
          <w:szCs w:val="22"/>
          <w:lang w:val="en-GB"/>
        </w:rPr>
        <w:t>Context</w:t>
      </w:r>
      <w:bookmarkEnd w:id="1003605980"/>
    </w:p>
    <w:p w:rsidR="3DA7CA32" w:rsidP="4AF775A2" w:rsidRDefault="3DA7CA32" w14:paraId="25F6A3F4" w14:textId="5D03C896">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 xml:space="preserve">The aviation industry is undergoing considerable transformation, marked by structural, operational, and workforce-related challenges that have intensified in the post-coronavirus era. Among these challenges, pilot retention has become a critical concern with substantial implications for organisational performance, safety, and long-term stability. Recent research </w:t>
      </w:r>
      <w:r w:rsidRPr="4AF775A2" w:rsidR="3DA7CA32">
        <w:rPr>
          <w:rFonts w:ascii="Arial" w:hAnsi="Arial" w:eastAsia="Arial" w:cs="Arial"/>
          <w:noProof w:val="0"/>
          <w:sz w:val="22"/>
          <w:szCs w:val="22"/>
          <w:lang w:val="en-GB"/>
        </w:rPr>
        <w:t>indicates</w:t>
      </w:r>
      <w:r w:rsidRPr="4AF775A2" w:rsidR="3DA7CA32">
        <w:rPr>
          <w:rFonts w:ascii="Arial" w:hAnsi="Arial" w:eastAsia="Arial" w:cs="Arial"/>
          <w:noProof w:val="0"/>
          <w:sz w:val="22"/>
          <w:szCs w:val="22"/>
          <w:lang w:val="en-GB"/>
        </w:rPr>
        <w:t xml:space="preserve"> a growing global shortage of qualified pilots, driven by increased air travel, demand limited on training capacity, and extended qualification timelines (Lutte and Mills, 2019; </w:t>
      </w:r>
      <w:r w:rsidRPr="4AF775A2" w:rsidR="5FD02165">
        <w:rPr>
          <w:rFonts w:ascii="Arial" w:hAnsi="Arial" w:eastAsia="Arial" w:cs="Arial"/>
          <w:noProof w:val="0"/>
          <w:sz w:val="22"/>
          <w:szCs w:val="22"/>
          <w:lang w:val="en-GB"/>
        </w:rPr>
        <w:t>Klapper &amp; Ruff-Stahl</w:t>
      </w:r>
      <w:r w:rsidRPr="4AF775A2" w:rsidR="3DA7CA32">
        <w:rPr>
          <w:rFonts w:ascii="Arial" w:hAnsi="Arial" w:eastAsia="Arial" w:cs="Arial"/>
          <w:noProof w:val="0"/>
          <w:sz w:val="22"/>
          <w:szCs w:val="22"/>
          <w:lang w:val="en-GB"/>
        </w:rPr>
        <w:t xml:space="preserve">, 2019). This shortage has been </w:t>
      </w:r>
      <w:r w:rsidRPr="4AF775A2" w:rsidR="3DA7CA32">
        <w:rPr>
          <w:rFonts w:ascii="Arial" w:hAnsi="Arial" w:eastAsia="Arial" w:cs="Arial"/>
          <w:noProof w:val="0"/>
          <w:sz w:val="22"/>
          <w:szCs w:val="22"/>
          <w:lang w:val="en-GB"/>
        </w:rPr>
        <w:t>exacerbated</w:t>
      </w:r>
      <w:r w:rsidRPr="4AF775A2" w:rsidR="3DA7CA32">
        <w:rPr>
          <w:rFonts w:ascii="Arial" w:hAnsi="Arial" w:eastAsia="Arial" w:cs="Arial"/>
          <w:noProof w:val="0"/>
          <w:sz w:val="22"/>
          <w:szCs w:val="22"/>
          <w:lang w:val="en-GB"/>
        </w:rPr>
        <w:t xml:space="preserve"> by the post-pandemic recovery, as airlines rapidly expanded operations to meet renewed passenger demand. By 2023, seat capacity nearly returned to pre-pandemic levels, yet the supply of trained pilots remained insufficient, with training bottlenecks delaying entry by up to a year (International Air Transport Association, 2026). Concurrently, heightened competition for a limited talent pool has increased pilot wages, underscoring the scarcity and key importance of this workforce (Civil Aviation Authority, 2026).</w:t>
      </w:r>
    </w:p>
    <w:p w:rsidR="3DA7CA32" w:rsidP="4AF775A2" w:rsidRDefault="3DA7CA32" w14:paraId="066DB876" w14:textId="32491A63">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These developments elevate pilot retention from an operational issue to a strategic requirement. High pilot turnover disrupts scheduling, increases recruitment and training costs, and places additional pressure on organisational performance. In skill-intensive industries such as aviation, where roles demand extensive training, regulatory compliance, and significant responsibility, the loss of experienced employees constitutes a substantial organisational risk (Efthymiou et al., 2021). Therefore, airlines must implement proactive and sustainable workforce management strategies to ensure operational continuity and maintain competitive advantage.</w:t>
      </w:r>
    </w:p>
    <w:p w:rsidR="3DA7CA32" w:rsidP="4AF775A2" w:rsidRDefault="3DA7CA32" w14:paraId="435EDFC4" w14:textId="39B2255C">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 xml:space="preserve">The issue of pilot retention is especially acute within the low-cost carrier (LCC) sector. The LCC business model prioritises cost efficiency, high </w:t>
      </w:r>
      <w:r w:rsidRPr="4AF775A2" w:rsidR="3DA7CA32">
        <w:rPr>
          <w:rFonts w:ascii="Arial" w:hAnsi="Arial" w:eastAsia="Arial" w:cs="Arial"/>
          <w:noProof w:val="0"/>
          <w:sz w:val="22"/>
          <w:szCs w:val="22"/>
          <w:lang w:val="en-GB"/>
        </w:rPr>
        <w:t>aircraft</w:t>
      </w:r>
      <w:r w:rsidRPr="4AF775A2" w:rsidR="3DA7CA32">
        <w:rPr>
          <w:rFonts w:ascii="Arial" w:hAnsi="Arial" w:eastAsia="Arial" w:cs="Arial"/>
          <w:noProof w:val="0"/>
          <w:sz w:val="22"/>
          <w:szCs w:val="22"/>
          <w:lang w:val="en-GB"/>
        </w:rPr>
        <w:t xml:space="preserve"> utilisation, and simplified operations, allowing airlines to deliver competitive pricing in saturated markets (Harvey and Turnbull, 2012). Although commercially successful, this model imposes organisational constraints that directly affect employment conditions and human resource management (HRM) practices. High utilisation rates and lean staffing often lead to intensified workloads, reduced flexibility, and limited opportunities for discretionary HRM investment (</w:t>
      </w:r>
      <w:r w:rsidRPr="4AF775A2" w:rsidR="5EC1B82B">
        <w:rPr>
          <w:rFonts w:ascii="Arial" w:hAnsi="Arial" w:eastAsia="Arial" w:cs="Arial"/>
          <w:noProof w:val="0"/>
          <w:sz w:val="22"/>
          <w:szCs w:val="22"/>
          <w:lang w:val="en-GB"/>
        </w:rPr>
        <w:t>Maxwell &amp; Grant</w:t>
      </w:r>
      <w:r w:rsidRPr="4AF775A2" w:rsidR="3DA7CA32">
        <w:rPr>
          <w:rFonts w:ascii="Arial" w:hAnsi="Arial" w:eastAsia="Arial" w:cs="Arial"/>
          <w:noProof w:val="0"/>
          <w:sz w:val="22"/>
          <w:szCs w:val="22"/>
          <w:lang w:val="en-GB"/>
        </w:rPr>
        <w:t xml:space="preserve">, 2021). These factors can </w:t>
      </w:r>
      <w:r w:rsidRPr="4AF775A2" w:rsidR="3DA7CA32">
        <w:rPr>
          <w:rFonts w:ascii="Arial" w:hAnsi="Arial" w:eastAsia="Arial" w:cs="Arial"/>
          <w:noProof w:val="0"/>
          <w:sz w:val="22"/>
          <w:szCs w:val="22"/>
          <w:lang w:val="en-GB"/>
        </w:rPr>
        <w:t>adversely impact</w:t>
      </w:r>
      <w:r w:rsidRPr="4AF775A2" w:rsidR="3DA7CA32">
        <w:rPr>
          <w:rFonts w:ascii="Arial" w:hAnsi="Arial" w:eastAsia="Arial" w:cs="Arial"/>
          <w:noProof w:val="0"/>
          <w:sz w:val="22"/>
          <w:szCs w:val="22"/>
          <w:lang w:val="en-GB"/>
        </w:rPr>
        <w:t xml:space="preserve"> employee well-being, job satisfaction, and long-term commitment, particularly for pilots. Consequently, the effectiveness of HRM practices in the LCC context must be assessed in relation to these operational constraints, recognising that retention is </w:t>
      </w:r>
      <w:r w:rsidRPr="4AF775A2" w:rsidR="3DA7CA32">
        <w:rPr>
          <w:rFonts w:ascii="Arial" w:hAnsi="Arial" w:eastAsia="Arial" w:cs="Arial"/>
          <w:noProof w:val="0"/>
          <w:sz w:val="22"/>
          <w:szCs w:val="22"/>
          <w:lang w:val="en-GB"/>
        </w:rPr>
        <w:t>determined</w:t>
      </w:r>
      <w:r w:rsidRPr="4AF775A2" w:rsidR="3DA7CA32">
        <w:rPr>
          <w:rFonts w:ascii="Arial" w:hAnsi="Arial" w:eastAsia="Arial" w:cs="Arial"/>
          <w:noProof w:val="0"/>
          <w:sz w:val="22"/>
          <w:szCs w:val="22"/>
          <w:lang w:val="en-GB"/>
        </w:rPr>
        <w:t xml:space="preserve"> by the interplay between HRM strategies and the structural realities of the business model.</w:t>
      </w:r>
    </w:p>
    <w:p w:rsidR="3DA7CA32" w:rsidP="4AF775A2" w:rsidRDefault="3DA7CA32" w14:paraId="000D840F" w14:textId="0A089F4E">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 xml:space="preserve">Human Resource Management (HRM) practices are widely acknowledged as essential mechanisms for influencing employee engagement and retention across industries. Extensive literature </w:t>
      </w:r>
      <w:r w:rsidRPr="4AF775A2" w:rsidR="3DA7CA32">
        <w:rPr>
          <w:rFonts w:ascii="Arial" w:hAnsi="Arial" w:eastAsia="Arial" w:cs="Arial"/>
          <w:noProof w:val="0"/>
          <w:sz w:val="22"/>
          <w:szCs w:val="22"/>
          <w:lang w:val="en-GB"/>
        </w:rPr>
        <w:t>demonstrates</w:t>
      </w:r>
      <w:r w:rsidRPr="4AF775A2" w:rsidR="3DA7CA32">
        <w:rPr>
          <w:rFonts w:ascii="Arial" w:hAnsi="Arial" w:eastAsia="Arial" w:cs="Arial"/>
          <w:noProof w:val="0"/>
          <w:sz w:val="22"/>
          <w:szCs w:val="22"/>
          <w:lang w:val="en-GB"/>
        </w:rPr>
        <w:t xml:space="preserve"> that practices such as </w:t>
      </w:r>
      <w:r w:rsidRPr="4AF775A2" w:rsidR="3DA7CA32">
        <w:rPr>
          <w:rFonts w:ascii="Arial" w:hAnsi="Arial" w:eastAsia="Arial" w:cs="Arial"/>
          <w:noProof w:val="0"/>
          <w:sz w:val="22"/>
          <w:szCs w:val="22"/>
          <w:lang w:val="en-GB"/>
        </w:rPr>
        <w:t>training and development</w:t>
      </w:r>
      <w:r w:rsidRPr="4AF775A2" w:rsidR="3DA7CA32">
        <w:rPr>
          <w:rFonts w:ascii="Arial" w:hAnsi="Arial" w:eastAsia="Arial" w:cs="Arial"/>
          <w:noProof w:val="0"/>
          <w:sz w:val="22"/>
          <w:szCs w:val="22"/>
          <w:lang w:val="en-GB"/>
        </w:rPr>
        <w:t>, compensation systems, performance management, and organisational support can increase employee motivation, commitment, and performance (</w:t>
      </w:r>
      <w:r w:rsidRPr="4AF775A2" w:rsidR="4357C0A3">
        <w:rPr>
          <w:rFonts w:ascii="Arial" w:hAnsi="Arial" w:eastAsia="Arial" w:cs="Arial"/>
          <w:noProof w:val="0"/>
          <w:sz w:val="22"/>
          <w:szCs w:val="22"/>
          <w:lang w:val="en-GB"/>
        </w:rPr>
        <w:t xml:space="preserve">Brune, Chyn and Kerwin, 2020; </w:t>
      </w:r>
      <w:r w:rsidRPr="4AF775A2" w:rsidR="3DA7CA32">
        <w:rPr>
          <w:rFonts w:ascii="Arial" w:hAnsi="Arial" w:eastAsia="Arial" w:cs="Arial"/>
          <w:noProof w:val="0"/>
          <w:sz w:val="22"/>
          <w:szCs w:val="22"/>
          <w:lang w:val="en-GB"/>
        </w:rPr>
        <w:t xml:space="preserve">Guest, 2017; Ogbonnaya and Messersmith, 2019). In skill-intensive sectors, these practices are particularly significant, as they support the development of specialised capabilities and help sustain motivation in strenuous environments (Tej et al., 2021). However, the effectiveness of HRM practices varies depending on their implementation and, importantly, on employees’ </w:t>
      </w:r>
      <w:r w:rsidRPr="4AF775A2" w:rsidR="3DA7CA32">
        <w:rPr>
          <w:rFonts w:ascii="Arial" w:hAnsi="Arial" w:eastAsia="Arial" w:cs="Arial"/>
          <w:noProof w:val="0"/>
          <w:sz w:val="22"/>
          <w:szCs w:val="22"/>
          <w:lang w:val="en-GB"/>
        </w:rPr>
        <w:t>perceptions</w:t>
      </w:r>
      <w:r w:rsidRPr="4AF775A2" w:rsidR="3DA7CA32">
        <w:rPr>
          <w:rFonts w:ascii="Arial" w:hAnsi="Arial" w:eastAsia="Arial" w:cs="Arial"/>
          <w:noProof w:val="0"/>
          <w:sz w:val="22"/>
          <w:szCs w:val="22"/>
          <w:lang w:val="en-GB"/>
        </w:rPr>
        <w:t xml:space="preserve">. This underscores the need for a critical and context-sensitive approach to HRM, recognising that </w:t>
      </w:r>
      <w:r w:rsidRPr="4AF775A2" w:rsidR="3DA7CA32">
        <w:rPr>
          <w:rFonts w:ascii="Arial" w:hAnsi="Arial" w:eastAsia="Arial" w:cs="Arial"/>
          <w:noProof w:val="0"/>
          <w:sz w:val="22"/>
          <w:szCs w:val="22"/>
          <w:lang w:val="en-GB"/>
        </w:rPr>
        <w:t>established</w:t>
      </w:r>
      <w:r w:rsidRPr="4AF775A2" w:rsidR="3DA7CA32">
        <w:rPr>
          <w:rFonts w:ascii="Arial" w:hAnsi="Arial" w:eastAsia="Arial" w:cs="Arial"/>
          <w:noProof w:val="0"/>
          <w:sz w:val="22"/>
          <w:szCs w:val="22"/>
          <w:lang w:val="en-GB"/>
        </w:rPr>
        <w:t xml:space="preserve"> policies do not automatically yield positive employee outcomes.</w:t>
      </w:r>
    </w:p>
    <w:p w:rsidR="3DA7CA32" w:rsidP="4AF775A2" w:rsidRDefault="3DA7CA32" w14:paraId="664E8698" w14:textId="24202167">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A key distinction in HRM literature exists between employee engagement and retention. Although closely related, these concepts embody distinct outcomes that are frequently conflated in academic and organisational discussions. Research indicates that HRM practices are generally effective in enhancing engagement, defined as employees’ emotional and mental connection to their work (Memon et al., 2021). However, their capacity to ensure long-term retention is more limited. Employees may express high satisfaction and commitment yet still leave their organisation for better opportunities elsewhere (Muofhe, 2021). This distinction is particularly pertinent in aviation, where high labour mobility allows employees to pursue external opportunities with relative ease. Therefore, understanding retention necessitates a more extensive analytical viewpoint that incorporates both internal HRM practices and external labour market forces.</w:t>
      </w:r>
    </w:p>
    <w:p w:rsidR="3DA7CA32" w:rsidP="4AF775A2" w:rsidRDefault="3DA7CA32" w14:paraId="159FDCAC" w14:textId="725F4C00">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External labour market conditions significantly influence retention outcomes, often constraining the degree to which organisations can affect employee behaviour. In aviation, the global standardisation of pilot qualifications and licensing enables high mobility across airlines and regions (Belderbos et al., 2025; Leroux-Parra, 2019). This dynamic fosters a competitive labour market where pilots can leverage their expertise to obtain better compensation, working conditions, or career advancement (Aksoy, 2024). Consequently, even organisations with robust HRM strategies may face challenges retaining talent amid appealing external opportunities. This underscores a core limitation of traditional HRM approaches, which frequently assume a level of organisational control that is increasingly unattainable in globalised, skill-scarce labour markets.</w:t>
      </w:r>
    </w:p>
    <w:p w:rsidR="3DA7CA32" w:rsidP="4AF775A2" w:rsidRDefault="3DA7CA32" w14:paraId="7D756ED7" w14:textId="135D205F">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 xml:space="preserve">Beyond labour market pressures, working conditions are a critical determinant of pilot retention. Research consistently shows that factors such as workload intensity, fatigue, and irregular scheduling have a significant impact on employee well-being and job satisfaction (Jackson and Earl, 2006; </w:t>
      </w:r>
      <w:r w:rsidRPr="4AF775A2" w:rsidR="5EC1B82B">
        <w:rPr>
          <w:rFonts w:ascii="Arial" w:hAnsi="Arial" w:eastAsia="Arial" w:cs="Arial"/>
          <w:noProof w:val="0"/>
          <w:sz w:val="22"/>
          <w:szCs w:val="22"/>
          <w:lang w:val="en-GB"/>
        </w:rPr>
        <w:t>Maxwell &amp; Grant</w:t>
      </w:r>
      <w:r w:rsidRPr="4AF775A2" w:rsidR="3DA7CA32">
        <w:rPr>
          <w:rFonts w:ascii="Arial" w:hAnsi="Arial" w:eastAsia="Arial" w:cs="Arial"/>
          <w:noProof w:val="0"/>
          <w:sz w:val="22"/>
          <w:szCs w:val="22"/>
          <w:lang w:val="en-GB"/>
        </w:rPr>
        <w:t xml:space="preserve">, 2021). In aviation, these complications are intensified by the safety-critical nature of the role, which demands sustained concentration and strict regulatory compliance. Although HRM practices may </w:t>
      </w:r>
      <w:r w:rsidRPr="4AF775A2" w:rsidR="3DA7CA32">
        <w:rPr>
          <w:rFonts w:ascii="Arial" w:hAnsi="Arial" w:eastAsia="Arial" w:cs="Arial"/>
          <w:noProof w:val="0"/>
          <w:sz w:val="22"/>
          <w:szCs w:val="22"/>
          <w:lang w:val="en-GB"/>
        </w:rPr>
        <w:t>attempt</w:t>
      </w:r>
      <w:r w:rsidRPr="4AF775A2" w:rsidR="3DA7CA32">
        <w:rPr>
          <w:rFonts w:ascii="Arial" w:hAnsi="Arial" w:eastAsia="Arial" w:cs="Arial"/>
          <w:noProof w:val="0"/>
          <w:sz w:val="22"/>
          <w:szCs w:val="22"/>
          <w:lang w:val="en-GB"/>
        </w:rPr>
        <w:t xml:space="preserve"> to address these pressures through well-being and work-life balance initiatives, their effectiveness is often limited by functional priorities such as cost efficiency and scheduling requirements (Harvey and Turnbull, 2012). This further supports the argument that retention outcomes are shaped by both HRM practices and the profession's structural realities.</w:t>
      </w:r>
    </w:p>
    <w:p w:rsidR="3DA7CA32" w:rsidP="4AF775A2" w:rsidRDefault="3DA7CA32" w14:paraId="67F84899" w14:textId="3409546D">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Within this wider context, easyJet serves as a pertinent case for examining the interaction between HRM practices and organisational constraints in the LCC sector. As one of Europe’s leading low-cost airlines, easyJet operates within the organisational constraints typical of the model while displaying a commitment to HRM initiatives in training, communication, and employee engagement (easyJet, 2023). Public reports highlight a focus on organisational culture, workforce development, and sustainability, aligning with broader HRM trends. However, like other LCCs, easyJet must balance these plans with the operational and financial constraints intrinsic in its business model. This context makes easyJet an appropriate case for exploring the implementation and impact of HRM practices on retention within a constrained environment.</w:t>
      </w:r>
    </w:p>
    <w:p w:rsidR="3DA7CA32" w:rsidP="4AF775A2" w:rsidRDefault="3DA7CA32" w14:paraId="004CBB35" w14:textId="0A261F23">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 xml:space="preserve">Despite extensive research on HRM and employee outcomes, a considerable gap persists in understanding how these practices </w:t>
      </w:r>
      <w:r w:rsidRPr="4AF775A2" w:rsidR="3DA7CA32">
        <w:rPr>
          <w:rFonts w:ascii="Arial" w:hAnsi="Arial" w:eastAsia="Arial" w:cs="Arial"/>
          <w:noProof w:val="0"/>
          <w:sz w:val="22"/>
          <w:szCs w:val="22"/>
          <w:lang w:val="en-GB"/>
        </w:rPr>
        <w:t>operate</w:t>
      </w:r>
      <w:r w:rsidRPr="4AF775A2" w:rsidR="3DA7CA32">
        <w:rPr>
          <w:rFonts w:ascii="Arial" w:hAnsi="Arial" w:eastAsia="Arial" w:cs="Arial"/>
          <w:noProof w:val="0"/>
          <w:sz w:val="22"/>
          <w:szCs w:val="22"/>
          <w:lang w:val="en-GB"/>
        </w:rPr>
        <w:t xml:space="preserve"> inside constrained organisational contexts, such as low-cost airlines. Much of the literature adopts a normative perspective, </w:t>
      </w:r>
      <w:r w:rsidRPr="4AF775A2" w:rsidR="3DA7CA32">
        <w:rPr>
          <w:rFonts w:ascii="Arial" w:hAnsi="Arial" w:eastAsia="Arial" w:cs="Arial"/>
          <w:noProof w:val="0"/>
          <w:sz w:val="22"/>
          <w:szCs w:val="22"/>
          <w:lang w:val="en-GB"/>
        </w:rPr>
        <w:t>assuming that</w:t>
      </w:r>
      <w:r w:rsidRPr="4AF775A2" w:rsidR="3DA7CA32">
        <w:rPr>
          <w:rFonts w:ascii="Arial" w:hAnsi="Arial" w:eastAsia="Arial" w:cs="Arial"/>
          <w:noProof w:val="0"/>
          <w:sz w:val="22"/>
          <w:szCs w:val="22"/>
          <w:lang w:val="en-GB"/>
        </w:rPr>
        <w:t xml:space="preserve"> effective HRM implementation will yield positive engagement and retention outcomes (Guest, 2017; Pahos and </w:t>
      </w:r>
      <w:r w:rsidRPr="4AF775A2" w:rsidR="3DA7CA32">
        <w:rPr>
          <w:rFonts w:ascii="Arial" w:hAnsi="Arial" w:eastAsia="Arial" w:cs="Arial"/>
          <w:noProof w:val="0"/>
          <w:sz w:val="22"/>
          <w:szCs w:val="22"/>
          <w:lang w:val="en-GB"/>
        </w:rPr>
        <w:t>Galanaki</w:t>
      </w:r>
      <w:r w:rsidRPr="4AF775A2" w:rsidR="3DA7CA32">
        <w:rPr>
          <w:rFonts w:ascii="Arial" w:hAnsi="Arial" w:eastAsia="Arial" w:cs="Arial"/>
          <w:noProof w:val="0"/>
          <w:sz w:val="22"/>
          <w:szCs w:val="22"/>
          <w:lang w:val="en-GB"/>
        </w:rPr>
        <w:t xml:space="preserve">, 2022). However, this view often neglects the impact of contextual factors, including business models, labour market forces, and operational </w:t>
      </w:r>
      <w:r w:rsidRPr="4AF775A2" w:rsidR="3DA7CA32">
        <w:rPr>
          <w:rFonts w:ascii="Arial" w:hAnsi="Arial" w:eastAsia="Arial" w:cs="Arial"/>
          <w:noProof w:val="0"/>
          <w:sz w:val="22"/>
          <w:szCs w:val="22"/>
          <w:lang w:val="en-GB"/>
        </w:rPr>
        <w:t>limitations.</w:t>
      </w:r>
      <w:r w:rsidRPr="4AF775A2" w:rsidR="3DA7CA32">
        <w:rPr>
          <w:rFonts w:ascii="Arial" w:hAnsi="Arial" w:eastAsia="Arial" w:cs="Arial"/>
          <w:noProof w:val="0"/>
          <w:sz w:val="22"/>
          <w:szCs w:val="22"/>
          <w:lang w:val="en-GB"/>
        </w:rPr>
        <w:t xml:space="preserve"> Therefore, there is a need for more critical, context-sensitive research that examines the benefits and limitations of HRM practices.</w:t>
      </w:r>
    </w:p>
    <w:p w:rsidR="3DA7CA32" w:rsidP="4AF775A2" w:rsidRDefault="3DA7CA32" w14:paraId="5FE84101" w14:textId="4633DE2D">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This study aims to address this gap by critically evaluating the influence of HRM practices on pilot engagement and retention within the low-cost airline model. The primary objective is to determine how these practices function within the strategic and functional constraints encountered by organisations such as easyJet. To achieve this, the research employs a mixed-method systematic literature review, integrating thematic synthesis of academic and industry literature with narrative analysis of organisational data. This methodology enables both breadth and depth of analysis, supporting an extensive understanding of the factors influencing retention.</w:t>
      </w:r>
    </w:p>
    <w:p w:rsidR="3DA7CA32" w:rsidP="4AF775A2" w:rsidRDefault="3DA7CA32" w14:paraId="3475956F" w14:textId="514897CF">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The research is structured around four key objectives. First, it critically synthesises existing literature on HRM practices and their impact on engagement and retention in skill-intensive industries. Second, it evaluates how HRM practices affect engagement and retention within the operational context of low-cost airlines. Third, it examines the strategic and organisational constraints influencing the effectiveness of these practices. Finally, it develops evidence-based recommendations to strengthen sustainable pilot retention in organisations such as easyJet.</w:t>
      </w:r>
    </w:p>
    <w:p w:rsidR="3DA7CA32" w:rsidP="4AF775A2" w:rsidRDefault="3DA7CA32" w14:paraId="0E2B2B9A" w14:textId="7F8660D2">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These objectives are addressed through four research questions. The first examines HRM practices identified in the literature as influencing engagement and retention in highly skilled industries. The second explores the association between easyJet’s publicly reported HRM practices and observable retention-related outcomes. The third investigates in what way strategic and organisational restrictions within the LCC model affect the effectiveness of HRM practices. The fourth considers how understandings from both the literature and case analysis can guide the development of effective HRM strategies to support pilot retention.</w:t>
      </w:r>
    </w:p>
    <w:p w:rsidR="3DA7CA32" w:rsidP="4AF775A2" w:rsidRDefault="3DA7CA32" w14:paraId="2F45539C" w14:textId="761DDDF3">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The study is grounded in Social Exchange Theory, which offers a structure for understanding the relationship between HRM practices and employee behaviour. This theory posits that employees’ decisions to remain with an organisation are influenced by their perceptions of the balance between rewards received and contributions made (Gould-Williams and Davies, 2005; Vu, 2022). Within this system, HRM practices such as organisational support, fair compensation, and career development serve as mechanisms that shape employee perceptions and, consequently, retention. Applying this conceptual perspective enables a more in-depth understanding of the relational processes underlying pilot retention.</w:t>
      </w:r>
    </w:p>
    <w:p w:rsidR="3DA7CA32" w:rsidP="4AF775A2" w:rsidRDefault="3DA7CA32" w14:paraId="1EF343F2" w14:textId="079DDFD0">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The findings of this research are intended to contribute to both academic and pragmatic discussions. Academically, the study offers a critical, context-sensitive analysis of HRM practices, critiquing simplistic assumptions about their effectiveness. Practically, it provides insights for airline managers, policymakers, and training organisations addressing the challenge of pilot retention. By identifying factors influencing retention and constraints shaping HRM effectiveness, the study intends to support the development of enhanced, sustainable and strategically coordinated workforce management practices.</w:t>
      </w:r>
    </w:p>
    <w:p w:rsidR="3DA7CA32" w:rsidP="4AF775A2" w:rsidRDefault="3DA7CA32" w14:paraId="01A5E1DB" w14:textId="670A8BA7">
      <w:pPr>
        <w:pStyle w:val="Heading3"/>
        <w:bidi w:val="0"/>
        <w:rPr>
          <w:rFonts w:ascii="Arial" w:hAnsi="Arial" w:eastAsia="Arial" w:cs="Arial"/>
          <w:b w:val="0"/>
          <w:bCs w:val="0"/>
          <w:noProof w:val="0"/>
          <w:sz w:val="22"/>
          <w:szCs w:val="22"/>
          <w:lang w:val="en-GB"/>
        </w:rPr>
      </w:pPr>
      <w:bookmarkStart w:name="_Toc1631517225" w:id="1089810249"/>
      <w:r w:rsidRPr="4AF775A2" w:rsidR="3DA7CA32">
        <w:rPr>
          <w:noProof w:val="0"/>
          <w:lang w:val="en-GB"/>
        </w:rPr>
        <w:t>Structure of the Dissertation</w:t>
      </w:r>
      <w:bookmarkEnd w:id="1089810249"/>
    </w:p>
    <w:p w:rsidR="3DA7CA32" w:rsidP="4AF775A2" w:rsidRDefault="3DA7CA32" w14:paraId="4DC32111" w14:textId="66D3B5B2">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A7CA32">
        <w:rPr>
          <w:rFonts w:ascii="Arial" w:hAnsi="Arial" w:eastAsia="Arial" w:cs="Arial"/>
          <w:noProof w:val="0"/>
          <w:sz w:val="22"/>
          <w:szCs w:val="22"/>
          <w:lang w:val="en-GB"/>
        </w:rPr>
        <w:t xml:space="preserve">Following this introduction, the dissertation is organised as follows. The next section presents a comprehensive literature review, critically examining research on HRM practices, employee engagement, and retention, with a focus on skill-intensive industries and aviation. Subsequently, the </w:t>
      </w:r>
      <w:r w:rsidRPr="4AF775A2" w:rsidR="3DA7CA32">
        <w:rPr>
          <w:rFonts w:ascii="Arial" w:hAnsi="Arial" w:eastAsia="Arial" w:cs="Arial"/>
          <w:noProof w:val="0"/>
          <w:sz w:val="22"/>
          <w:szCs w:val="22"/>
          <w:lang w:val="en-GB"/>
        </w:rPr>
        <w:t>methodology</w:t>
      </w:r>
      <w:r w:rsidRPr="4AF775A2" w:rsidR="3DA7CA32">
        <w:rPr>
          <w:rFonts w:ascii="Arial" w:hAnsi="Arial" w:eastAsia="Arial" w:cs="Arial"/>
          <w:noProof w:val="0"/>
          <w:sz w:val="22"/>
          <w:szCs w:val="22"/>
          <w:lang w:val="en-GB"/>
        </w:rPr>
        <w:t xml:space="preserve"> section outlines the research philosophy, design, data gathering techniques-, and analytical approach. The findings section integrates thematic synthesis of the literature with narrative analysis of easyJet’s organisational practices. This is followed by a critical discussion linking findings to existing theory and </w:t>
      </w:r>
      <w:r w:rsidRPr="4AF775A2" w:rsidR="3DA7CA32">
        <w:rPr>
          <w:rFonts w:ascii="Arial" w:hAnsi="Arial" w:eastAsia="Arial" w:cs="Arial"/>
          <w:noProof w:val="0"/>
          <w:sz w:val="22"/>
          <w:szCs w:val="22"/>
          <w:lang w:val="en-GB"/>
        </w:rPr>
        <w:t>identifying</w:t>
      </w:r>
      <w:r w:rsidRPr="4AF775A2" w:rsidR="3DA7CA32">
        <w:rPr>
          <w:rFonts w:ascii="Arial" w:hAnsi="Arial" w:eastAsia="Arial" w:cs="Arial"/>
          <w:noProof w:val="0"/>
          <w:sz w:val="22"/>
          <w:szCs w:val="22"/>
          <w:lang w:val="en-GB"/>
        </w:rPr>
        <w:t xml:space="preserve"> key implications. The final sections provide practical recommendations for HRM strategy, particularly </w:t>
      </w:r>
      <w:r w:rsidRPr="4AF775A2" w:rsidR="3DA7CA32">
        <w:rPr>
          <w:rFonts w:ascii="Arial" w:hAnsi="Arial" w:eastAsia="Arial" w:cs="Arial"/>
          <w:noProof w:val="0"/>
          <w:sz w:val="22"/>
          <w:szCs w:val="22"/>
          <w:lang w:val="en-GB"/>
        </w:rPr>
        <w:t>regarding</w:t>
      </w:r>
      <w:r w:rsidRPr="4AF775A2" w:rsidR="3DA7CA32">
        <w:rPr>
          <w:rFonts w:ascii="Arial" w:hAnsi="Arial" w:eastAsia="Arial" w:cs="Arial"/>
          <w:noProof w:val="0"/>
          <w:sz w:val="22"/>
          <w:szCs w:val="22"/>
          <w:lang w:val="en-GB"/>
        </w:rPr>
        <w:t xml:space="preserve"> pilot retention in low-cost airlines, and conclude the study by summarising key insights, acknowledging limitations, and suggesting directions for future research</w:t>
      </w:r>
    </w:p>
    <w:p w:rsidR="65665192" w:rsidP="4AF775A2" w:rsidRDefault="65665192" w14:paraId="7168E5D1" w14:textId="54DAD9F1">
      <w:pPr>
        <w:pStyle w:val="Heading1"/>
        <w:bidi w:val="0"/>
        <w:spacing w:line="360" w:lineRule="auto"/>
        <w:jc w:val="both"/>
        <w:rPr>
          <w:rFonts w:ascii="Arial" w:hAnsi="Arial" w:eastAsia="Arial" w:cs="Arial"/>
          <w:noProof w:val="0"/>
          <w:sz w:val="22"/>
          <w:szCs w:val="22"/>
          <w:lang w:val="en-GB"/>
        </w:rPr>
      </w:pPr>
    </w:p>
    <w:p w:rsidR="65665192" w:rsidP="4AF775A2" w:rsidRDefault="65665192" w14:paraId="624688FD" w14:textId="248D9994">
      <w:pPr>
        <w:bidi w:val="0"/>
        <w:spacing w:before="120" w:beforeAutospacing="off" w:after="120" w:afterAutospacing="off" w:line="360" w:lineRule="auto"/>
        <w:jc w:val="both"/>
        <w:rPr>
          <w:rFonts w:ascii="Arial" w:hAnsi="Arial" w:eastAsia="Arial" w:cs="Arial"/>
          <w:sz w:val="22"/>
          <w:szCs w:val="22"/>
        </w:rPr>
      </w:pPr>
      <w:r w:rsidRPr="4AF775A2">
        <w:rPr>
          <w:rFonts w:ascii="Arial" w:hAnsi="Arial" w:eastAsia="Arial" w:cs="Arial"/>
          <w:sz w:val="22"/>
          <w:szCs w:val="22"/>
        </w:rPr>
        <w:br w:type="page"/>
      </w:r>
    </w:p>
    <w:p w:rsidR="65665192" w:rsidP="4AF775A2" w:rsidRDefault="65665192" w14:paraId="4AF37F43" w14:textId="2503E1B2">
      <w:pPr>
        <w:pStyle w:val="Heading1"/>
        <w:bidi w:val="0"/>
        <w:spacing w:line="360" w:lineRule="auto"/>
        <w:jc w:val="both"/>
        <w:rPr>
          <w:rFonts w:ascii="Arial" w:hAnsi="Arial" w:eastAsia="Arial" w:cs="Arial"/>
          <w:b w:val="0"/>
          <w:bCs w:val="0"/>
          <w:noProof w:val="0"/>
          <w:sz w:val="22"/>
          <w:szCs w:val="22"/>
          <w:lang w:val="en-GB"/>
        </w:rPr>
      </w:pPr>
      <w:bookmarkStart w:name="_Toc468606856" w:id="2035436867"/>
      <w:r w:rsidRPr="4AF775A2" w:rsidR="58760D2A">
        <w:rPr>
          <w:rFonts w:ascii="Arial" w:hAnsi="Arial" w:eastAsia="Arial" w:cs="Arial"/>
          <w:noProof w:val="0"/>
          <w:sz w:val="22"/>
          <w:szCs w:val="22"/>
          <w:lang w:val="en-GB"/>
        </w:rPr>
        <w:t>Review of Relevant Literature</w:t>
      </w:r>
      <w:bookmarkEnd w:id="2035436867"/>
    </w:p>
    <w:p w:rsidR="65665192" w:rsidP="4AF775A2" w:rsidRDefault="65665192" w14:paraId="0D089C17" w14:textId="3702941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Ko and Smith-Walter (2013, p.210) state that “HRM practices may improve individual and organisational performance and encourage employees to improve their attitude and behaviour.” The aviation industry, primarily within the low-cost carrier (LCC) sector, faces escalating challenges in attracting, engaging, and </w:t>
      </w:r>
      <w:r w:rsidRPr="4AF775A2" w:rsidR="58760D2A">
        <w:rPr>
          <w:rFonts w:ascii="Arial" w:hAnsi="Arial" w:eastAsia="Arial" w:cs="Arial"/>
          <w:b w:val="0"/>
          <w:bCs w:val="0"/>
          <w:noProof w:val="0"/>
          <w:sz w:val="22"/>
          <w:szCs w:val="22"/>
          <w:lang w:val="en-GB"/>
        </w:rPr>
        <w:t>retaining</w:t>
      </w:r>
      <w:r w:rsidRPr="4AF775A2" w:rsidR="58760D2A">
        <w:rPr>
          <w:rFonts w:ascii="Arial" w:hAnsi="Arial" w:eastAsia="Arial" w:cs="Arial"/>
          <w:b w:val="0"/>
          <w:bCs w:val="0"/>
          <w:noProof w:val="0"/>
          <w:sz w:val="22"/>
          <w:szCs w:val="22"/>
          <w:lang w:val="en-GB"/>
        </w:rPr>
        <w:t xml:space="preserve"> skilled pilots (Dubey &amp; Rana, 2022). Human Resource Management (HRM) practices are central to dealing with these challenges. However, their effectiveness depends on both organisational strategy and wider industry constraints (Renaud et al., 2015).</w:t>
      </w:r>
    </w:p>
    <w:p w:rsidR="58760D2A" w:rsidP="4AF775A2" w:rsidRDefault="58760D2A" w14:paraId="7BC5EFF0" w14:textId="16582F3A">
      <w:pPr>
        <w:pStyle w:val="Normal"/>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Extensive research </w:t>
      </w:r>
      <w:r w:rsidRPr="4AF775A2" w:rsidR="58760D2A">
        <w:rPr>
          <w:rFonts w:ascii="Arial" w:hAnsi="Arial" w:eastAsia="Arial" w:cs="Arial"/>
          <w:b w:val="0"/>
          <w:bCs w:val="0"/>
          <w:noProof w:val="0"/>
          <w:sz w:val="22"/>
          <w:szCs w:val="22"/>
          <w:lang w:val="en-GB"/>
        </w:rPr>
        <w:t>d</w:t>
      </w:r>
      <w:r w:rsidRPr="4AF775A2" w:rsidR="58760D2A">
        <w:rPr>
          <w:rFonts w:ascii="Arial" w:hAnsi="Arial" w:eastAsia="Arial" w:cs="Arial"/>
          <w:b w:val="0"/>
          <w:bCs w:val="0"/>
          <w:noProof w:val="0"/>
          <w:sz w:val="22"/>
          <w:szCs w:val="22"/>
          <w:lang w:val="en-GB"/>
        </w:rPr>
        <w:t>emonstrates</w:t>
      </w:r>
      <w:r w:rsidRPr="4AF775A2" w:rsidR="58760D2A">
        <w:rPr>
          <w:rFonts w:ascii="Arial" w:hAnsi="Arial" w:eastAsia="Arial" w:cs="Arial"/>
          <w:b w:val="0"/>
          <w:bCs w:val="0"/>
          <w:noProof w:val="0"/>
          <w:sz w:val="22"/>
          <w:szCs w:val="22"/>
          <w:lang w:val="en-GB"/>
        </w:rPr>
        <w:t xml:space="preserve"> </w:t>
      </w:r>
      <w:r w:rsidRPr="4AF775A2" w:rsidR="58760D2A">
        <w:rPr>
          <w:rFonts w:ascii="Arial" w:hAnsi="Arial" w:eastAsia="Arial" w:cs="Arial"/>
          <w:b w:val="0"/>
          <w:bCs w:val="0"/>
          <w:noProof w:val="0"/>
          <w:sz w:val="22"/>
          <w:szCs w:val="22"/>
          <w:lang w:val="en-GB"/>
        </w:rPr>
        <w:t xml:space="preserve">that HRM practices are primary drivers of employee engagement, commitment, and retention. High-Performance Work Systems (HPWS), which integrate training, performance management, and reward systems, are consistently linked to positive employee outcomes (Ogbonnaya and Messersmith, 2019; Pahos and </w:t>
      </w:r>
      <w:r w:rsidRPr="4AF775A2" w:rsidR="58760D2A">
        <w:rPr>
          <w:rFonts w:ascii="Arial" w:hAnsi="Arial" w:eastAsia="Arial" w:cs="Arial"/>
          <w:b w:val="0"/>
          <w:bCs w:val="0"/>
          <w:noProof w:val="0"/>
          <w:sz w:val="22"/>
          <w:szCs w:val="22"/>
          <w:lang w:val="en-GB"/>
        </w:rPr>
        <w:t>G</w:t>
      </w:r>
      <w:r w:rsidRPr="4AF775A2" w:rsidR="58760D2A">
        <w:rPr>
          <w:rFonts w:ascii="Arial" w:hAnsi="Arial" w:eastAsia="Arial" w:cs="Arial"/>
          <w:b w:val="0"/>
          <w:bCs w:val="0"/>
          <w:noProof w:val="0"/>
          <w:sz w:val="22"/>
          <w:szCs w:val="22"/>
          <w:lang w:val="en-GB"/>
        </w:rPr>
        <w:t>alanaki</w:t>
      </w:r>
      <w:r w:rsidRPr="4AF775A2" w:rsidR="58760D2A">
        <w:rPr>
          <w:rFonts w:ascii="Arial" w:hAnsi="Arial" w:eastAsia="Arial" w:cs="Arial"/>
          <w:b w:val="0"/>
          <w:bCs w:val="0"/>
          <w:noProof w:val="0"/>
          <w:sz w:val="22"/>
          <w:szCs w:val="22"/>
          <w:lang w:val="en-GB"/>
        </w:rPr>
        <w:t>,</w:t>
      </w:r>
      <w:r w:rsidRPr="4AF775A2" w:rsidR="58760D2A">
        <w:rPr>
          <w:rFonts w:ascii="Arial" w:hAnsi="Arial" w:eastAsia="Arial" w:cs="Arial"/>
          <w:b w:val="0"/>
          <w:bCs w:val="0"/>
          <w:noProof w:val="0"/>
          <w:sz w:val="22"/>
          <w:szCs w:val="22"/>
          <w:lang w:val="en-GB"/>
        </w:rPr>
        <w:t xml:space="preserve"> 2022).</w:t>
      </w:r>
      <w:r w:rsidRPr="4AF775A2" w:rsidR="3571BD5F">
        <w:rPr>
          <w:rFonts w:ascii="Arial" w:hAnsi="Arial" w:eastAsia="Arial" w:cs="Arial"/>
          <w:b w:val="0"/>
          <w:bCs w:val="0"/>
          <w:noProof w:val="0"/>
          <w:sz w:val="22"/>
          <w:szCs w:val="22"/>
          <w:lang w:val="en-GB"/>
        </w:rPr>
        <w:t xml:space="preserve"> The literature on </w:t>
      </w:r>
      <w:r w:rsidRPr="4AF775A2" w:rsidR="3571BD5F">
        <w:rPr>
          <w:rFonts w:ascii="Arial" w:hAnsi="Arial" w:eastAsia="Arial" w:cs="Arial"/>
          <w:b w:val="0"/>
          <w:bCs w:val="0"/>
          <w:noProof w:val="0"/>
          <w:sz w:val="22"/>
          <w:szCs w:val="22"/>
          <w:lang w:val="en-GB"/>
        </w:rPr>
        <w:t>pay</w:t>
      </w:r>
      <w:r w:rsidRPr="4AF775A2" w:rsidR="3571BD5F">
        <w:rPr>
          <w:rFonts w:ascii="Arial" w:hAnsi="Arial" w:eastAsia="Arial" w:cs="Arial"/>
          <w:b w:val="0"/>
          <w:bCs w:val="0"/>
          <w:noProof w:val="0"/>
          <w:sz w:val="22"/>
          <w:szCs w:val="22"/>
          <w:lang w:val="en-GB"/>
        </w:rPr>
        <w:t xml:space="preserve"> and compensation highlights that pay influences retention not only through its absolute value but also through </w:t>
      </w:r>
      <w:r w:rsidRPr="4AF775A2" w:rsidR="57B4B78D">
        <w:rPr>
          <w:rFonts w:ascii="Arial" w:hAnsi="Arial" w:eastAsia="Arial" w:cs="Arial"/>
          <w:b w:val="0"/>
          <w:bCs w:val="0"/>
          <w:noProof w:val="0"/>
          <w:sz w:val="22"/>
          <w:szCs w:val="22"/>
          <w:lang w:val="en-GB"/>
        </w:rPr>
        <w:t>perceptions</w:t>
      </w:r>
      <w:r w:rsidRPr="4AF775A2" w:rsidR="57B4B78D">
        <w:rPr>
          <w:rFonts w:ascii="Arial" w:hAnsi="Arial" w:eastAsia="Arial" w:cs="Arial"/>
          <w:b w:val="0"/>
          <w:bCs w:val="0"/>
          <w:noProof w:val="0"/>
          <w:sz w:val="22"/>
          <w:szCs w:val="22"/>
          <w:lang w:val="en-GB"/>
        </w:rPr>
        <w:t xml:space="preserve"> of fairness, transparency, and satisfaction. Studies such as Mabaso (2026) and Akso</w:t>
      </w:r>
      <w:r w:rsidRPr="4AF775A2" w:rsidR="5ECE4DB3">
        <w:rPr>
          <w:rFonts w:ascii="Arial" w:hAnsi="Arial" w:eastAsia="Arial" w:cs="Arial"/>
          <w:b w:val="0"/>
          <w:bCs w:val="0"/>
          <w:noProof w:val="0"/>
          <w:sz w:val="22"/>
          <w:szCs w:val="22"/>
          <w:lang w:val="en-GB"/>
        </w:rPr>
        <w:t xml:space="preserve">y (2024) </w:t>
      </w:r>
      <w:r w:rsidRPr="4AF775A2" w:rsidR="5ECE4DB3">
        <w:rPr>
          <w:rFonts w:ascii="Arial" w:hAnsi="Arial" w:eastAsia="Arial" w:cs="Arial"/>
          <w:b w:val="0"/>
          <w:bCs w:val="0"/>
          <w:noProof w:val="0"/>
          <w:sz w:val="22"/>
          <w:szCs w:val="22"/>
          <w:lang w:val="en-GB"/>
        </w:rPr>
        <w:t>demonstrate</w:t>
      </w:r>
      <w:r w:rsidRPr="4AF775A2" w:rsidR="5ECE4DB3">
        <w:rPr>
          <w:rFonts w:ascii="Arial" w:hAnsi="Arial" w:eastAsia="Arial" w:cs="Arial"/>
          <w:b w:val="0"/>
          <w:bCs w:val="0"/>
          <w:noProof w:val="0"/>
          <w:sz w:val="22"/>
          <w:szCs w:val="22"/>
          <w:lang w:val="en-GB"/>
        </w:rPr>
        <w:t xml:space="preserve"> that perceived equity and pay satisfaction significantly shape turnover intentions, while Auer, et al., (2021</w:t>
      </w:r>
      <w:r w:rsidRPr="4AF775A2" w:rsidR="46156E1B">
        <w:rPr>
          <w:rFonts w:ascii="Arial" w:hAnsi="Arial" w:eastAsia="Arial" w:cs="Arial"/>
          <w:b w:val="0"/>
          <w:bCs w:val="0"/>
          <w:noProof w:val="0"/>
          <w:sz w:val="22"/>
          <w:szCs w:val="22"/>
          <w:lang w:val="en-GB"/>
        </w:rPr>
        <w:t>)</w:t>
      </w:r>
      <w:r w:rsidRPr="4AF775A2" w:rsidR="2A39D77D">
        <w:rPr>
          <w:rFonts w:ascii="Arial" w:hAnsi="Arial" w:eastAsia="Arial" w:cs="Arial"/>
          <w:b w:val="0"/>
          <w:bCs w:val="0"/>
          <w:noProof w:val="0"/>
          <w:sz w:val="22"/>
          <w:szCs w:val="22"/>
          <w:lang w:val="en-GB"/>
        </w:rPr>
        <w:t xml:space="preserve"> and </w:t>
      </w:r>
      <w:r w:rsidRPr="4AF775A2" w:rsidR="46156E1B">
        <w:rPr>
          <w:rFonts w:ascii="Arial" w:hAnsi="Arial" w:eastAsia="Arial" w:cs="Arial"/>
          <w:b w:val="0"/>
          <w:bCs w:val="0"/>
          <w:noProof w:val="0"/>
          <w:sz w:val="22"/>
          <w:szCs w:val="22"/>
          <w:lang w:val="en-GB"/>
        </w:rPr>
        <w:t>Adom (2018)</w:t>
      </w:r>
      <w:r w:rsidRPr="4AF775A2" w:rsidR="46156E1B">
        <w:rPr>
          <w:rFonts w:ascii="Arial" w:hAnsi="Arial" w:eastAsia="Arial" w:cs="Arial"/>
          <w:b w:val="0"/>
          <w:bCs w:val="0"/>
          <w:noProof w:val="0"/>
          <w:sz w:val="22"/>
          <w:szCs w:val="22"/>
          <w:lang w:val="en-GB"/>
        </w:rPr>
        <w:t xml:space="preserve"> emphasise the role of performance-linked incentives.</w:t>
      </w:r>
      <w:r w:rsidRPr="4AF775A2" w:rsidR="4266ADCC">
        <w:rPr>
          <w:rFonts w:ascii="Arial" w:hAnsi="Arial" w:eastAsia="Arial" w:cs="Arial"/>
          <w:b w:val="0"/>
          <w:bCs w:val="0"/>
          <w:noProof w:val="0"/>
          <w:sz w:val="22"/>
          <w:szCs w:val="22"/>
          <w:lang w:val="en-GB"/>
        </w:rPr>
        <w:t xml:space="preserve"> </w:t>
      </w:r>
      <w:r w:rsidRPr="4AF775A2" w:rsidR="46156E1B">
        <w:rPr>
          <w:rFonts w:ascii="Arial" w:hAnsi="Arial" w:eastAsia="Arial" w:cs="Arial"/>
          <w:b w:val="0"/>
          <w:bCs w:val="0"/>
          <w:noProof w:val="0"/>
          <w:sz w:val="22"/>
          <w:szCs w:val="22"/>
          <w:lang w:val="en-GB"/>
        </w:rPr>
        <w:t>Importantly Lee et al., (2025) h</w:t>
      </w:r>
      <w:r w:rsidRPr="4AF775A2" w:rsidR="7A459BAB">
        <w:rPr>
          <w:rFonts w:ascii="Arial" w:hAnsi="Arial" w:eastAsia="Arial" w:cs="Arial"/>
          <w:b w:val="0"/>
          <w:bCs w:val="0"/>
          <w:noProof w:val="0"/>
          <w:sz w:val="22"/>
          <w:szCs w:val="22"/>
          <w:lang w:val="en-GB"/>
        </w:rPr>
        <w:t xml:space="preserve">ighlight that the effectiveness of compensation is contingent on organisational context, </w:t>
      </w:r>
      <w:r w:rsidRPr="4AF775A2" w:rsidR="1FC7207E">
        <w:rPr>
          <w:rFonts w:ascii="Arial" w:hAnsi="Arial" w:eastAsia="Arial" w:cs="Arial"/>
          <w:b w:val="0"/>
          <w:bCs w:val="0"/>
          <w:noProof w:val="0"/>
          <w:sz w:val="22"/>
          <w:szCs w:val="22"/>
          <w:lang w:val="en-GB"/>
        </w:rPr>
        <w:t>reinforcing</w:t>
      </w:r>
      <w:r w:rsidRPr="4AF775A2" w:rsidR="7A459BAB">
        <w:rPr>
          <w:rFonts w:ascii="Arial" w:hAnsi="Arial" w:eastAsia="Arial" w:cs="Arial"/>
          <w:b w:val="0"/>
          <w:bCs w:val="0"/>
          <w:noProof w:val="0"/>
          <w:sz w:val="22"/>
          <w:szCs w:val="22"/>
          <w:lang w:val="en-GB"/>
        </w:rPr>
        <w:t xml:space="preserve"> the argument that HRM practices </w:t>
      </w:r>
      <w:r w:rsidRPr="4AF775A2" w:rsidR="45A30FE5">
        <w:rPr>
          <w:rFonts w:ascii="Arial" w:hAnsi="Arial" w:eastAsia="Arial" w:cs="Arial"/>
          <w:b w:val="0"/>
          <w:bCs w:val="0"/>
          <w:noProof w:val="0"/>
          <w:sz w:val="22"/>
          <w:szCs w:val="22"/>
          <w:lang w:val="en-GB"/>
        </w:rPr>
        <w:t>must be understood within broader structural conditions</w:t>
      </w:r>
      <w:r w:rsidRPr="4AF775A2" w:rsidR="39254D2E">
        <w:rPr>
          <w:rFonts w:ascii="Arial" w:hAnsi="Arial" w:eastAsia="Arial" w:cs="Arial"/>
          <w:b w:val="0"/>
          <w:bCs w:val="0"/>
          <w:noProof w:val="0"/>
          <w:sz w:val="22"/>
          <w:szCs w:val="22"/>
          <w:lang w:val="en-GB"/>
        </w:rPr>
        <w:t>.</w:t>
      </w:r>
    </w:p>
    <w:p w:rsidR="65665192" w:rsidP="4AF775A2" w:rsidRDefault="65665192" w14:paraId="6E3DB8EF" w14:textId="3157E8F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However, the relationship between HRM practices and employee outcomes is not uniformly positive. Studies </w:t>
      </w:r>
      <w:r w:rsidRPr="4AF775A2" w:rsidR="58760D2A">
        <w:rPr>
          <w:rFonts w:ascii="Arial" w:hAnsi="Arial" w:eastAsia="Arial" w:cs="Arial"/>
          <w:b w:val="0"/>
          <w:bCs w:val="0"/>
          <w:noProof w:val="0"/>
          <w:sz w:val="22"/>
          <w:szCs w:val="22"/>
          <w:lang w:val="en-GB"/>
        </w:rPr>
        <w:t>indicate</w:t>
      </w:r>
      <w:r w:rsidRPr="4AF775A2" w:rsidR="58760D2A">
        <w:rPr>
          <w:rFonts w:ascii="Arial" w:hAnsi="Arial" w:eastAsia="Arial" w:cs="Arial"/>
          <w:b w:val="0"/>
          <w:bCs w:val="0"/>
          <w:noProof w:val="0"/>
          <w:sz w:val="22"/>
          <w:szCs w:val="22"/>
          <w:lang w:val="en-GB"/>
        </w:rPr>
        <w:t xml:space="preserve"> that HRM practices may function as 'job resources' that improve well-being or as 'challenge demands' that increase stress (Li et al., 2024). This distinction is particularly relevant in high-intensity environments such as aviation, where workload and responsibility are considerable.</w:t>
      </w:r>
    </w:p>
    <w:p w:rsidR="65665192" w:rsidP="4AF775A2" w:rsidRDefault="65665192" w14:paraId="667323AA" w14:textId="07EBDD4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Employee </w:t>
      </w:r>
      <w:r w:rsidRPr="4AF775A2" w:rsidR="58760D2A">
        <w:rPr>
          <w:rFonts w:ascii="Arial" w:hAnsi="Arial" w:eastAsia="Arial" w:cs="Arial"/>
          <w:b w:val="0"/>
          <w:bCs w:val="0"/>
          <w:noProof w:val="0"/>
          <w:sz w:val="22"/>
          <w:szCs w:val="22"/>
          <w:lang w:val="en-GB"/>
        </w:rPr>
        <w:t>perceptions</w:t>
      </w:r>
      <w:r w:rsidRPr="4AF775A2" w:rsidR="58760D2A">
        <w:rPr>
          <w:rFonts w:ascii="Arial" w:hAnsi="Arial" w:eastAsia="Arial" w:cs="Arial"/>
          <w:b w:val="0"/>
          <w:bCs w:val="0"/>
          <w:noProof w:val="0"/>
          <w:sz w:val="22"/>
          <w:szCs w:val="22"/>
          <w:lang w:val="en-GB"/>
        </w:rPr>
        <w:t xml:space="preserve"> are critical in </w:t>
      </w:r>
      <w:r w:rsidRPr="4AF775A2" w:rsidR="58760D2A">
        <w:rPr>
          <w:rFonts w:ascii="Arial" w:hAnsi="Arial" w:eastAsia="Arial" w:cs="Arial"/>
          <w:b w:val="0"/>
          <w:bCs w:val="0"/>
          <w:noProof w:val="0"/>
          <w:sz w:val="22"/>
          <w:szCs w:val="22"/>
          <w:lang w:val="en-GB"/>
        </w:rPr>
        <w:t>determining</w:t>
      </w:r>
      <w:r w:rsidRPr="4AF775A2" w:rsidR="58760D2A">
        <w:rPr>
          <w:rFonts w:ascii="Arial" w:hAnsi="Arial" w:eastAsia="Arial" w:cs="Arial"/>
          <w:b w:val="0"/>
          <w:bCs w:val="0"/>
          <w:noProof w:val="0"/>
          <w:sz w:val="22"/>
          <w:szCs w:val="22"/>
          <w:lang w:val="en-GB"/>
        </w:rPr>
        <w:t xml:space="preserve"> the effectiveness of HRM practices. These practices do not </w:t>
      </w:r>
      <w:r w:rsidRPr="4AF775A2" w:rsidR="58760D2A">
        <w:rPr>
          <w:rFonts w:ascii="Arial" w:hAnsi="Arial" w:eastAsia="Arial" w:cs="Arial"/>
          <w:b w:val="0"/>
          <w:bCs w:val="0"/>
          <w:noProof w:val="0"/>
          <w:sz w:val="22"/>
          <w:szCs w:val="22"/>
          <w:lang w:val="en-GB"/>
        </w:rPr>
        <w:t>operate</w:t>
      </w:r>
      <w:r w:rsidRPr="4AF775A2" w:rsidR="58760D2A">
        <w:rPr>
          <w:rFonts w:ascii="Arial" w:hAnsi="Arial" w:eastAsia="Arial" w:cs="Arial"/>
          <w:b w:val="0"/>
          <w:bCs w:val="0"/>
          <w:noProof w:val="0"/>
          <w:sz w:val="22"/>
          <w:szCs w:val="22"/>
          <w:lang w:val="en-GB"/>
        </w:rPr>
        <w:t xml:space="preserve"> in isolation; their influence hinges on employee interpretation. For example, when employees perceive coherent HRM systems positively, these systems improve employee attitudes. Conversely, </w:t>
      </w:r>
      <w:r w:rsidRPr="4AF775A2" w:rsidR="58760D2A">
        <w:rPr>
          <w:rFonts w:ascii="Arial" w:hAnsi="Arial" w:eastAsia="Arial" w:cs="Arial"/>
          <w:b w:val="0"/>
          <w:bCs w:val="0"/>
          <w:noProof w:val="0"/>
          <w:sz w:val="22"/>
          <w:szCs w:val="22"/>
          <w:lang w:val="en-GB"/>
        </w:rPr>
        <w:t>perceptions</w:t>
      </w:r>
      <w:r w:rsidRPr="4AF775A2" w:rsidR="58760D2A">
        <w:rPr>
          <w:rFonts w:ascii="Arial" w:hAnsi="Arial" w:eastAsia="Arial" w:cs="Arial"/>
          <w:b w:val="0"/>
          <w:bCs w:val="0"/>
          <w:noProof w:val="0"/>
          <w:sz w:val="22"/>
          <w:szCs w:val="22"/>
          <w:lang w:val="en-GB"/>
        </w:rPr>
        <w:t xml:space="preserve"> of control or unfairness can lead to detrimental outcomes (Ogbonnaya and Messersmith, 2019). This observation corresponds with broader HRM literature, which finds that employee well-being and engagement are key drivers of organisational performance (Guest, 2017).</w:t>
      </w:r>
    </w:p>
    <w:p w:rsidR="65665192" w:rsidP="4AF775A2" w:rsidRDefault="65665192" w14:paraId="0550A1F6" w14:textId="6EAB0811">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Melo, Machado, and Brewster (2023) </w:t>
      </w:r>
      <w:r w:rsidRPr="4AF775A2" w:rsidR="58760D2A">
        <w:rPr>
          <w:rFonts w:ascii="Arial" w:hAnsi="Arial" w:eastAsia="Arial" w:cs="Arial"/>
          <w:b w:val="0"/>
          <w:bCs w:val="0"/>
          <w:noProof w:val="0"/>
          <w:sz w:val="22"/>
          <w:szCs w:val="22"/>
          <w:lang w:val="en-GB"/>
        </w:rPr>
        <w:t>observe</w:t>
      </w:r>
      <w:r w:rsidRPr="4AF775A2" w:rsidR="58760D2A">
        <w:rPr>
          <w:rFonts w:ascii="Arial" w:hAnsi="Arial" w:eastAsia="Arial" w:cs="Arial"/>
          <w:b w:val="0"/>
          <w:bCs w:val="0"/>
          <w:noProof w:val="0"/>
          <w:sz w:val="22"/>
          <w:szCs w:val="22"/>
          <w:lang w:val="en-GB"/>
        </w:rPr>
        <w:t xml:space="preserve"> that HRM literature </w:t>
      </w:r>
      <w:r w:rsidRPr="4AF775A2" w:rsidR="58760D2A">
        <w:rPr>
          <w:rFonts w:ascii="Arial" w:hAnsi="Arial" w:eastAsia="Arial" w:cs="Arial"/>
          <w:b w:val="0"/>
          <w:bCs w:val="0"/>
          <w:noProof w:val="0"/>
          <w:sz w:val="22"/>
          <w:szCs w:val="22"/>
          <w:lang w:val="en-GB"/>
        </w:rPr>
        <w:t>remains</w:t>
      </w:r>
      <w:r w:rsidRPr="4AF775A2" w:rsidR="58760D2A">
        <w:rPr>
          <w:rFonts w:ascii="Arial" w:hAnsi="Arial" w:eastAsia="Arial" w:cs="Arial"/>
          <w:b w:val="0"/>
          <w:bCs w:val="0"/>
          <w:noProof w:val="0"/>
          <w:sz w:val="22"/>
          <w:szCs w:val="22"/>
          <w:lang w:val="en-GB"/>
        </w:rPr>
        <w:t xml:space="preserve"> fragmented </w:t>
      </w:r>
      <w:r w:rsidRPr="4AF775A2" w:rsidR="58760D2A">
        <w:rPr>
          <w:rFonts w:ascii="Arial" w:hAnsi="Arial" w:eastAsia="Arial" w:cs="Arial"/>
          <w:b w:val="0"/>
          <w:bCs w:val="0"/>
          <w:noProof w:val="0"/>
          <w:sz w:val="22"/>
          <w:szCs w:val="22"/>
          <w:lang w:val="en-GB"/>
        </w:rPr>
        <w:t>regarding</w:t>
      </w:r>
      <w:r w:rsidRPr="4AF775A2" w:rsidR="58760D2A">
        <w:rPr>
          <w:rFonts w:ascii="Arial" w:hAnsi="Arial" w:eastAsia="Arial" w:cs="Arial"/>
          <w:b w:val="0"/>
          <w:bCs w:val="0"/>
          <w:noProof w:val="0"/>
          <w:sz w:val="22"/>
          <w:szCs w:val="22"/>
          <w:lang w:val="en-GB"/>
        </w:rPr>
        <w:t xml:space="preserve"> the combined influence of organisational and circumstantial factors on HRM effectiveness. Empirical evidence </w:t>
      </w:r>
      <w:r w:rsidRPr="4AF775A2" w:rsidR="58760D2A">
        <w:rPr>
          <w:rFonts w:ascii="Arial" w:hAnsi="Arial" w:eastAsia="Arial" w:cs="Arial"/>
          <w:b w:val="0"/>
          <w:bCs w:val="0"/>
          <w:noProof w:val="0"/>
          <w:sz w:val="22"/>
          <w:szCs w:val="22"/>
          <w:lang w:val="en-GB"/>
        </w:rPr>
        <w:t>demonstrates</w:t>
      </w:r>
      <w:r w:rsidRPr="4AF775A2" w:rsidR="58760D2A">
        <w:rPr>
          <w:rFonts w:ascii="Arial" w:hAnsi="Arial" w:eastAsia="Arial" w:cs="Arial"/>
          <w:b w:val="0"/>
          <w:bCs w:val="0"/>
          <w:noProof w:val="0"/>
          <w:sz w:val="22"/>
          <w:szCs w:val="22"/>
          <w:lang w:val="en-GB"/>
        </w:rPr>
        <w:t xml:space="preserve"> that a wide range of internal and external factors shape HRM practices and their outcomes. These include transparent information sharing about organisational performance, effective use of internal communication tools such as intranets, and structured career management practices supporting training, development, and employee integration. Organisational design, creativity initiatives, and the quality of the working environment are also significant. Collaborative mechanisms such as teamwork and managerial commitment further enhance HRM outcomes. The presence of dedicated HR leadership and the influence of the local corporate context are </w:t>
      </w:r>
      <w:r w:rsidRPr="4AF775A2" w:rsidR="58760D2A">
        <w:rPr>
          <w:rFonts w:ascii="Arial" w:hAnsi="Arial" w:eastAsia="Arial" w:cs="Arial"/>
          <w:b w:val="0"/>
          <w:bCs w:val="0"/>
          <w:noProof w:val="0"/>
          <w:sz w:val="22"/>
          <w:szCs w:val="22"/>
          <w:lang w:val="en-GB"/>
        </w:rPr>
        <w:t>additional</w:t>
      </w:r>
      <w:r w:rsidRPr="4AF775A2" w:rsidR="58760D2A">
        <w:rPr>
          <w:rFonts w:ascii="Arial" w:hAnsi="Arial" w:eastAsia="Arial" w:cs="Arial"/>
          <w:b w:val="0"/>
          <w:bCs w:val="0"/>
          <w:noProof w:val="0"/>
          <w:sz w:val="22"/>
          <w:szCs w:val="22"/>
          <w:lang w:val="en-GB"/>
        </w:rPr>
        <w:t xml:space="preserve"> determinants, underpinning the view that HRM effectiveness is embedded among broader organisational and environmental systems.</w:t>
      </w:r>
    </w:p>
    <w:p w:rsidR="65665192" w:rsidP="4AF775A2" w:rsidRDefault="65665192" w14:paraId="74012B70" w14:textId="5343444B">
      <w:pPr>
        <w:pStyle w:val="Heading2"/>
        <w:spacing w:line="360" w:lineRule="auto"/>
        <w:jc w:val="both"/>
        <w:rPr>
          <w:rFonts w:ascii="Arial" w:hAnsi="Arial" w:eastAsia="Arial" w:cs="Arial"/>
          <w:b w:val="0"/>
          <w:bCs w:val="0"/>
          <w:noProof w:val="0"/>
          <w:sz w:val="22"/>
          <w:szCs w:val="22"/>
          <w:lang w:val="en-GB"/>
        </w:rPr>
      </w:pPr>
      <w:bookmarkStart w:name="_Toc467346045" w:id="793916262"/>
      <w:r w:rsidRPr="4AF775A2" w:rsidR="58760D2A">
        <w:rPr>
          <w:rFonts w:ascii="Arial" w:hAnsi="Arial" w:eastAsia="Arial" w:cs="Arial"/>
          <w:noProof w:val="0"/>
          <w:sz w:val="22"/>
          <w:szCs w:val="22"/>
          <w:lang w:val="en-GB"/>
        </w:rPr>
        <w:t>Theories and Determinants of Motivation</w:t>
      </w:r>
      <w:bookmarkEnd w:id="793916262"/>
    </w:p>
    <w:p w:rsidR="65665192" w:rsidP="4AF775A2" w:rsidRDefault="65665192" w14:paraId="07272C7F" w14:textId="3E76035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Motivation is an essential concept to understand employee behaviour, engagement, and performance within organisations. </w:t>
      </w:r>
      <w:r w:rsidRPr="4AF775A2" w:rsidR="58760D2A">
        <w:rPr>
          <w:rFonts w:ascii="Arial" w:hAnsi="Arial" w:eastAsia="Arial" w:cs="Arial"/>
          <w:b w:val="0"/>
          <w:bCs w:val="0"/>
          <w:noProof w:val="0"/>
          <w:sz w:val="22"/>
          <w:szCs w:val="22"/>
          <w:lang w:val="en-GB"/>
        </w:rPr>
        <w:t>Lorincová</w:t>
      </w:r>
      <w:r w:rsidRPr="4AF775A2" w:rsidR="58760D2A">
        <w:rPr>
          <w:rFonts w:ascii="Arial" w:hAnsi="Arial" w:eastAsia="Arial" w:cs="Arial"/>
          <w:b w:val="0"/>
          <w:bCs w:val="0"/>
          <w:noProof w:val="0"/>
          <w:sz w:val="22"/>
          <w:szCs w:val="22"/>
          <w:lang w:val="en-GB"/>
        </w:rPr>
        <w:t xml:space="preserve"> et al. (2020) assert that motivating employees is a central driver of effort, persistence, performance, and retention. Bandhu et al. (2024) define motivation as the internal and external forces that </w:t>
      </w:r>
      <w:r w:rsidRPr="4AF775A2" w:rsidR="58760D2A">
        <w:rPr>
          <w:rFonts w:ascii="Arial" w:hAnsi="Arial" w:eastAsia="Arial" w:cs="Arial"/>
          <w:b w:val="0"/>
          <w:bCs w:val="0"/>
          <w:noProof w:val="0"/>
          <w:sz w:val="22"/>
          <w:szCs w:val="22"/>
          <w:lang w:val="en-GB"/>
        </w:rPr>
        <w:t>initiate</w:t>
      </w:r>
      <w:r w:rsidRPr="4AF775A2" w:rsidR="58760D2A">
        <w:rPr>
          <w:rFonts w:ascii="Arial" w:hAnsi="Arial" w:eastAsia="Arial" w:cs="Arial"/>
          <w:b w:val="0"/>
          <w:bCs w:val="0"/>
          <w:noProof w:val="0"/>
          <w:sz w:val="22"/>
          <w:szCs w:val="22"/>
          <w:lang w:val="en-GB"/>
        </w:rPr>
        <w:t xml:space="preserve">, direct, and sustain goal-oriented behaviour. Within HRM, motivation is especially important because organisational practices are intended to improve employee effort, commitment, and productivity. In high-demand sectors such as </w:t>
      </w:r>
      <w:r w:rsidRPr="4AF775A2" w:rsidR="58760D2A">
        <w:rPr>
          <w:rFonts w:ascii="Arial" w:hAnsi="Arial" w:eastAsia="Arial" w:cs="Arial"/>
          <w:b w:val="0"/>
          <w:bCs w:val="0"/>
          <w:noProof w:val="0"/>
          <w:sz w:val="22"/>
          <w:szCs w:val="22"/>
          <w:lang w:val="en-GB"/>
        </w:rPr>
        <w:t xml:space="preserve">aviation, where performance standards are rigorous and operational pressures are considerable, understanding the determinants of motivation is essential. HRM practices do not directly generate outcomes; instead, they influence employee motivation, which </w:t>
      </w:r>
      <w:r w:rsidRPr="4AF775A2" w:rsidR="58760D2A">
        <w:rPr>
          <w:rFonts w:ascii="Arial" w:hAnsi="Arial" w:eastAsia="Arial" w:cs="Arial"/>
          <w:b w:val="0"/>
          <w:bCs w:val="0"/>
          <w:noProof w:val="0"/>
          <w:sz w:val="22"/>
          <w:szCs w:val="22"/>
          <w:lang w:val="en-GB"/>
        </w:rPr>
        <w:t>subsequently</w:t>
      </w:r>
      <w:r w:rsidRPr="4AF775A2" w:rsidR="58760D2A">
        <w:rPr>
          <w:rFonts w:ascii="Arial" w:hAnsi="Arial" w:eastAsia="Arial" w:cs="Arial"/>
          <w:b w:val="0"/>
          <w:bCs w:val="0"/>
          <w:noProof w:val="0"/>
          <w:sz w:val="22"/>
          <w:szCs w:val="22"/>
          <w:lang w:val="en-GB"/>
        </w:rPr>
        <w:t xml:space="preserve"> shapes attitudes and behaviours such as engagement, satisfaction, and retention.</w:t>
      </w:r>
    </w:p>
    <w:p w:rsidR="65665192" w:rsidP="4AF775A2" w:rsidRDefault="65665192" w14:paraId="6BCF8860" w14:textId="1AB4241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Early theories of motivation originate from Taylorism, developed by Frederick Taylor in 1911. Taylor’s Scientific Management Theory conceptualised workers as economically motivated individuals, principally driven by financial incentives and measurable outcomes. This approach emphasised task standardisation, close supervision, and performance-based pay as major drivers of productivity (Carlson Dean, 1997). Although Taylorism significantly improved factory efficiency, it has been widely criticised for its mechanistic perspective, which neglects employees’ social and psychological needs (Uddin and Hossain, 2015). In contemporary HRM, particularly in knowledge-intensive, highly skilled sectors such as aviation, an exclusive focus on extrinsic motivation is insufficient for sustaining engagement and long-term commitment.</w:t>
      </w:r>
    </w:p>
    <w:p w:rsidR="65665192" w:rsidP="4AF775A2" w:rsidRDefault="65665192" w14:paraId="5FA32F25" w14:textId="0D1018A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Subsequently, motivation theories shifted toward a more human-centric perspective. Maslow’s Hierarchy of Needs (1954) proposes that individuals are motivated by a progression of needs, ranging from basic psychological needs to safety, social belonging, esteem, and </w:t>
      </w:r>
      <w:r w:rsidRPr="4AF775A2" w:rsidR="05083453">
        <w:rPr>
          <w:rFonts w:ascii="Arial" w:hAnsi="Arial" w:eastAsia="Arial" w:cs="Arial"/>
          <w:b w:val="0"/>
          <w:bCs w:val="0"/>
          <w:noProof w:val="0"/>
          <w:sz w:val="22"/>
          <w:szCs w:val="22"/>
          <w:lang w:val="en-GB"/>
        </w:rPr>
        <w:t>self-</w:t>
      </w:r>
      <w:r w:rsidRPr="4AF775A2" w:rsidR="58760D2A">
        <w:rPr>
          <w:rFonts w:ascii="Arial" w:hAnsi="Arial" w:eastAsia="Arial" w:cs="Arial"/>
          <w:b w:val="0"/>
          <w:bCs w:val="0"/>
          <w:noProof w:val="0"/>
          <w:sz w:val="22"/>
          <w:szCs w:val="22"/>
          <w:lang w:val="en-GB"/>
        </w:rPr>
        <w:t xml:space="preserve">actualisation (King, Gontarz, and Wei, 2020). This framework </w:t>
      </w:r>
      <w:r w:rsidRPr="4AF775A2" w:rsidR="58760D2A">
        <w:rPr>
          <w:rFonts w:ascii="Arial" w:hAnsi="Arial" w:eastAsia="Arial" w:cs="Arial"/>
          <w:b w:val="0"/>
          <w:bCs w:val="0"/>
          <w:noProof w:val="0"/>
          <w:sz w:val="22"/>
          <w:szCs w:val="22"/>
          <w:lang w:val="en-GB"/>
        </w:rPr>
        <w:t>indicates</w:t>
      </w:r>
      <w:r w:rsidRPr="4AF775A2" w:rsidR="58760D2A">
        <w:rPr>
          <w:rFonts w:ascii="Arial" w:hAnsi="Arial" w:eastAsia="Arial" w:cs="Arial"/>
          <w:b w:val="0"/>
          <w:bCs w:val="0"/>
          <w:noProof w:val="0"/>
          <w:sz w:val="22"/>
          <w:szCs w:val="22"/>
          <w:lang w:val="en-GB"/>
        </w:rPr>
        <w:t xml:space="preserve"> that once lower-level needs are satisfied, they no longer act as primary motivators, and people pursue higher-level fulfilment. Maslow’s theory has been widely applied in organisational settings to design HRM practices which address both basic and psychological employee needs, such as job security, teamwork, and possibilities for personal development. However, the theory has been criticised for its rigid hierarchical structure and lack of empirical consistency, since individuals may prioritise needs differently depending on context (Van Heerden, and Naicker, 2025). </w:t>
      </w:r>
    </w:p>
    <w:p w:rsidR="65665192" w:rsidP="4AF775A2" w:rsidRDefault="65665192" w14:paraId="0A20C1EC" w14:textId="411F41B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Recent perspectives on motivation increasingly adopt a multidimensional view, encompassing both intrinsic and extrinsic drivers, while recognising the complex and changing nature of employee behaviour. While classic models emphasised financial rewards as primary motivators, more recent studies reveal the growing importance of meaningful work, autonomy, and chances for personal and vocational growth (Sarmad, 2016; Vu, 2022). For instance, </w:t>
      </w:r>
      <w:r w:rsidRPr="4AF775A2" w:rsidR="58760D2A">
        <w:rPr>
          <w:rFonts w:ascii="Arial" w:hAnsi="Arial" w:eastAsia="Arial" w:cs="Arial"/>
          <w:b w:val="0"/>
          <w:bCs w:val="0"/>
          <w:noProof w:val="0"/>
          <w:sz w:val="22"/>
          <w:szCs w:val="22"/>
          <w:lang w:val="en-GB"/>
        </w:rPr>
        <w:t>Wikstorm</w:t>
      </w:r>
      <w:r w:rsidRPr="4AF775A2" w:rsidR="58760D2A">
        <w:rPr>
          <w:rFonts w:ascii="Arial" w:hAnsi="Arial" w:eastAsia="Arial" w:cs="Arial"/>
          <w:b w:val="0"/>
          <w:bCs w:val="0"/>
          <w:noProof w:val="0"/>
          <w:sz w:val="22"/>
          <w:szCs w:val="22"/>
          <w:lang w:val="en-GB"/>
        </w:rPr>
        <w:t xml:space="preserve"> (2023) </w:t>
      </w:r>
      <w:r w:rsidRPr="4AF775A2" w:rsidR="58760D2A">
        <w:rPr>
          <w:rFonts w:ascii="Arial" w:hAnsi="Arial" w:eastAsia="Arial" w:cs="Arial"/>
          <w:b w:val="0"/>
          <w:bCs w:val="0"/>
          <w:noProof w:val="0"/>
          <w:sz w:val="22"/>
          <w:szCs w:val="22"/>
          <w:lang w:val="en-GB"/>
        </w:rPr>
        <w:t>demonstrates</w:t>
      </w:r>
      <w:r w:rsidRPr="4AF775A2" w:rsidR="58760D2A">
        <w:rPr>
          <w:rFonts w:ascii="Arial" w:hAnsi="Arial" w:eastAsia="Arial" w:cs="Arial"/>
          <w:b w:val="0"/>
          <w:bCs w:val="0"/>
          <w:noProof w:val="0"/>
          <w:sz w:val="22"/>
          <w:szCs w:val="22"/>
          <w:lang w:val="en-GB"/>
        </w:rPr>
        <w:t xml:space="preserve"> that mentoring programmes play a critical role in enhancing employee engagement by fostering sustained learning and development, which, in turn, encourages long-term retention. This suggests that motivation is not exclusively dependent on direct rewards, but also on long-term developmental relationships within organisations. Similarly, </w:t>
      </w:r>
      <w:r w:rsidRPr="4AF775A2" w:rsidR="58760D2A">
        <w:rPr>
          <w:rFonts w:ascii="Arial" w:hAnsi="Arial" w:eastAsia="Arial" w:cs="Arial"/>
          <w:b w:val="0"/>
          <w:bCs w:val="0"/>
          <w:noProof w:val="0"/>
          <w:sz w:val="22"/>
          <w:szCs w:val="22"/>
          <w:lang w:val="en-GB"/>
        </w:rPr>
        <w:t>Pathomphatthaphan</w:t>
      </w:r>
      <w:r w:rsidRPr="4AF775A2" w:rsidR="58760D2A">
        <w:rPr>
          <w:rFonts w:ascii="Arial" w:hAnsi="Arial" w:eastAsia="Arial" w:cs="Arial"/>
          <w:b w:val="0"/>
          <w:bCs w:val="0"/>
          <w:noProof w:val="0"/>
          <w:sz w:val="22"/>
          <w:szCs w:val="22"/>
          <w:lang w:val="en-GB"/>
        </w:rPr>
        <w:t xml:space="preserve"> </w:t>
      </w:r>
      <w:r w:rsidRPr="4AF775A2" w:rsidR="039AB2C9">
        <w:rPr>
          <w:rFonts w:ascii="Arial" w:hAnsi="Arial" w:eastAsia="Arial" w:cs="Arial"/>
          <w:b w:val="0"/>
          <w:bCs w:val="0"/>
          <w:noProof w:val="0"/>
          <w:sz w:val="22"/>
          <w:szCs w:val="22"/>
          <w:lang w:val="en-GB"/>
        </w:rPr>
        <w:t>&amp; Lalatendu</w:t>
      </w:r>
      <w:r w:rsidRPr="4AF775A2" w:rsidR="58760D2A">
        <w:rPr>
          <w:rFonts w:ascii="Arial" w:hAnsi="Arial" w:eastAsia="Arial" w:cs="Arial"/>
          <w:b w:val="0"/>
          <w:bCs w:val="0"/>
          <w:noProof w:val="0"/>
          <w:sz w:val="22"/>
          <w:szCs w:val="22"/>
          <w:lang w:val="en-GB"/>
        </w:rPr>
        <w:t xml:space="preserve"> </w:t>
      </w:r>
      <w:r w:rsidRPr="4AF775A2" w:rsidR="58760D2A">
        <w:rPr>
          <w:rFonts w:ascii="Arial" w:hAnsi="Arial" w:eastAsia="Arial" w:cs="Arial"/>
          <w:b w:val="0"/>
          <w:bCs w:val="0"/>
          <w:noProof w:val="0"/>
          <w:sz w:val="22"/>
          <w:szCs w:val="22"/>
          <w:lang w:val="en-GB"/>
        </w:rPr>
        <w:t>Kesari (2024) argue that agile HRM practices - characterised by flexibility, responsiveness, and employee involvement - strengthen organisational commitment, further strengthening the importance of an adaptive and employee-centred management approach.</w:t>
      </w:r>
    </w:p>
    <w:p w:rsidR="65665192" w:rsidP="4AF775A2" w:rsidRDefault="65665192" w14:paraId="01D99E5C" w14:textId="1C41464F">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Despite the increasing emphasis on intrinsic motivation, extrinsic factors </w:t>
      </w:r>
      <w:r w:rsidRPr="4AF775A2" w:rsidR="58760D2A">
        <w:rPr>
          <w:rFonts w:ascii="Arial" w:hAnsi="Arial" w:eastAsia="Arial" w:cs="Arial"/>
          <w:b w:val="0"/>
          <w:bCs w:val="0"/>
          <w:noProof w:val="0"/>
          <w:sz w:val="22"/>
          <w:szCs w:val="22"/>
          <w:lang w:val="en-GB"/>
        </w:rPr>
        <w:t>remain</w:t>
      </w:r>
      <w:r w:rsidRPr="4AF775A2" w:rsidR="58760D2A">
        <w:rPr>
          <w:rFonts w:ascii="Arial" w:hAnsi="Arial" w:eastAsia="Arial" w:cs="Arial"/>
          <w:b w:val="0"/>
          <w:bCs w:val="0"/>
          <w:noProof w:val="0"/>
          <w:sz w:val="22"/>
          <w:szCs w:val="22"/>
          <w:lang w:val="en-GB"/>
        </w:rPr>
        <w:t xml:space="preserve"> highly influential. </w:t>
      </w:r>
      <w:r w:rsidRPr="4AF775A2" w:rsidR="58760D2A">
        <w:rPr>
          <w:rFonts w:ascii="Arial" w:hAnsi="Arial" w:eastAsia="Arial" w:cs="Arial"/>
          <w:b w:val="0"/>
          <w:bCs w:val="0"/>
          <w:noProof w:val="0"/>
          <w:sz w:val="22"/>
          <w:szCs w:val="22"/>
          <w:lang w:val="en-GB"/>
        </w:rPr>
        <w:t>Sarinad</w:t>
      </w:r>
      <w:r w:rsidRPr="4AF775A2" w:rsidR="58760D2A">
        <w:rPr>
          <w:rFonts w:ascii="Arial" w:hAnsi="Arial" w:eastAsia="Arial" w:cs="Arial"/>
          <w:b w:val="0"/>
          <w:bCs w:val="0"/>
          <w:noProof w:val="0"/>
          <w:sz w:val="22"/>
          <w:szCs w:val="22"/>
          <w:lang w:val="en-GB"/>
        </w:rPr>
        <w:t xml:space="preserve"> (2016) finds that fair compensation is a significant predictor of employee retention, </w:t>
      </w:r>
      <w:r w:rsidRPr="4AF775A2" w:rsidR="58760D2A">
        <w:rPr>
          <w:rFonts w:ascii="Arial" w:hAnsi="Arial" w:eastAsia="Arial" w:cs="Arial"/>
          <w:b w:val="0"/>
          <w:bCs w:val="0"/>
          <w:noProof w:val="0"/>
          <w:sz w:val="22"/>
          <w:szCs w:val="22"/>
          <w:lang w:val="en-GB"/>
        </w:rPr>
        <w:t>indicating</w:t>
      </w:r>
      <w:r w:rsidRPr="4AF775A2" w:rsidR="58760D2A">
        <w:rPr>
          <w:rFonts w:ascii="Arial" w:hAnsi="Arial" w:eastAsia="Arial" w:cs="Arial"/>
          <w:b w:val="0"/>
          <w:bCs w:val="0"/>
          <w:noProof w:val="0"/>
          <w:sz w:val="22"/>
          <w:szCs w:val="22"/>
          <w:lang w:val="en-GB"/>
        </w:rPr>
        <w:t xml:space="preserve"> that financial rewards continue to play </w:t>
      </w:r>
      <w:r w:rsidRPr="4AF775A2" w:rsidR="69E2C71B">
        <w:rPr>
          <w:rFonts w:ascii="Arial" w:hAnsi="Arial" w:eastAsia="Arial" w:cs="Arial"/>
          <w:b w:val="0"/>
          <w:bCs w:val="0"/>
          <w:noProof w:val="0"/>
          <w:sz w:val="22"/>
          <w:szCs w:val="22"/>
          <w:lang w:val="en-GB"/>
        </w:rPr>
        <w:t>a vital role</w:t>
      </w:r>
      <w:r w:rsidRPr="4AF775A2" w:rsidR="58760D2A">
        <w:rPr>
          <w:rFonts w:ascii="Arial" w:hAnsi="Arial" w:eastAsia="Arial" w:cs="Arial"/>
          <w:b w:val="0"/>
          <w:bCs w:val="0"/>
          <w:noProof w:val="0"/>
          <w:sz w:val="22"/>
          <w:szCs w:val="22"/>
          <w:lang w:val="en-GB"/>
        </w:rPr>
        <w:t xml:space="preserve"> in motivation, particularly in competitive labour markets. This highlights a key tension in the literature: intrinsic factors may drive stronger engagement, but they cannot fully substitute for adequate extrinsic rewards. Additionally, Memon et al. (2021) </w:t>
      </w:r>
      <w:r w:rsidRPr="4AF775A2" w:rsidR="58760D2A">
        <w:rPr>
          <w:rFonts w:ascii="Arial" w:hAnsi="Arial" w:eastAsia="Arial" w:cs="Arial"/>
          <w:b w:val="0"/>
          <w:bCs w:val="0"/>
          <w:noProof w:val="0"/>
          <w:sz w:val="22"/>
          <w:szCs w:val="22"/>
          <w:lang w:val="en-GB"/>
        </w:rPr>
        <w:t>demonstrate</w:t>
      </w:r>
      <w:r w:rsidRPr="4AF775A2" w:rsidR="58760D2A">
        <w:rPr>
          <w:rFonts w:ascii="Arial" w:hAnsi="Arial" w:eastAsia="Arial" w:cs="Arial"/>
          <w:b w:val="0"/>
          <w:bCs w:val="0"/>
          <w:noProof w:val="0"/>
          <w:sz w:val="22"/>
          <w:szCs w:val="22"/>
          <w:lang w:val="en-GB"/>
        </w:rPr>
        <w:t xml:space="preserve"> that work engagement mediates the relationship between HRM practices and turnover intention. This suggests that HRM practices influence retention indirectly, </w:t>
      </w:r>
      <w:r w:rsidRPr="4AF775A2" w:rsidR="58760D2A">
        <w:rPr>
          <w:rFonts w:ascii="Arial" w:hAnsi="Arial" w:eastAsia="Arial" w:cs="Arial"/>
          <w:b w:val="0"/>
          <w:bCs w:val="0"/>
          <w:noProof w:val="0"/>
          <w:sz w:val="22"/>
          <w:szCs w:val="22"/>
          <w:lang w:val="en-GB"/>
        </w:rPr>
        <w:t>operating</w:t>
      </w:r>
      <w:r w:rsidRPr="4AF775A2" w:rsidR="58760D2A">
        <w:rPr>
          <w:rFonts w:ascii="Arial" w:hAnsi="Arial" w:eastAsia="Arial" w:cs="Arial"/>
          <w:b w:val="0"/>
          <w:bCs w:val="0"/>
          <w:noProof w:val="0"/>
          <w:sz w:val="22"/>
          <w:szCs w:val="22"/>
          <w:lang w:val="en-GB"/>
        </w:rPr>
        <w:t xml:space="preserve"> through psychological states such as engagement, which are </w:t>
      </w:r>
      <w:r w:rsidRPr="4AF775A2" w:rsidR="58760D2A">
        <w:rPr>
          <w:rFonts w:ascii="Arial" w:hAnsi="Arial" w:eastAsia="Arial" w:cs="Arial"/>
          <w:b w:val="0"/>
          <w:bCs w:val="0"/>
          <w:noProof w:val="0"/>
          <w:sz w:val="22"/>
          <w:szCs w:val="22"/>
          <w:lang w:val="en-GB"/>
        </w:rPr>
        <w:t>determined</w:t>
      </w:r>
      <w:r w:rsidRPr="4AF775A2" w:rsidR="58760D2A">
        <w:rPr>
          <w:rFonts w:ascii="Arial" w:hAnsi="Arial" w:eastAsia="Arial" w:cs="Arial"/>
          <w:b w:val="0"/>
          <w:bCs w:val="0"/>
          <w:noProof w:val="0"/>
          <w:sz w:val="22"/>
          <w:szCs w:val="22"/>
          <w:lang w:val="en-GB"/>
        </w:rPr>
        <w:t xml:space="preserve"> by both intrinsic and extrinsic motivational factors.</w:t>
      </w:r>
    </w:p>
    <w:p w:rsidR="65665192" w:rsidP="4AF775A2" w:rsidRDefault="65665192" w14:paraId="5D85DB47" w14:textId="6895AD5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These findings stress that motivation is </w:t>
      </w:r>
      <w:r w:rsidRPr="4AF775A2" w:rsidR="58760D2A">
        <w:rPr>
          <w:rFonts w:ascii="Arial" w:hAnsi="Arial" w:eastAsia="Arial" w:cs="Arial"/>
          <w:b w:val="0"/>
          <w:bCs w:val="0"/>
          <w:noProof w:val="0"/>
          <w:sz w:val="22"/>
          <w:szCs w:val="22"/>
          <w:lang w:val="en-GB"/>
        </w:rPr>
        <w:t>determined</w:t>
      </w:r>
      <w:r w:rsidRPr="4AF775A2" w:rsidR="58760D2A">
        <w:rPr>
          <w:rFonts w:ascii="Arial" w:hAnsi="Arial" w:eastAsia="Arial" w:cs="Arial"/>
          <w:b w:val="0"/>
          <w:bCs w:val="0"/>
          <w:noProof w:val="0"/>
          <w:sz w:val="22"/>
          <w:szCs w:val="22"/>
          <w:lang w:val="en-GB"/>
        </w:rPr>
        <w:t xml:space="preserve"> by the interaction of multiple factors and employee </w:t>
      </w:r>
      <w:r w:rsidRPr="4AF775A2" w:rsidR="58760D2A">
        <w:rPr>
          <w:rFonts w:ascii="Arial" w:hAnsi="Arial" w:eastAsia="Arial" w:cs="Arial"/>
          <w:b w:val="0"/>
          <w:bCs w:val="0"/>
          <w:noProof w:val="0"/>
          <w:sz w:val="22"/>
          <w:szCs w:val="22"/>
          <w:lang w:val="en-GB"/>
        </w:rPr>
        <w:t>perceptions</w:t>
      </w:r>
      <w:r w:rsidRPr="4AF775A2" w:rsidR="58760D2A">
        <w:rPr>
          <w:rFonts w:ascii="Arial" w:hAnsi="Arial" w:eastAsia="Arial" w:cs="Arial"/>
          <w:b w:val="0"/>
          <w:bCs w:val="0"/>
          <w:noProof w:val="0"/>
          <w:sz w:val="22"/>
          <w:szCs w:val="22"/>
          <w:lang w:val="en-GB"/>
        </w:rPr>
        <w:t xml:space="preserve">, rather than by isolated practices. Organisations that overemphasise a single dimension, such as financial incentives or developmental opportunities, risk damaging overall motivation. A balanced and context-sensitive approach is </w:t>
      </w:r>
      <w:r w:rsidRPr="4AF775A2" w:rsidR="58760D2A">
        <w:rPr>
          <w:rFonts w:ascii="Arial" w:hAnsi="Arial" w:eastAsia="Arial" w:cs="Arial"/>
          <w:b w:val="0"/>
          <w:bCs w:val="0"/>
          <w:noProof w:val="0"/>
          <w:sz w:val="22"/>
          <w:szCs w:val="22"/>
          <w:lang w:val="en-GB"/>
        </w:rPr>
        <w:t>required</w:t>
      </w:r>
      <w:r w:rsidRPr="4AF775A2" w:rsidR="58760D2A">
        <w:rPr>
          <w:rFonts w:ascii="Arial" w:hAnsi="Arial" w:eastAsia="Arial" w:cs="Arial"/>
          <w:b w:val="0"/>
          <w:bCs w:val="0"/>
          <w:noProof w:val="0"/>
          <w:sz w:val="22"/>
          <w:szCs w:val="22"/>
          <w:lang w:val="en-GB"/>
        </w:rPr>
        <w:t>, particularly in fast-paced industries such as aviation, where both tangible rewards and supportive organisational practices are fundamental for sustaining engagement and reducing turnover.</w:t>
      </w:r>
    </w:p>
    <w:p w:rsidR="65665192" w:rsidP="4AF775A2" w:rsidRDefault="65665192" w14:paraId="3D91AEBC" w14:textId="347607A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Social Exchange Theory (SET) offers a widely used structure for understanding the relationship between HRM practices and employee outcomes. According to SET, employment relationships are based on reciprocal exchanges, with employees responding favourably concerning perceived organisational support (Zhang </w:t>
      </w:r>
      <w:r w:rsidRPr="4AF775A2" w:rsidR="4A09CB71">
        <w:rPr>
          <w:rFonts w:ascii="Arial" w:hAnsi="Arial" w:eastAsia="Arial" w:cs="Arial"/>
          <w:b w:val="0"/>
          <w:bCs w:val="0"/>
          <w:noProof w:val="0"/>
          <w:sz w:val="22"/>
          <w:szCs w:val="22"/>
          <w:lang w:val="en-GB"/>
        </w:rPr>
        <w:t xml:space="preserve">&amp; </w:t>
      </w:r>
      <w:r w:rsidRPr="4AF775A2" w:rsidR="58760D2A">
        <w:rPr>
          <w:rFonts w:ascii="Arial" w:hAnsi="Arial" w:eastAsia="Arial" w:cs="Arial"/>
          <w:b w:val="0"/>
          <w:bCs w:val="0"/>
          <w:noProof w:val="0"/>
          <w:sz w:val="22"/>
          <w:szCs w:val="22"/>
          <w:lang w:val="en-GB"/>
        </w:rPr>
        <w:t>Jia, 2010).</w:t>
      </w:r>
    </w:p>
    <w:p w:rsidR="65665192" w:rsidP="4AF775A2" w:rsidRDefault="65665192" w14:paraId="2F6709D0" w14:textId="4541597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Within this system, HRM practices signal organisational intent. When employees perceive practices such as training, recognition, and participation as supportive, they are likely to respond with greater engagement and commitment. For example, participative leadership has been shown to increase job satisfaction using cognitive empowerment and work engagement (</w:t>
      </w:r>
      <w:r w:rsidRPr="4AF775A2" w:rsidR="58760D2A">
        <w:rPr>
          <w:rFonts w:ascii="Arial" w:hAnsi="Arial" w:eastAsia="Arial" w:cs="Arial"/>
          <w:b w:val="0"/>
          <w:bCs w:val="0"/>
          <w:noProof w:val="0"/>
          <w:sz w:val="22"/>
          <w:szCs w:val="22"/>
          <w:lang w:val="en-GB"/>
        </w:rPr>
        <w:t>Fatoki</w:t>
      </w:r>
      <w:r w:rsidRPr="4AF775A2" w:rsidR="58760D2A">
        <w:rPr>
          <w:rFonts w:ascii="Arial" w:hAnsi="Arial" w:eastAsia="Arial" w:cs="Arial"/>
          <w:b w:val="0"/>
          <w:bCs w:val="0"/>
          <w:noProof w:val="0"/>
          <w:sz w:val="22"/>
          <w:szCs w:val="22"/>
          <w:lang w:val="en-GB"/>
        </w:rPr>
        <w:t>, 2021).</w:t>
      </w:r>
    </w:p>
    <w:p w:rsidR="65665192" w:rsidP="4AF775A2" w:rsidRDefault="65665192" w14:paraId="01933EA6" w14:textId="1371B0D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Empirical evidence supports this perspective. Studies </w:t>
      </w:r>
      <w:r w:rsidRPr="4AF775A2" w:rsidR="58760D2A">
        <w:rPr>
          <w:rFonts w:ascii="Arial" w:hAnsi="Arial" w:eastAsia="Arial" w:cs="Arial"/>
          <w:b w:val="0"/>
          <w:bCs w:val="0"/>
          <w:noProof w:val="0"/>
          <w:sz w:val="22"/>
          <w:szCs w:val="22"/>
          <w:lang w:val="en-GB"/>
        </w:rPr>
        <w:t>indicate</w:t>
      </w:r>
      <w:r w:rsidRPr="4AF775A2" w:rsidR="58760D2A">
        <w:rPr>
          <w:rFonts w:ascii="Arial" w:hAnsi="Arial" w:eastAsia="Arial" w:cs="Arial"/>
          <w:b w:val="0"/>
          <w:bCs w:val="0"/>
          <w:noProof w:val="0"/>
          <w:sz w:val="22"/>
          <w:szCs w:val="22"/>
          <w:lang w:val="en-GB"/>
        </w:rPr>
        <w:t xml:space="preserve"> that employees who perceive HR practices as beneficial show greater levels of engagement and retention, confirming the importance of reciprocal relationships.</w:t>
      </w:r>
    </w:p>
    <w:p w:rsidR="65665192" w:rsidP="4AF775A2" w:rsidRDefault="65665192" w14:paraId="44E7ECBC" w14:textId="3D39E0C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58760D2A">
        <w:rPr>
          <w:rFonts w:ascii="Arial" w:hAnsi="Arial" w:eastAsia="Arial" w:cs="Arial"/>
          <w:b w:val="0"/>
          <w:bCs w:val="0"/>
          <w:noProof w:val="0"/>
          <w:sz w:val="22"/>
          <w:szCs w:val="22"/>
          <w:lang w:val="en-GB"/>
        </w:rPr>
        <w:t xml:space="preserve">However, SET has limitations. It assumes </w:t>
      </w:r>
      <w:r w:rsidRPr="4AF775A2" w:rsidR="58760D2A">
        <w:rPr>
          <w:rFonts w:ascii="Arial" w:hAnsi="Arial" w:eastAsia="Arial" w:cs="Arial"/>
          <w:b w:val="0"/>
          <w:bCs w:val="0"/>
          <w:noProof w:val="0"/>
          <w:sz w:val="22"/>
          <w:szCs w:val="22"/>
          <w:lang w:val="en-GB"/>
        </w:rPr>
        <w:t>relatively balanced</w:t>
      </w:r>
      <w:r w:rsidRPr="4AF775A2" w:rsidR="58760D2A">
        <w:rPr>
          <w:rFonts w:ascii="Arial" w:hAnsi="Arial" w:eastAsia="Arial" w:cs="Arial"/>
          <w:b w:val="0"/>
          <w:bCs w:val="0"/>
          <w:noProof w:val="0"/>
          <w:sz w:val="22"/>
          <w:szCs w:val="22"/>
          <w:lang w:val="en-GB"/>
        </w:rPr>
        <w:t xml:space="preserve"> exchange relationships, which may not reflect the realities of all work contexts. In aviation, high job demands and operational pressures can disrupt this balance, leading to dissatisfaction despite the presence of HRM practices. Additionally, SET does not fully account for organisational constraints that may limit the implementation and effectiveness of HRM strategies.</w:t>
      </w:r>
    </w:p>
    <w:p w:rsidR="243BEF60" w:rsidP="4AF775A2" w:rsidRDefault="243BEF60" w14:paraId="123400B4" w14:textId="646FFF31">
      <w:pPr>
        <w:pStyle w:val="Heading2"/>
        <w:spacing w:line="360" w:lineRule="auto"/>
        <w:jc w:val="both"/>
        <w:rPr>
          <w:rFonts w:ascii="Arial" w:hAnsi="Arial" w:eastAsia="Arial" w:cs="Arial"/>
          <w:b w:val="0"/>
          <w:bCs w:val="0"/>
          <w:noProof w:val="0"/>
          <w:sz w:val="22"/>
          <w:szCs w:val="22"/>
          <w:lang w:val="en-GB"/>
        </w:rPr>
      </w:pPr>
      <w:bookmarkStart w:name="_Toc1731152536" w:id="1375211308"/>
      <w:r w:rsidRPr="4AF775A2" w:rsidR="39B9A988">
        <w:rPr>
          <w:rFonts w:ascii="Arial" w:hAnsi="Arial" w:eastAsia="Arial" w:cs="Arial"/>
          <w:noProof w:val="0"/>
          <w:sz w:val="22"/>
          <w:szCs w:val="22"/>
          <w:lang w:val="en-GB"/>
        </w:rPr>
        <w:t>Organisational Support, Resilience, Engagement and Job Satisfaction</w:t>
      </w:r>
      <w:bookmarkEnd w:id="1375211308"/>
    </w:p>
    <w:p w:rsidR="243BEF60" w:rsidP="4AF775A2" w:rsidRDefault="243BEF60" w14:paraId="49265B1A" w14:textId="5E1E250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The relationship between organisational support, resilience, employee engagement, and job satisfaction has been widely explored in HRM literature. However, it </w:t>
      </w:r>
      <w:r w:rsidRPr="4AF775A2" w:rsidR="39B9A988">
        <w:rPr>
          <w:rFonts w:ascii="Arial" w:hAnsi="Arial" w:eastAsia="Arial" w:cs="Arial"/>
          <w:b w:val="0"/>
          <w:bCs w:val="0"/>
          <w:noProof w:val="0"/>
          <w:sz w:val="22"/>
          <w:szCs w:val="22"/>
          <w:lang w:val="en-GB"/>
        </w:rPr>
        <w:t>remains</w:t>
      </w:r>
      <w:r w:rsidRPr="4AF775A2" w:rsidR="39B9A988">
        <w:rPr>
          <w:rFonts w:ascii="Arial" w:hAnsi="Arial" w:eastAsia="Arial" w:cs="Arial"/>
          <w:b w:val="0"/>
          <w:bCs w:val="0"/>
          <w:noProof w:val="0"/>
          <w:sz w:val="22"/>
          <w:szCs w:val="22"/>
          <w:lang w:val="en-GB"/>
        </w:rPr>
        <w:t xml:space="preserve"> conceptually fragmented across disciplines. A central theme </w:t>
      </w:r>
      <w:r w:rsidRPr="4AF775A2" w:rsidR="39B9A988">
        <w:rPr>
          <w:rFonts w:ascii="Arial" w:hAnsi="Arial" w:eastAsia="Arial" w:cs="Arial"/>
          <w:b w:val="0"/>
          <w:bCs w:val="0"/>
          <w:noProof w:val="0"/>
          <w:sz w:val="22"/>
          <w:szCs w:val="22"/>
          <w:lang w:val="en-GB"/>
        </w:rPr>
        <w:t>emerging</w:t>
      </w:r>
      <w:r w:rsidRPr="4AF775A2" w:rsidR="39B9A988">
        <w:rPr>
          <w:rFonts w:ascii="Arial" w:hAnsi="Arial" w:eastAsia="Arial" w:cs="Arial"/>
          <w:b w:val="0"/>
          <w:bCs w:val="0"/>
          <w:noProof w:val="0"/>
          <w:sz w:val="22"/>
          <w:szCs w:val="22"/>
          <w:lang w:val="en-GB"/>
        </w:rPr>
        <w:t xml:space="preserve"> from this research is the importance of perceived organisational support (POS) as a mechanism through which HRM practices influence employee attitudes and behaviours. Sluss, Klimchak and Holmes (2008) conceptualise POS as a mediating construct that links relational exchange to organisational identification. Their study suggests that when employees perceive supportive organisational relationships, they are more likely to internalise organisational values and develop stronger organisational identification. This aligns with Social Exchange Theory. It strengthens the belief that positive practices generate reciprocal commitment. The study offers a strong theoretical contribution but is limited by its focus on relational exchange and insufficient consideration of contextual variables, such as organisational structure or industry-specific pressures, that may moderate these relationships.</w:t>
      </w:r>
    </w:p>
    <w:p w:rsidR="243BEF60" w:rsidP="4AF775A2" w:rsidRDefault="243BEF60" w14:paraId="7E2027A0" w14:textId="547D04F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Expanding beyond individual-level constructs, Muhr, Holck, and Just (2022) adopt a more sophisticated approach by examining organisational culture within the Greenland Police Force. Introducing the concept of "ambiguous culture," they challenge static views by offering a multidimensional framework that reflects competing values and institutional complexities, building directly on perceived organisational support (POS). By highlighting that employees do not always perceive organisational support, the authors move beyond linear models, </w:t>
      </w:r>
      <w:r w:rsidRPr="4AF775A2" w:rsidR="39B9A988">
        <w:rPr>
          <w:rFonts w:ascii="Arial" w:hAnsi="Arial" w:eastAsia="Arial" w:cs="Arial"/>
          <w:b w:val="0"/>
          <w:bCs w:val="0"/>
          <w:noProof w:val="0"/>
          <w:sz w:val="22"/>
          <w:szCs w:val="22"/>
          <w:lang w:val="en-GB"/>
        </w:rPr>
        <w:t>demonstrating</w:t>
      </w:r>
      <w:r w:rsidRPr="4AF775A2" w:rsidR="39B9A988">
        <w:rPr>
          <w:rFonts w:ascii="Arial" w:hAnsi="Arial" w:eastAsia="Arial" w:cs="Arial"/>
          <w:b w:val="0"/>
          <w:bCs w:val="0"/>
          <w:noProof w:val="0"/>
          <w:sz w:val="22"/>
          <w:szCs w:val="22"/>
          <w:lang w:val="en-GB"/>
        </w:rPr>
        <w:t xml:space="preserve"> that HRM practices may yield different outcomes depending on cultural viewpoints. However, their focus on a specific context raises questions about generalisability, particularly in private-sector or high-performance settings such as aviation.</w:t>
      </w:r>
    </w:p>
    <w:p w:rsidR="243BEF60" w:rsidP="4AF775A2" w:rsidRDefault="243BEF60" w14:paraId="15AB873A" w14:textId="095FDE8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The role of organisational culture in resilience is further explored in </w:t>
      </w:r>
      <w:r w:rsidRPr="4AF775A2" w:rsidR="39B9A988">
        <w:rPr>
          <w:rFonts w:ascii="Arial" w:hAnsi="Arial" w:eastAsia="Arial" w:cs="Arial"/>
          <w:b w:val="0"/>
          <w:bCs w:val="0"/>
          <w:noProof w:val="0"/>
          <w:sz w:val="22"/>
          <w:szCs w:val="22"/>
          <w:lang w:val="en-GB"/>
        </w:rPr>
        <w:t>subsequent</w:t>
      </w:r>
      <w:r w:rsidRPr="4AF775A2" w:rsidR="39B9A988">
        <w:rPr>
          <w:rFonts w:ascii="Arial" w:hAnsi="Arial" w:eastAsia="Arial" w:cs="Arial"/>
          <w:b w:val="0"/>
          <w:bCs w:val="0"/>
          <w:noProof w:val="0"/>
          <w:sz w:val="22"/>
          <w:szCs w:val="22"/>
          <w:lang w:val="en-GB"/>
        </w:rPr>
        <w:t xml:space="preserve"> research. Su, </w:t>
      </w:r>
      <w:r w:rsidRPr="4AF775A2" w:rsidR="39B9A988">
        <w:rPr>
          <w:rFonts w:ascii="Arial" w:hAnsi="Arial" w:eastAsia="Arial" w:cs="Arial"/>
          <w:b w:val="0"/>
          <w:bCs w:val="0"/>
          <w:noProof w:val="0"/>
          <w:sz w:val="22"/>
          <w:szCs w:val="22"/>
          <w:lang w:val="en-GB"/>
        </w:rPr>
        <w:t>Baird</w:t>
      </w:r>
      <w:r w:rsidRPr="4AF775A2" w:rsidR="39B9A988">
        <w:rPr>
          <w:rFonts w:ascii="Arial" w:hAnsi="Arial" w:eastAsia="Arial" w:cs="Arial"/>
          <w:b w:val="0"/>
          <w:bCs w:val="0"/>
          <w:noProof w:val="0"/>
          <w:sz w:val="22"/>
          <w:szCs w:val="22"/>
          <w:lang w:val="en-GB"/>
        </w:rPr>
        <w:t xml:space="preserve"> and Munir (2019) argue that organisational resilience is strongly influenced by cultural attributes—particularly adaptability, learning orientation, and shared values. Their life-cycle perspective adds to the literature by suggesting that the impact of culture on resilience varies across organisational development stages. Similarly, more recent work in </w:t>
      </w:r>
      <w:r w:rsidRPr="4AF775A2" w:rsidR="39B9A988">
        <w:rPr>
          <w:rFonts w:ascii="Arial" w:hAnsi="Arial" w:eastAsia="Arial" w:cs="Arial"/>
          <w:b w:val="0"/>
          <w:bCs w:val="0"/>
          <w:i w:val="1"/>
          <w:iCs w:val="1"/>
          <w:noProof w:val="0"/>
          <w:sz w:val="22"/>
          <w:szCs w:val="22"/>
          <w:lang w:val="en-GB"/>
        </w:rPr>
        <w:t>Continuity &amp; Resilience Review</w:t>
      </w:r>
      <w:r w:rsidRPr="4AF775A2" w:rsidR="39B9A988">
        <w:rPr>
          <w:rFonts w:ascii="Arial" w:hAnsi="Arial" w:eastAsia="Arial" w:cs="Arial"/>
          <w:b w:val="0"/>
          <w:bCs w:val="0"/>
          <w:noProof w:val="0"/>
          <w:sz w:val="22"/>
          <w:szCs w:val="22"/>
          <w:lang w:val="en-GB"/>
        </w:rPr>
        <w:t xml:space="preserve"> (2024) reinforces this by </w:t>
      </w:r>
      <w:r w:rsidRPr="4AF775A2" w:rsidR="39B9A988">
        <w:rPr>
          <w:rFonts w:ascii="Arial" w:hAnsi="Arial" w:eastAsia="Arial" w:cs="Arial"/>
          <w:b w:val="0"/>
          <w:bCs w:val="0"/>
          <w:noProof w:val="0"/>
          <w:sz w:val="22"/>
          <w:szCs w:val="22"/>
          <w:lang w:val="en-GB"/>
        </w:rPr>
        <w:t>demonstrating</w:t>
      </w:r>
      <w:r w:rsidRPr="4AF775A2" w:rsidR="39B9A988">
        <w:rPr>
          <w:rFonts w:ascii="Arial" w:hAnsi="Arial" w:eastAsia="Arial" w:cs="Arial"/>
          <w:b w:val="0"/>
          <w:bCs w:val="0"/>
          <w:noProof w:val="0"/>
          <w:sz w:val="22"/>
          <w:szCs w:val="22"/>
          <w:lang w:val="en-GB"/>
        </w:rPr>
        <w:t xml:space="preserve"> that early-stage organisations may rely more on flexible, innovative cultures, while mature organisations </w:t>
      </w:r>
      <w:r w:rsidRPr="4AF775A2" w:rsidR="39B9A988">
        <w:rPr>
          <w:rFonts w:ascii="Arial" w:hAnsi="Arial" w:eastAsia="Arial" w:cs="Arial"/>
          <w:b w:val="0"/>
          <w:bCs w:val="0"/>
          <w:noProof w:val="0"/>
          <w:sz w:val="22"/>
          <w:szCs w:val="22"/>
          <w:lang w:val="en-GB"/>
        </w:rPr>
        <w:t>benefit</w:t>
      </w:r>
      <w:r w:rsidRPr="4AF775A2" w:rsidR="39B9A988">
        <w:rPr>
          <w:rFonts w:ascii="Arial" w:hAnsi="Arial" w:eastAsia="Arial" w:cs="Arial"/>
          <w:b w:val="0"/>
          <w:bCs w:val="0"/>
          <w:noProof w:val="0"/>
          <w:sz w:val="22"/>
          <w:szCs w:val="22"/>
          <w:lang w:val="en-GB"/>
        </w:rPr>
        <w:t xml:space="preserve"> from stability and formalisation. However, while these studies offer valuable insights into the changing nature of resilience, they conceptualise culture broadly, </w:t>
      </w:r>
      <w:r w:rsidRPr="4AF775A2" w:rsidR="39B9A988">
        <w:rPr>
          <w:rFonts w:ascii="Arial" w:hAnsi="Arial" w:eastAsia="Arial" w:cs="Arial"/>
          <w:b w:val="0"/>
          <w:bCs w:val="0"/>
          <w:noProof w:val="0"/>
          <w:sz w:val="22"/>
          <w:szCs w:val="22"/>
          <w:lang w:val="en-GB"/>
        </w:rPr>
        <w:t>providing</w:t>
      </w:r>
      <w:r w:rsidRPr="4AF775A2" w:rsidR="39B9A988">
        <w:rPr>
          <w:rFonts w:ascii="Arial" w:hAnsi="Arial" w:eastAsia="Arial" w:cs="Arial"/>
          <w:b w:val="0"/>
          <w:bCs w:val="0"/>
          <w:noProof w:val="0"/>
          <w:sz w:val="22"/>
          <w:szCs w:val="22"/>
          <w:lang w:val="en-GB"/>
        </w:rPr>
        <w:t xml:space="preserve"> limited guidance on how specific HRM practices operationalise resilience.</w:t>
      </w:r>
    </w:p>
    <w:p w:rsidR="243BEF60" w:rsidP="4AF775A2" w:rsidRDefault="243BEF60" w14:paraId="29C219E3" w14:textId="4894540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Leadership and communication are essential factors linking organisational support to employee outcomes. Ramírez Lozano et al. (2023), in their study of family businesses in Latin America, highlight that effective leadership and transparent communication enhance job satisfaction and employee engagement. Their findings further show that relational leadership styles foster trust and psychological safety—both essential components of organisational support. However, the study’s focus on family businesses introduces potential bias, as such organisations often </w:t>
      </w:r>
      <w:r w:rsidRPr="4AF775A2" w:rsidR="39B9A988">
        <w:rPr>
          <w:rFonts w:ascii="Arial" w:hAnsi="Arial" w:eastAsia="Arial" w:cs="Arial"/>
          <w:b w:val="0"/>
          <w:bCs w:val="0"/>
          <w:noProof w:val="0"/>
          <w:sz w:val="22"/>
          <w:szCs w:val="22"/>
          <w:lang w:val="en-GB"/>
        </w:rPr>
        <w:t>exhibit</w:t>
      </w:r>
      <w:r w:rsidRPr="4AF775A2" w:rsidR="39B9A988">
        <w:rPr>
          <w:rFonts w:ascii="Arial" w:hAnsi="Arial" w:eastAsia="Arial" w:cs="Arial"/>
          <w:b w:val="0"/>
          <w:bCs w:val="0"/>
          <w:noProof w:val="0"/>
          <w:sz w:val="22"/>
          <w:szCs w:val="22"/>
          <w:lang w:val="en-GB"/>
        </w:rPr>
        <w:t xml:space="preserve"> unique relational dynamics that may not translate directly to larger, more formalised organisations.</w:t>
      </w:r>
    </w:p>
    <w:p w:rsidR="243BEF60" w:rsidP="4AF775A2" w:rsidRDefault="243BEF60" w14:paraId="7B22FE80" w14:textId="078F6B0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Similarly, </w:t>
      </w:r>
      <w:r w:rsidRPr="4AF775A2" w:rsidR="39B9A988">
        <w:rPr>
          <w:rFonts w:ascii="Arial" w:hAnsi="Arial" w:eastAsia="Arial" w:cs="Arial"/>
          <w:b w:val="0"/>
          <w:bCs w:val="0"/>
          <w:noProof w:val="0"/>
          <w:sz w:val="22"/>
          <w:szCs w:val="22"/>
          <w:lang w:val="en-GB"/>
        </w:rPr>
        <w:t>Fatoki</w:t>
      </w:r>
      <w:r w:rsidRPr="4AF775A2" w:rsidR="39B9A988">
        <w:rPr>
          <w:rFonts w:ascii="Arial" w:hAnsi="Arial" w:eastAsia="Arial" w:cs="Arial"/>
          <w:b w:val="0"/>
          <w:bCs w:val="0"/>
          <w:noProof w:val="0"/>
          <w:sz w:val="22"/>
          <w:szCs w:val="22"/>
          <w:lang w:val="en-GB"/>
        </w:rPr>
        <w:t xml:space="preserve"> (2023) examines participative leadership and its impact on job satisfaction. The study </w:t>
      </w:r>
      <w:r w:rsidRPr="4AF775A2" w:rsidR="39B9A988">
        <w:rPr>
          <w:rFonts w:ascii="Arial" w:hAnsi="Arial" w:eastAsia="Arial" w:cs="Arial"/>
          <w:b w:val="0"/>
          <w:bCs w:val="0"/>
          <w:noProof w:val="0"/>
          <w:sz w:val="22"/>
          <w:szCs w:val="22"/>
          <w:lang w:val="en-GB"/>
        </w:rPr>
        <w:t>identifies</w:t>
      </w:r>
      <w:r w:rsidRPr="4AF775A2" w:rsidR="39B9A988">
        <w:rPr>
          <w:rFonts w:ascii="Arial" w:hAnsi="Arial" w:eastAsia="Arial" w:cs="Arial"/>
          <w:b w:val="0"/>
          <w:bCs w:val="0"/>
          <w:noProof w:val="0"/>
          <w:sz w:val="22"/>
          <w:szCs w:val="22"/>
          <w:lang w:val="en-GB"/>
        </w:rPr>
        <w:t xml:space="preserve"> cognitive empowerment and work engagement as key mediating variables. Building on the previously highlighted importance of leadership, it strengthens the argument that employee engagement is both an outcome and a mechanism through which organisational support influences job satisfaction. By using mediation analysis, </w:t>
      </w:r>
      <w:r w:rsidRPr="4AF775A2" w:rsidR="39B9A988">
        <w:rPr>
          <w:rFonts w:ascii="Arial" w:hAnsi="Arial" w:eastAsia="Arial" w:cs="Arial"/>
          <w:b w:val="0"/>
          <w:bCs w:val="0"/>
          <w:noProof w:val="0"/>
          <w:sz w:val="22"/>
          <w:szCs w:val="22"/>
          <w:lang w:val="en-GB"/>
        </w:rPr>
        <w:t>Fatoki</w:t>
      </w:r>
      <w:r w:rsidRPr="4AF775A2" w:rsidR="39B9A988">
        <w:rPr>
          <w:rFonts w:ascii="Arial" w:hAnsi="Arial" w:eastAsia="Arial" w:cs="Arial"/>
          <w:b w:val="0"/>
          <w:bCs w:val="0"/>
          <w:noProof w:val="0"/>
          <w:sz w:val="22"/>
          <w:szCs w:val="22"/>
          <w:lang w:val="en-GB"/>
        </w:rPr>
        <w:t xml:space="preserve"> </w:t>
      </w:r>
      <w:r w:rsidRPr="4AF775A2" w:rsidR="39B9A988">
        <w:rPr>
          <w:rFonts w:ascii="Arial" w:hAnsi="Arial" w:eastAsia="Arial" w:cs="Arial"/>
          <w:b w:val="0"/>
          <w:bCs w:val="0"/>
          <w:noProof w:val="0"/>
          <w:sz w:val="22"/>
          <w:szCs w:val="22"/>
          <w:lang w:val="en-GB"/>
        </w:rPr>
        <w:t>provides</w:t>
      </w:r>
      <w:r w:rsidRPr="4AF775A2" w:rsidR="39B9A988">
        <w:rPr>
          <w:rFonts w:ascii="Arial" w:hAnsi="Arial" w:eastAsia="Arial" w:cs="Arial"/>
          <w:b w:val="0"/>
          <w:bCs w:val="0"/>
          <w:noProof w:val="0"/>
          <w:sz w:val="22"/>
          <w:szCs w:val="22"/>
          <w:lang w:val="en-GB"/>
        </w:rPr>
        <w:t xml:space="preserve"> a more sophisticated insight into these relationships. However, the cross-sectional design limits causal inference, leaving it unclear whether engagement leads to satisfaction or vice versa.</w:t>
      </w:r>
    </w:p>
    <w:p w:rsidR="243BEF60" w:rsidP="4AF775A2" w:rsidRDefault="243BEF60" w14:paraId="30FBCC34" w14:textId="7CE61A6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Turning to industry-specific research, Dubey and Rana (2022) </w:t>
      </w:r>
      <w:r w:rsidRPr="4AF775A2" w:rsidR="39B9A988">
        <w:rPr>
          <w:rFonts w:ascii="Arial" w:hAnsi="Arial" w:eastAsia="Arial" w:cs="Arial"/>
          <w:b w:val="0"/>
          <w:bCs w:val="0"/>
          <w:noProof w:val="0"/>
          <w:sz w:val="22"/>
          <w:szCs w:val="22"/>
          <w:lang w:val="en-GB"/>
        </w:rPr>
        <w:t>provide</w:t>
      </w:r>
      <w:r w:rsidRPr="4AF775A2" w:rsidR="39B9A988">
        <w:rPr>
          <w:rFonts w:ascii="Arial" w:hAnsi="Arial" w:eastAsia="Arial" w:cs="Arial"/>
          <w:b w:val="0"/>
          <w:bCs w:val="0"/>
          <w:noProof w:val="0"/>
          <w:sz w:val="22"/>
          <w:szCs w:val="22"/>
          <w:lang w:val="en-GB"/>
        </w:rPr>
        <w:t xml:space="preserve"> sector-specific insights on the aviation industry. Their evidence suggests that factors such as career development, work environment, and organisational support strongly affect employee engagement. In addition, the study highlights the high-pressure nature of aviation roles and proposes that resilience is a critical yet often overlooked factor in sustaining engagement. However, while the study pinpoints key drivers, it lacks a strong conceptual framework, which </w:t>
      </w:r>
      <w:r w:rsidRPr="4AF775A2" w:rsidR="39B9A988">
        <w:rPr>
          <w:rFonts w:ascii="Arial" w:hAnsi="Arial" w:eastAsia="Arial" w:cs="Arial"/>
          <w:b w:val="0"/>
          <w:bCs w:val="0"/>
          <w:noProof w:val="0"/>
          <w:sz w:val="22"/>
          <w:szCs w:val="22"/>
          <w:lang w:val="en-GB"/>
        </w:rPr>
        <w:t>ultimately limits</w:t>
      </w:r>
      <w:r w:rsidRPr="4AF775A2" w:rsidR="39B9A988">
        <w:rPr>
          <w:rFonts w:ascii="Arial" w:hAnsi="Arial" w:eastAsia="Arial" w:cs="Arial"/>
          <w:b w:val="0"/>
          <w:bCs w:val="0"/>
          <w:noProof w:val="0"/>
          <w:sz w:val="22"/>
          <w:szCs w:val="22"/>
          <w:lang w:val="en-GB"/>
        </w:rPr>
        <w:t xml:space="preserve"> its contribution to broader HRM debates.</w:t>
      </w:r>
    </w:p>
    <w:p w:rsidR="243BEF60" w:rsidP="4AF775A2" w:rsidRDefault="243BEF60" w14:paraId="1C91E461" w14:textId="1DECD26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Guest (2017) delivers a more comprehensive analytical framework by linking HRM practices to employee well-being. He argues that well-being </w:t>
      </w:r>
      <w:r w:rsidRPr="4AF775A2" w:rsidR="39B9A988">
        <w:rPr>
          <w:rFonts w:ascii="Arial" w:hAnsi="Arial" w:eastAsia="Arial" w:cs="Arial"/>
          <w:b w:val="0"/>
          <w:bCs w:val="0"/>
          <w:noProof w:val="0"/>
          <w:sz w:val="22"/>
          <w:szCs w:val="22"/>
          <w:lang w:val="en-GB"/>
        </w:rPr>
        <w:t>operates</w:t>
      </w:r>
      <w:r w:rsidRPr="4AF775A2" w:rsidR="39B9A988">
        <w:rPr>
          <w:rFonts w:ascii="Arial" w:hAnsi="Arial" w:eastAsia="Arial" w:cs="Arial"/>
          <w:b w:val="0"/>
          <w:bCs w:val="0"/>
          <w:noProof w:val="0"/>
          <w:sz w:val="22"/>
          <w:szCs w:val="22"/>
          <w:lang w:val="en-GB"/>
        </w:rPr>
        <w:t xml:space="preserve"> as a key mediator between HRM and organisational performance. This perspective closely aligns with the concept of organisational support, as practices that improve well-being are likely to be perceived positively by employees. Guest’s framework is important because it integrates outcomes, including job satisfaction and engagement, into a coherent model. However, some critics claim that the framework may downplay complex relationships. It assumes </w:t>
      </w:r>
      <w:r w:rsidRPr="4AF775A2" w:rsidR="410DF62C">
        <w:rPr>
          <w:rFonts w:ascii="Arial" w:hAnsi="Arial" w:eastAsia="Arial" w:cs="Arial"/>
          <w:b w:val="0"/>
          <w:bCs w:val="0"/>
          <w:noProof w:val="0"/>
          <w:sz w:val="22"/>
          <w:szCs w:val="22"/>
          <w:lang w:val="en-GB"/>
        </w:rPr>
        <w:t>positive</w:t>
      </w:r>
      <w:r w:rsidRPr="4AF775A2" w:rsidR="39B9A988">
        <w:rPr>
          <w:rFonts w:ascii="Arial" w:hAnsi="Arial" w:eastAsia="Arial" w:cs="Arial"/>
          <w:b w:val="0"/>
          <w:bCs w:val="0"/>
          <w:noProof w:val="0"/>
          <w:sz w:val="22"/>
          <w:szCs w:val="22"/>
          <w:lang w:val="en-GB"/>
        </w:rPr>
        <w:t xml:space="preserve"> outcomes and does not fully account for possible negative effects of HRM practices, such as work intensification.</w:t>
      </w:r>
    </w:p>
    <w:p w:rsidR="243BEF60" w:rsidP="4AF775A2" w:rsidRDefault="243BEF60" w14:paraId="2C9B73FD" w14:textId="16504D0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Majowska</w:t>
      </w:r>
      <w:r w:rsidRPr="4AF775A2" w:rsidR="39B9A988">
        <w:rPr>
          <w:rFonts w:ascii="Arial" w:hAnsi="Arial" w:eastAsia="Arial" w:cs="Arial"/>
          <w:b w:val="0"/>
          <w:bCs w:val="0"/>
          <w:noProof w:val="0"/>
          <w:sz w:val="22"/>
          <w:szCs w:val="22"/>
          <w:lang w:val="en-GB"/>
        </w:rPr>
        <w:t xml:space="preserve"> and Austen (2019) introduce a multilevel perspective, arguing that HRM effectiveness must be analysed across individual, organisational, and contextual levels. Their approach particularly emphasises alignment between HRM practices and organisational strategy, as well as the role of external factors in shaping employee outcomes. This integrated perspective addresses limitations in earlier studies that focused primarily on individual-level variables. Nonetheless, the complexity of the multilevel framework may limit its real-world </w:t>
      </w:r>
      <w:r w:rsidRPr="4AF775A2" w:rsidR="7746B96B">
        <w:rPr>
          <w:rFonts w:ascii="Arial" w:hAnsi="Arial" w:eastAsia="Arial" w:cs="Arial"/>
          <w:b w:val="0"/>
          <w:bCs w:val="0"/>
          <w:noProof w:val="0"/>
          <w:sz w:val="22"/>
          <w:szCs w:val="22"/>
          <w:lang w:val="en-GB"/>
        </w:rPr>
        <w:t>applicability since</w:t>
      </w:r>
      <w:r w:rsidRPr="4AF775A2" w:rsidR="39B9A988">
        <w:rPr>
          <w:rFonts w:ascii="Arial" w:hAnsi="Arial" w:eastAsia="Arial" w:cs="Arial"/>
          <w:b w:val="0"/>
          <w:bCs w:val="0"/>
          <w:noProof w:val="0"/>
          <w:sz w:val="22"/>
          <w:szCs w:val="22"/>
          <w:lang w:val="en-GB"/>
        </w:rPr>
        <w:t xml:space="preserve"> it requires extensive data and sophisticated analysis.</w:t>
      </w:r>
    </w:p>
    <w:p w:rsidR="243BEF60" w:rsidP="4AF775A2" w:rsidRDefault="243BEF60" w14:paraId="3E7D8C4D" w14:textId="4109B39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Harvey and Turnbull (2012) provide an in-depth examination of HRM practices within low-cost airlines and offer valuable insights into the aviation context. Specifically, their study underlines the tension between cost efficiency and worker well-being, showing that aggressive cost-saving strategies may undermine organisational support and negatively </w:t>
      </w:r>
      <w:r w:rsidRPr="4AF775A2" w:rsidR="39B9A988">
        <w:rPr>
          <w:rFonts w:ascii="Arial" w:hAnsi="Arial" w:eastAsia="Arial" w:cs="Arial"/>
          <w:b w:val="0"/>
          <w:bCs w:val="0"/>
          <w:noProof w:val="0"/>
          <w:sz w:val="22"/>
          <w:szCs w:val="22"/>
          <w:lang w:val="en-GB"/>
        </w:rPr>
        <w:t>impact</w:t>
      </w:r>
      <w:r w:rsidRPr="4AF775A2" w:rsidR="39B9A988">
        <w:rPr>
          <w:rFonts w:ascii="Arial" w:hAnsi="Arial" w:eastAsia="Arial" w:cs="Arial"/>
          <w:b w:val="0"/>
          <w:bCs w:val="0"/>
          <w:noProof w:val="0"/>
          <w:sz w:val="22"/>
          <w:szCs w:val="22"/>
          <w:lang w:val="en-GB"/>
        </w:rPr>
        <w:t xml:space="preserve"> engagement and job satisfaction. This finding is particularly relevant for organisational resilience, as it suggests that short-term efficiency gains may come at the expense of long-term sustainability. Nonetheless, the study’s critical viewpoint may overemphasise negative outcomes and potentially overlook instances in which low-cost models sustain efficiency with employee support.</w:t>
      </w:r>
    </w:p>
    <w:p w:rsidR="243BEF60" w:rsidP="4AF775A2" w:rsidRDefault="243BEF60" w14:paraId="08529495" w14:textId="20ECA0D9">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Overall, the literature </w:t>
      </w:r>
      <w:r w:rsidRPr="4AF775A2" w:rsidR="39B9A988">
        <w:rPr>
          <w:rFonts w:ascii="Arial" w:hAnsi="Arial" w:eastAsia="Arial" w:cs="Arial"/>
          <w:b w:val="0"/>
          <w:bCs w:val="0"/>
          <w:noProof w:val="0"/>
          <w:sz w:val="22"/>
          <w:szCs w:val="22"/>
          <w:lang w:val="en-GB"/>
        </w:rPr>
        <w:t>demonstrates</w:t>
      </w:r>
      <w:r w:rsidRPr="4AF775A2" w:rsidR="39B9A988">
        <w:rPr>
          <w:rFonts w:ascii="Arial" w:hAnsi="Arial" w:eastAsia="Arial" w:cs="Arial"/>
          <w:b w:val="0"/>
          <w:bCs w:val="0"/>
          <w:noProof w:val="0"/>
          <w:sz w:val="22"/>
          <w:szCs w:val="22"/>
          <w:lang w:val="en-GB"/>
        </w:rPr>
        <w:t xml:space="preserve"> that organisational support holds </w:t>
      </w:r>
      <w:r w:rsidRPr="4AF775A2" w:rsidR="31D2CBE5">
        <w:rPr>
          <w:rFonts w:ascii="Arial" w:hAnsi="Arial" w:eastAsia="Arial" w:cs="Arial"/>
          <w:b w:val="0"/>
          <w:bCs w:val="0"/>
          <w:noProof w:val="0"/>
          <w:sz w:val="22"/>
          <w:szCs w:val="22"/>
          <w:lang w:val="en-GB"/>
        </w:rPr>
        <w:t>a vital role</w:t>
      </w:r>
      <w:r w:rsidRPr="4AF775A2" w:rsidR="39B9A988">
        <w:rPr>
          <w:rFonts w:ascii="Arial" w:hAnsi="Arial" w:eastAsia="Arial" w:cs="Arial"/>
          <w:b w:val="0"/>
          <w:bCs w:val="0"/>
          <w:noProof w:val="0"/>
          <w:sz w:val="22"/>
          <w:szCs w:val="22"/>
          <w:lang w:val="en-GB"/>
        </w:rPr>
        <w:t xml:space="preserve"> in affecting employee engagement, job satisfaction, and resilience. Yet, integration between different strands of research </w:t>
      </w:r>
      <w:r w:rsidRPr="4AF775A2" w:rsidR="39B9A988">
        <w:rPr>
          <w:rFonts w:ascii="Arial" w:hAnsi="Arial" w:eastAsia="Arial" w:cs="Arial"/>
          <w:b w:val="0"/>
          <w:bCs w:val="0"/>
          <w:noProof w:val="0"/>
          <w:sz w:val="22"/>
          <w:szCs w:val="22"/>
          <w:lang w:val="en-GB"/>
        </w:rPr>
        <w:t>remains</w:t>
      </w:r>
      <w:r w:rsidRPr="4AF775A2" w:rsidR="39B9A988">
        <w:rPr>
          <w:rFonts w:ascii="Arial" w:hAnsi="Arial" w:eastAsia="Arial" w:cs="Arial"/>
          <w:b w:val="0"/>
          <w:bCs w:val="0"/>
          <w:noProof w:val="0"/>
          <w:sz w:val="22"/>
          <w:szCs w:val="22"/>
          <w:lang w:val="en-GB"/>
        </w:rPr>
        <w:t xml:space="preserve"> limited. While some studies emphasise relational and cognitive mechanisms, others focus on structural and cultural components; these perspectives are often not joined. Moreover, reliance on cross-sectional designs restricts researchers' ability to </w:t>
      </w:r>
      <w:r w:rsidRPr="4AF775A2" w:rsidR="39B9A988">
        <w:rPr>
          <w:rFonts w:ascii="Arial" w:hAnsi="Arial" w:eastAsia="Arial" w:cs="Arial"/>
          <w:b w:val="0"/>
          <w:bCs w:val="0"/>
          <w:noProof w:val="0"/>
          <w:sz w:val="22"/>
          <w:szCs w:val="22"/>
          <w:lang w:val="en-GB"/>
        </w:rPr>
        <w:t>determine</w:t>
      </w:r>
      <w:r w:rsidRPr="4AF775A2" w:rsidR="39B9A988">
        <w:rPr>
          <w:rFonts w:ascii="Arial" w:hAnsi="Arial" w:eastAsia="Arial" w:cs="Arial"/>
          <w:b w:val="0"/>
          <w:bCs w:val="0"/>
          <w:noProof w:val="0"/>
          <w:sz w:val="22"/>
          <w:szCs w:val="22"/>
          <w:lang w:val="en-GB"/>
        </w:rPr>
        <w:t xml:space="preserve"> causality. Many studies also tend to examine variables in isolation rather than considering the multifaceted interactions among organisational support, culture, leadership, and individual </w:t>
      </w:r>
      <w:r w:rsidRPr="4AF775A2" w:rsidR="39B9A988">
        <w:rPr>
          <w:rFonts w:ascii="Arial" w:hAnsi="Arial" w:eastAsia="Arial" w:cs="Arial"/>
          <w:b w:val="0"/>
          <w:bCs w:val="0"/>
          <w:noProof w:val="0"/>
          <w:sz w:val="22"/>
          <w:szCs w:val="22"/>
          <w:lang w:val="en-GB"/>
        </w:rPr>
        <w:t>perceptions</w:t>
      </w:r>
      <w:r w:rsidRPr="4AF775A2" w:rsidR="39B9A988">
        <w:rPr>
          <w:rFonts w:ascii="Arial" w:hAnsi="Arial" w:eastAsia="Arial" w:cs="Arial"/>
          <w:b w:val="0"/>
          <w:bCs w:val="0"/>
          <w:noProof w:val="0"/>
          <w:sz w:val="22"/>
          <w:szCs w:val="22"/>
          <w:lang w:val="en-GB"/>
        </w:rPr>
        <w:t>.</w:t>
      </w:r>
    </w:p>
    <w:p w:rsidR="243BEF60" w:rsidP="4AF775A2" w:rsidRDefault="243BEF60" w14:paraId="60B1292A" w14:textId="389FBBB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9B9A988">
        <w:rPr>
          <w:rFonts w:ascii="Arial" w:hAnsi="Arial" w:eastAsia="Arial" w:cs="Arial"/>
          <w:b w:val="0"/>
          <w:bCs w:val="0"/>
          <w:noProof w:val="0"/>
          <w:sz w:val="22"/>
          <w:szCs w:val="22"/>
          <w:lang w:val="en-GB"/>
        </w:rPr>
        <w:t xml:space="preserve">In high-stakes industries such as aviation, these gaps are especially important. The relationship between organisational support and resilience is critical within environments characterised by high pressure, safety requirements, and workforce shortages. </w:t>
      </w:r>
      <w:r w:rsidRPr="4AF775A2" w:rsidR="39B9A988">
        <w:rPr>
          <w:rFonts w:ascii="Arial" w:hAnsi="Arial" w:eastAsia="Arial" w:cs="Arial"/>
          <w:b w:val="0"/>
          <w:bCs w:val="0"/>
          <w:noProof w:val="0"/>
          <w:sz w:val="22"/>
          <w:szCs w:val="22"/>
          <w:lang w:val="en-GB"/>
        </w:rPr>
        <w:t>Subsequent</w:t>
      </w:r>
      <w:r w:rsidRPr="4AF775A2" w:rsidR="39B9A988">
        <w:rPr>
          <w:rFonts w:ascii="Arial" w:hAnsi="Arial" w:eastAsia="Arial" w:cs="Arial"/>
          <w:b w:val="0"/>
          <w:bCs w:val="0"/>
          <w:noProof w:val="0"/>
          <w:sz w:val="22"/>
          <w:szCs w:val="22"/>
          <w:lang w:val="en-GB"/>
        </w:rPr>
        <w:t xml:space="preserve"> research should therefore adopt more integrative and longitudinal approaches, combining conceptual models such as Social Exchange Theory with contextual analysis to better understand how organisational support influences employee outcomes over time.</w:t>
      </w:r>
    </w:p>
    <w:p w:rsidR="243BEF60" w:rsidP="4AF775A2" w:rsidRDefault="243BEF60" w14:paraId="2F3EA68D" w14:textId="1ACCE1C3">
      <w:pPr>
        <w:pStyle w:val="Heading2"/>
        <w:spacing w:line="360" w:lineRule="auto"/>
        <w:jc w:val="both"/>
        <w:rPr>
          <w:rFonts w:ascii="Arial" w:hAnsi="Arial" w:eastAsia="Arial" w:cs="Arial"/>
          <w:b w:val="0"/>
          <w:bCs w:val="0"/>
          <w:noProof w:val="0"/>
          <w:sz w:val="22"/>
          <w:szCs w:val="22"/>
          <w:lang w:val="en-GB"/>
        </w:rPr>
      </w:pPr>
      <w:bookmarkStart w:name="_Toc642313353" w:id="1523858699"/>
      <w:r w:rsidRPr="4AF775A2" w:rsidR="48F3D586">
        <w:rPr>
          <w:rFonts w:ascii="Arial" w:hAnsi="Arial" w:eastAsia="Arial" w:cs="Arial"/>
          <w:noProof w:val="0"/>
          <w:sz w:val="22"/>
          <w:szCs w:val="22"/>
          <w:lang w:val="en-GB"/>
        </w:rPr>
        <w:t>Recruitment</w:t>
      </w:r>
      <w:r w:rsidRPr="4AF775A2" w:rsidR="48F3D586">
        <w:rPr>
          <w:rFonts w:ascii="Arial" w:hAnsi="Arial" w:eastAsia="Arial" w:cs="Arial"/>
          <w:noProof w:val="0"/>
          <w:sz w:val="22"/>
          <w:szCs w:val="22"/>
          <w:lang w:val="en-GB"/>
        </w:rPr>
        <w:t xml:space="preserve"> and Retention</w:t>
      </w:r>
      <w:bookmarkEnd w:id="1523858699"/>
    </w:p>
    <w:p w:rsidR="243BEF60" w:rsidP="4AF775A2" w:rsidRDefault="243BEF60" w14:paraId="6EBDD7CC" w14:textId="290B46A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Recruitment and retention are central pillars of Human Resource Management (HRM), specifically in industries characterised by high skill specificity, labour shortages, and sig</w:t>
      </w:r>
      <w:r w:rsidRPr="4AF775A2" w:rsidR="44C6BE6A">
        <w:rPr>
          <w:rFonts w:ascii="Arial" w:hAnsi="Arial" w:eastAsia="Arial" w:cs="Arial"/>
          <w:b w:val="0"/>
          <w:bCs w:val="0"/>
          <w:noProof w:val="0"/>
          <w:sz w:val="22"/>
          <w:szCs w:val="22"/>
          <w:lang w:val="en-GB"/>
        </w:rPr>
        <w:t>ni</w:t>
      </w:r>
      <w:r w:rsidRPr="4AF775A2" w:rsidR="126B43E6">
        <w:rPr>
          <w:rFonts w:ascii="Arial" w:hAnsi="Arial" w:eastAsia="Arial" w:cs="Arial"/>
          <w:b w:val="0"/>
          <w:bCs w:val="0"/>
          <w:noProof w:val="0"/>
          <w:sz w:val="22"/>
          <w:szCs w:val="22"/>
          <w:lang w:val="en-GB"/>
        </w:rPr>
        <w:t xml:space="preserve">ficant training investments, such as aviation. Increasingly, the literature conceptualises recruitment and retention not as isolated HR functions but as interdependent processes controlled by organisational practices, employee </w:t>
      </w:r>
      <w:r w:rsidRPr="4AF775A2" w:rsidR="126B43E6">
        <w:rPr>
          <w:rFonts w:ascii="Arial" w:hAnsi="Arial" w:eastAsia="Arial" w:cs="Arial"/>
          <w:b w:val="0"/>
          <w:bCs w:val="0"/>
          <w:noProof w:val="0"/>
          <w:sz w:val="22"/>
          <w:szCs w:val="22"/>
          <w:lang w:val="en-GB"/>
        </w:rPr>
        <w:t>perceptions</w:t>
      </w:r>
      <w:r w:rsidRPr="4AF775A2" w:rsidR="126B43E6">
        <w:rPr>
          <w:rFonts w:ascii="Arial" w:hAnsi="Arial" w:eastAsia="Arial" w:cs="Arial"/>
          <w:b w:val="0"/>
          <w:bCs w:val="0"/>
          <w:noProof w:val="0"/>
          <w:sz w:val="22"/>
          <w:szCs w:val="22"/>
          <w:lang w:val="en-GB"/>
        </w:rPr>
        <w:t xml:space="preserve">, and external labour-market dynamics. While recruitment </w:t>
      </w:r>
      <w:r w:rsidRPr="4AF775A2" w:rsidR="126B43E6">
        <w:rPr>
          <w:rFonts w:ascii="Arial" w:hAnsi="Arial" w:eastAsia="Arial" w:cs="Arial"/>
          <w:b w:val="0"/>
          <w:bCs w:val="0"/>
          <w:noProof w:val="0"/>
          <w:sz w:val="22"/>
          <w:szCs w:val="22"/>
          <w:lang w:val="en-GB"/>
        </w:rPr>
        <w:t>determines</w:t>
      </w:r>
      <w:r w:rsidRPr="4AF775A2" w:rsidR="126B43E6">
        <w:rPr>
          <w:rFonts w:ascii="Arial" w:hAnsi="Arial" w:eastAsia="Arial" w:cs="Arial"/>
          <w:b w:val="0"/>
          <w:bCs w:val="0"/>
          <w:noProof w:val="0"/>
          <w:sz w:val="22"/>
          <w:szCs w:val="22"/>
          <w:lang w:val="en-GB"/>
        </w:rPr>
        <w:t xml:space="preserve"> the quality and fit of incoming talent, retention reflects the organisation’s ability to sustain employee commitment over time. However, despite extensive research, conflicts persist over the most efficient tactics for matching these processes with organisational performance.</w:t>
      </w:r>
    </w:p>
    <w:p w:rsidR="243BEF60" w:rsidP="4AF775A2" w:rsidRDefault="243BEF60" w14:paraId="4034E68A" w14:textId="0C213F3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Recruitment has evolved from a transactional activity focused on filling vacancies to a strategic function aimed at securing long-term organisational capability. Shanker (2019), in examining the Indian aviation sector, highlights that recruitment processes </w:t>
      </w:r>
      <w:r w:rsidRPr="4AF775A2" w:rsidR="126B43E6">
        <w:rPr>
          <w:rFonts w:ascii="Arial" w:hAnsi="Arial" w:eastAsia="Arial" w:cs="Arial"/>
          <w:b w:val="0"/>
          <w:bCs w:val="0"/>
          <w:noProof w:val="0"/>
          <w:sz w:val="22"/>
          <w:szCs w:val="22"/>
          <w:lang w:val="en-GB"/>
        </w:rPr>
        <w:t>considerably affect</w:t>
      </w:r>
      <w:r w:rsidRPr="4AF775A2" w:rsidR="126B43E6">
        <w:rPr>
          <w:rFonts w:ascii="Arial" w:hAnsi="Arial" w:eastAsia="Arial" w:cs="Arial"/>
          <w:b w:val="0"/>
          <w:bCs w:val="0"/>
          <w:noProof w:val="0"/>
          <w:sz w:val="22"/>
          <w:szCs w:val="22"/>
          <w:lang w:val="en-GB"/>
        </w:rPr>
        <w:t xml:space="preserve"> pilot retention, particularly through aligning expectations between employers and employees. Realistic job previews, transparent communication, and </w:t>
      </w:r>
      <w:r w:rsidRPr="4AF775A2" w:rsidR="126B43E6">
        <w:rPr>
          <w:rFonts w:ascii="Arial" w:hAnsi="Arial" w:eastAsia="Arial" w:cs="Arial"/>
          <w:b w:val="0"/>
          <w:bCs w:val="0"/>
          <w:noProof w:val="0"/>
          <w:sz w:val="22"/>
          <w:szCs w:val="22"/>
          <w:lang w:val="en-GB"/>
        </w:rPr>
        <w:t>accurate</w:t>
      </w:r>
      <w:r w:rsidRPr="4AF775A2" w:rsidR="126B43E6">
        <w:rPr>
          <w:rFonts w:ascii="Arial" w:hAnsi="Arial" w:eastAsia="Arial" w:cs="Arial"/>
          <w:b w:val="0"/>
          <w:bCs w:val="0"/>
          <w:noProof w:val="0"/>
          <w:sz w:val="22"/>
          <w:szCs w:val="22"/>
          <w:lang w:val="en-GB"/>
        </w:rPr>
        <w:t xml:space="preserve"> role representations are found to reduce early turnover by minimising expectation gaps. This suggests that ineffective recruitment can create downstream retention problems, strengthening the argument that retention begins at the point of entry. However, Shanker’s study is context-specific and may not fully account for global variations in pilot labour markets, in which mobility and competitive salary structures often override organisational-level recruitment practices.</w:t>
      </w:r>
    </w:p>
    <w:p w:rsidR="243BEF60" w:rsidP="4AF775A2" w:rsidRDefault="243BEF60" w14:paraId="3720F3A9" w14:textId="7616A38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Similarly, </w:t>
      </w:r>
      <w:r w:rsidRPr="4AF775A2" w:rsidR="126B43E6">
        <w:rPr>
          <w:rFonts w:ascii="Arial" w:hAnsi="Arial" w:eastAsia="Arial" w:cs="Arial"/>
          <w:b w:val="0"/>
          <w:bCs w:val="0"/>
          <w:noProof w:val="0"/>
          <w:sz w:val="22"/>
          <w:szCs w:val="22"/>
          <w:lang w:val="en-GB"/>
        </w:rPr>
        <w:t>Belderbos</w:t>
      </w:r>
      <w:r w:rsidRPr="4AF775A2" w:rsidR="126B43E6">
        <w:rPr>
          <w:rFonts w:ascii="Arial" w:hAnsi="Arial" w:eastAsia="Arial" w:cs="Arial"/>
          <w:b w:val="0"/>
          <w:bCs w:val="0"/>
          <w:noProof w:val="0"/>
          <w:sz w:val="22"/>
          <w:szCs w:val="22"/>
          <w:lang w:val="en-GB"/>
        </w:rPr>
        <w:t xml:space="preserve"> et al. (2025) expand the recruitment discussion to a global context, emphasising the expanding reliance of multinational firms on skilled foreign labour to address talent shortages. Their data suggest that organisations are no longer constrained by national labour markets; they must now compete globally for talent. While this broadens r</w:t>
      </w:r>
      <w:r w:rsidRPr="4AF775A2" w:rsidR="315E7155">
        <w:rPr>
          <w:rFonts w:ascii="Arial" w:hAnsi="Arial" w:eastAsia="Arial" w:cs="Arial"/>
          <w:b w:val="0"/>
          <w:bCs w:val="0"/>
          <w:noProof w:val="0"/>
          <w:sz w:val="22"/>
          <w:szCs w:val="22"/>
          <w:lang w:val="en-GB"/>
        </w:rPr>
        <w:t>/</w:t>
      </w:r>
      <w:r w:rsidRPr="4AF775A2" w:rsidR="1AC07E11">
        <w:rPr>
          <w:rFonts w:ascii="Arial" w:hAnsi="Arial" w:eastAsia="Arial" w:cs="Arial"/>
          <w:b w:val="0"/>
          <w:bCs w:val="0"/>
          <w:noProof w:val="0"/>
          <w:sz w:val="22"/>
          <w:szCs w:val="22"/>
          <w:lang w:val="en-GB"/>
        </w:rPr>
        <w:t>recruitment</w:t>
      </w:r>
      <w:r w:rsidRPr="4AF775A2" w:rsidR="126B43E6">
        <w:rPr>
          <w:rFonts w:ascii="Arial" w:hAnsi="Arial" w:eastAsia="Arial" w:cs="Arial"/>
          <w:b w:val="0"/>
          <w:bCs w:val="0"/>
          <w:noProof w:val="0"/>
          <w:sz w:val="22"/>
          <w:szCs w:val="22"/>
          <w:lang w:val="en-GB"/>
        </w:rPr>
        <w:t xml:space="preserve"> opportunities, it also introduces new retention challenges, including cultural incorporation, relocation support, and career progression across international contexts. Critically, this highlights a limitation in conventional recruitment models, which often presume static, localised workforces. However, the study places greater emphasis on macro-level strategies, offering limited insight into how individual employee experiences influence retention outcomes.</w:t>
      </w:r>
    </w:p>
    <w:p w:rsidR="243BEF60" w:rsidP="4AF775A2" w:rsidRDefault="243BEF60" w14:paraId="6C6DEC23" w14:textId="05045F9A">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Odom and Hyams-</w:t>
      </w:r>
      <w:r w:rsidRPr="4AF775A2" w:rsidR="126B43E6">
        <w:rPr>
          <w:rFonts w:ascii="Arial" w:hAnsi="Arial" w:eastAsia="Arial" w:cs="Arial"/>
          <w:b w:val="0"/>
          <w:bCs w:val="0"/>
          <w:noProof w:val="0"/>
          <w:sz w:val="22"/>
          <w:szCs w:val="22"/>
          <w:lang w:val="en-GB"/>
        </w:rPr>
        <w:t>Ssekasi</w:t>
      </w:r>
      <w:r w:rsidRPr="4AF775A2" w:rsidR="126B43E6">
        <w:rPr>
          <w:rFonts w:ascii="Arial" w:hAnsi="Arial" w:eastAsia="Arial" w:cs="Arial"/>
          <w:b w:val="0"/>
          <w:bCs w:val="0"/>
          <w:noProof w:val="0"/>
          <w:sz w:val="22"/>
          <w:szCs w:val="22"/>
          <w:lang w:val="en-GB"/>
        </w:rPr>
        <w:t xml:space="preserve"> (2023) further examine the role of data-informed decision-making in recruitment and workforce planning, arguing that Human Resource (HR) analytics enhances organisations' ability to predict workforce needs and optimise recruitment plans. By employing data on employee performance, turnover patterns, and labour industry patterns, organisations can make more knowledgeable hiring decisions. While this embodies a significant advancement in strategic HRM, the authors acknowledge that analytics alone cannot entirely capture the complexity of human conduct and behaviour. Excessive reliance on quantitative indicators may overlook qualitative factors, such as organisational culture and employee well-being, which are critical to retention. This limitation </w:t>
      </w:r>
      <w:r w:rsidRPr="4AF775A2" w:rsidR="126B43E6">
        <w:rPr>
          <w:rFonts w:ascii="Arial" w:hAnsi="Arial" w:eastAsia="Arial" w:cs="Arial"/>
          <w:b w:val="0"/>
          <w:bCs w:val="0"/>
          <w:noProof w:val="0"/>
          <w:sz w:val="22"/>
          <w:szCs w:val="22"/>
          <w:lang w:val="en-GB"/>
        </w:rPr>
        <w:t>indicates</w:t>
      </w:r>
      <w:r w:rsidRPr="4AF775A2" w:rsidR="126B43E6">
        <w:rPr>
          <w:rFonts w:ascii="Arial" w:hAnsi="Arial" w:eastAsia="Arial" w:cs="Arial"/>
          <w:b w:val="0"/>
          <w:bCs w:val="0"/>
          <w:noProof w:val="0"/>
          <w:sz w:val="22"/>
          <w:szCs w:val="22"/>
          <w:lang w:val="en-GB"/>
        </w:rPr>
        <w:t xml:space="preserve"> that although HR analytics can improve efficiency, it needs to be complemented by more holistic, human-centred approaches.</w:t>
      </w:r>
    </w:p>
    <w:p w:rsidR="243BEF60" w:rsidP="4AF775A2" w:rsidRDefault="243BEF60" w14:paraId="53408B73" w14:textId="541A525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Retention, in contrast, has been more </w:t>
      </w:r>
      <w:r w:rsidRPr="4AF775A2" w:rsidR="09F7D287">
        <w:rPr>
          <w:rFonts w:ascii="Arial" w:hAnsi="Arial" w:eastAsia="Arial" w:cs="Arial"/>
          <w:b w:val="0"/>
          <w:bCs w:val="0"/>
          <w:noProof w:val="0"/>
          <w:sz w:val="22"/>
          <w:szCs w:val="22"/>
          <w:lang w:val="en-GB"/>
        </w:rPr>
        <w:t>strongly associated</w:t>
      </w:r>
      <w:r w:rsidRPr="4AF775A2" w:rsidR="126B43E6">
        <w:rPr>
          <w:rFonts w:ascii="Arial" w:hAnsi="Arial" w:eastAsia="Arial" w:cs="Arial"/>
          <w:b w:val="0"/>
          <w:bCs w:val="0"/>
          <w:noProof w:val="0"/>
          <w:sz w:val="22"/>
          <w:szCs w:val="22"/>
          <w:lang w:val="en-GB"/>
        </w:rPr>
        <w:t xml:space="preserve"> with employee attitudes and experiences within the organisation. </w:t>
      </w:r>
      <w:r w:rsidRPr="4AF775A2" w:rsidR="126B43E6">
        <w:rPr>
          <w:rFonts w:ascii="Arial" w:hAnsi="Arial" w:eastAsia="Arial" w:cs="Arial"/>
          <w:b w:val="0"/>
          <w:bCs w:val="0"/>
          <w:noProof w:val="0"/>
          <w:sz w:val="22"/>
          <w:szCs w:val="22"/>
          <w:lang w:val="en-GB"/>
        </w:rPr>
        <w:t>Muofhe</w:t>
      </w:r>
      <w:r w:rsidRPr="4AF775A2" w:rsidR="126B43E6">
        <w:rPr>
          <w:rFonts w:ascii="Arial" w:hAnsi="Arial" w:eastAsia="Arial" w:cs="Arial"/>
          <w:b w:val="0"/>
          <w:bCs w:val="0"/>
          <w:noProof w:val="0"/>
          <w:sz w:val="22"/>
          <w:szCs w:val="22"/>
          <w:lang w:val="en-GB"/>
        </w:rPr>
        <w:t xml:space="preserve"> </w:t>
      </w:r>
      <w:r w:rsidRPr="4AF775A2" w:rsidR="126B43E6">
        <w:rPr>
          <w:rFonts w:ascii="Arial" w:hAnsi="Arial" w:eastAsia="Arial" w:cs="Arial"/>
          <w:b w:val="0"/>
          <w:bCs w:val="0"/>
          <w:noProof w:val="0"/>
          <w:sz w:val="22"/>
          <w:szCs w:val="22"/>
          <w:lang w:val="en-GB"/>
        </w:rPr>
        <w:t>Nnditsheni</w:t>
      </w:r>
      <w:r w:rsidRPr="4AF775A2" w:rsidR="126B43E6">
        <w:rPr>
          <w:rFonts w:ascii="Arial" w:hAnsi="Arial" w:eastAsia="Arial" w:cs="Arial"/>
          <w:b w:val="0"/>
          <w:bCs w:val="0"/>
          <w:noProof w:val="0"/>
          <w:sz w:val="22"/>
          <w:szCs w:val="22"/>
          <w:lang w:val="en-GB"/>
        </w:rPr>
        <w:t xml:space="preserve"> John (2021) </w:t>
      </w:r>
      <w:r w:rsidRPr="4AF775A2" w:rsidR="126B43E6">
        <w:rPr>
          <w:rFonts w:ascii="Arial" w:hAnsi="Arial" w:eastAsia="Arial" w:cs="Arial"/>
          <w:b w:val="0"/>
          <w:bCs w:val="0"/>
          <w:noProof w:val="0"/>
          <w:sz w:val="22"/>
          <w:szCs w:val="22"/>
          <w:lang w:val="en-GB"/>
        </w:rPr>
        <w:t>identifies</w:t>
      </w:r>
      <w:r w:rsidRPr="4AF775A2" w:rsidR="126B43E6">
        <w:rPr>
          <w:rFonts w:ascii="Arial" w:hAnsi="Arial" w:eastAsia="Arial" w:cs="Arial"/>
          <w:b w:val="0"/>
          <w:bCs w:val="0"/>
          <w:noProof w:val="0"/>
          <w:sz w:val="22"/>
          <w:szCs w:val="22"/>
          <w:lang w:val="en-GB"/>
        </w:rPr>
        <w:t xml:space="preserve"> a strong relationship between job satisfaction and employee retention in the South African aviation industry, suggesting that satisfied employees are significantly more likely to remain with their organisation. Key drivers of satisfaction include working conditions, compensation, and prospects for career advancement. While these findings correspond with wider HRM literature, they also raise questions </w:t>
      </w:r>
      <w:r w:rsidRPr="4AF775A2" w:rsidR="126B43E6">
        <w:rPr>
          <w:rFonts w:ascii="Arial" w:hAnsi="Arial" w:eastAsia="Arial" w:cs="Arial"/>
          <w:b w:val="0"/>
          <w:bCs w:val="0"/>
          <w:noProof w:val="0"/>
          <w:sz w:val="22"/>
          <w:szCs w:val="22"/>
          <w:lang w:val="en-GB"/>
        </w:rPr>
        <w:t>regarding</w:t>
      </w:r>
      <w:r w:rsidRPr="4AF775A2" w:rsidR="126B43E6">
        <w:rPr>
          <w:rFonts w:ascii="Arial" w:hAnsi="Arial" w:eastAsia="Arial" w:cs="Arial"/>
          <w:b w:val="0"/>
          <w:bCs w:val="0"/>
          <w:noProof w:val="0"/>
          <w:sz w:val="22"/>
          <w:szCs w:val="22"/>
          <w:lang w:val="en-GB"/>
        </w:rPr>
        <w:t xml:space="preserve"> causality. It </w:t>
      </w:r>
      <w:r w:rsidRPr="4AF775A2" w:rsidR="126B43E6">
        <w:rPr>
          <w:rFonts w:ascii="Arial" w:hAnsi="Arial" w:eastAsia="Arial" w:cs="Arial"/>
          <w:b w:val="0"/>
          <w:bCs w:val="0"/>
          <w:noProof w:val="0"/>
          <w:sz w:val="22"/>
          <w:szCs w:val="22"/>
          <w:lang w:val="en-GB"/>
        </w:rPr>
        <w:t>remains</w:t>
      </w:r>
      <w:r w:rsidRPr="4AF775A2" w:rsidR="126B43E6">
        <w:rPr>
          <w:rFonts w:ascii="Arial" w:hAnsi="Arial" w:eastAsia="Arial" w:cs="Arial"/>
          <w:b w:val="0"/>
          <w:bCs w:val="0"/>
          <w:noProof w:val="0"/>
          <w:sz w:val="22"/>
          <w:szCs w:val="22"/>
          <w:lang w:val="en-GB"/>
        </w:rPr>
        <w:t xml:space="preserve"> unclear whether job satisfaction leads to retention or whether employees who </w:t>
      </w:r>
      <w:r w:rsidRPr="4AF775A2" w:rsidR="126B43E6">
        <w:rPr>
          <w:rFonts w:ascii="Arial" w:hAnsi="Arial" w:eastAsia="Arial" w:cs="Arial"/>
          <w:b w:val="0"/>
          <w:bCs w:val="0"/>
          <w:noProof w:val="0"/>
          <w:sz w:val="22"/>
          <w:szCs w:val="22"/>
          <w:lang w:val="en-GB"/>
        </w:rPr>
        <w:t>remain</w:t>
      </w:r>
      <w:r w:rsidRPr="4AF775A2" w:rsidR="126B43E6">
        <w:rPr>
          <w:rFonts w:ascii="Arial" w:hAnsi="Arial" w:eastAsia="Arial" w:cs="Arial"/>
          <w:b w:val="0"/>
          <w:bCs w:val="0"/>
          <w:noProof w:val="0"/>
          <w:sz w:val="22"/>
          <w:szCs w:val="22"/>
          <w:lang w:val="en-GB"/>
        </w:rPr>
        <w:t xml:space="preserve"> longer become more satisfied over time. Additionally, the study does not fully account for external labour-market factors, such as competing job opportunities, which may independently influence retention.</w:t>
      </w:r>
    </w:p>
    <w:p w:rsidR="243BEF60" w:rsidP="4AF775A2" w:rsidRDefault="243BEF60" w14:paraId="62C75DAA" w14:textId="2B6EA8B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Building on sector-specific insights, Efthymiou et al. (2021) examine retention among entry-level airline pilots at Ryanair and </w:t>
      </w:r>
      <w:r w:rsidRPr="4AF775A2" w:rsidR="126B43E6">
        <w:rPr>
          <w:rFonts w:ascii="Arial" w:hAnsi="Arial" w:eastAsia="Arial" w:cs="Arial"/>
          <w:b w:val="0"/>
          <w:bCs w:val="0"/>
          <w:noProof w:val="0"/>
          <w:sz w:val="22"/>
          <w:szCs w:val="22"/>
          <w:lang w:val="en-GB"/>
        </w:rPr>
        <w:t>identify</w:t>
      </w:r>
      <w:r w:rsidRPr="4AF775A2" w:rsidR="126B43E6">
        <w:rPr>
          <w:rFonts w:ascii="Arial" w:hAnsi="Arial" w:eastAsia="Arial" w:cs="Arial"/>
          <w:b w:val="0"/>
          <w:bCs w:val="0"/>
          <w:noProof w:val="0"/>
          <w:sz w:val="22"/>
          <w:szCs w:val="22"/>
          <w:lang w:val="en-GB"/>
        </w:rPr>
        <w:t xml:space="preserve"> career progression, </w:t>
      </w:r>
      <w:r w:rsidRPr="4AF775A2" w:rsidR="126B43E6">
        <w:rPr>
          <w:rFonts w:ascii="Arial" w:hAnsi="Arial" w:eastAsia="Arial" w:cs="Arial"/>
          <w:b w:val="0"/>
          <w:bCs w:val="0"/>
          <w:noProof w:val="0"/>
          <w:sz w:val="22"/>
          <w:szCs w:val="22"/>
          <w:lang w:val="en-GB"/>
        </w:rPr>
        <w:t>remuneration</w:t>
      </w:r>
      <w:r w:rsidRPr="4AF775A2" w:rsidR="126B43E6">
        <w:rPr>
          <w:rFonts w:ascii="Arial" w:hAnsi="Arial" w:eastAsia="Arial" w:cs="Arial"/>
          <w:b w:val="0"/>
          <w:bCs w:val="0"/>
          <w:noProof w:val="0"/>
          <w:sz w:val="22"/>
          <w:szCs w:val="22"/>
          <w:lang w:val="en-GB"/>
        </w:rPr>
        <w:t xml:space="preserve">, and contractual conditions as critical determinants. Notably, the study </w:t>
      </w:r>
      <w:r w:rsidRPr="4AF775A2" w:rsidR="126B43E6">
        <w:rPr>
          <w:rFonts w:ascii="Arial" w:hAnsi="Arial" w:eastAsia="Arial" w:cs="Arial"/>
          <w:b w:val="0"/>
          <w:bCs w:val="0"/>
          <w:noProof w:val="0"/>
          <w:sz w:val="22"/>
          <w:szCs w:val="22"/>
          <w:lang w:val="en-GB"/>
        </w:rPr>
        <w:t>indicates</w:t>
      </w:r>
      <w:r w:rsidRPr="4AF775A2" w:rsidR="126B43E6">
        <w:rPr>
          <w:rFonts w:ascii="Arial" w:hAnsi="Arial" w:eastAsia="Arial" w:cs="Arial"/>
          <w:b w:val="0"/>
          <w:bCs w:val="0"/>
          <w:noProof w:val="0"/>
          <w:sz w:val="22"/>
          <w:szCs w:val="22"/>
          <w:lang w:val="en-GB"/>
        </w:rPr>
        <w:t xml:space="preserve"> dissatisfaction with employment conditions, including job insecurity and limited career development opportunities, as main drivers of turnover. This reinforces the argument that retention is not entirely reliant on </w:t>
      </w:r>
      <w:r w:rsidRPr="4AF775A2" w:rsidR="126B43E6">
        <w:rPr>
          <w:rFonts w:ascii="Arial" w:hAnsi="Arial" w:eastAsia="Arial" w:cs="Arial"/>
          <w:b w:val="0"/>
          <w:bCs w:val="0"/>
          <w:noProof w:val="0"/>
          <w:sz w:val="22"/>
          <w:szCs w:val="22"/>
          <w:lang w:val="en-GB"/>
        </w:rPr>
        <w:t>initial</w:t>
      </w:r>
      <w:r w:rsidRPr="4AF775A2" w:rsidR="126B43E6">
        <w:rPr>
          <w:rFonts w:ascii="Arial" w:hAnsi="Arial" w:eastAsia="Arial" w:cs="Arial"/>
          <w:b w:val="0"/>
          <w:bCs w:val="0"/>
          <w:noProof w:val="0"/>
          <w:sz w:val="22"/>
          <w:szCs w:val="22"/>
          <w:lang w:val="en-GB"/>
        </w:rPr>
        <w:t xml:space="preserve"> recruitment but is </w:t>
      </w:r>
      <w:r w:rsidRPr="4AF775A2" w:rsidR="126B43E6">
        <w:rPr>
          <w:rFonts w:ascii="Arial" w:hAnsi="Arial" w:eastAsia="Arial" w:cs="Arial"/>
          <w:b w:val="0"/>
          <w:bCs w:val="0"/>
          <w:noProof w:val="0"/>
          <w:sz w:val="22"/>
          <w:szCs w:val="22"/>
          <w:lang w:val="en-GB"/>
        </w:rPr>
        <w:t>determined</w:t>
      </w:r>
      <w:r w:rsidRPr="4AF775A2" w:rsidR="126B43E6">
        <w:rPr>
          <w:rFonts w:ascii="Arial" w:hAnsi="Arial" w:eastAsia="Arial" w:cs="Arial"/>
          <w:b w:val="0"/>
          <w:bCs w:val="0"/>
          <w:noProof w:val="0"/>
          <w:sz w:val="22"/>
          <w:szCs w:val="22"/>
          <w:lang w:val="en-GB"/>
        </w:rPr>
        <w:t xml:space="preserve"> by ongoing HRM practices. However, the study’s focus on a single airline limits its generalisability, particularly given the diversity of employment models across the aviation industry.</w:t>
      </w:r>
    </w:p>
    <w:p w:rsidR="243BEF60" w:rsidP="4AF775A2" w:rsidRDefault="243BEF60" w14:paraId="3F0384C5" w14:textId="5280956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The importance of more extensive HRM practices in supporting retention is emphasised by Tej et al. (2021), who argue that training, performance management, and employee engagement initiatives are positively associated with employee commitment and retention. This is consistent with the concept of High-Performance Work Systems (HPWS), which integrate multiple HRM practices to strengthen employee outcomes. However, the authors adopt a </w:t>
      </w:r>
      <w:r w:rsidRPr="4AF775A2" w:rsidR="126B43E6">
        <w:rPr>
          <w:rFonts w:ascii="Arial" w:hAnsi="Arial" w:eastAsia="Arial" w:cs="Arial"/>
          <w:b w:val="0"/>
          <w:bCs w:val="0"/>
          <w:noProof w:val="0"/>
          <w:sz w:val="22"/>
          <w:szCs w:val="22"/>
          <w:lang w:val="en-GB"/>
        </w:rPr>
        <w:t>largely positive</w:t>
      </w:r>
      <w:r w:rsidRPr="4AF775A2" w:rsidR="126B43E6">
        <w:rPr>
          <w:rFonts w:ascii="Arial" w:hAnsi="Arial" w:eastAsia="Arial" w:cs="Arial"/>
          <w:b w:val="0"/>
          <w:bCs w:val="0"/>
          <w:noProof w:val="0"/>
          <w:sz w:val="22"/>
          <w:szCs w:val="22"/>
          <w:lang w:val="en-GB"/>
        </w:rPr>
        <w:t xml:space="preserve"> perspective, </w:t>
      </w:r>
      <w:r w:rsidRPr="4AF775A2" w:rsidR="126B43E6">
        <w:rPr>
          <w:rFonts w:ascii="Arial" w:hAnsi="Arial" w:eastAsia="Arial" w:cs="Arial"/>
          <w:b w:val="0"/>
          <w:bCs w:val="0"/>
          <w:noProof w:val="0"/>
          <w:sz w:val="22"/>
          <w:szCs w:val="22"/>
          <w:lang w:val="en-GB"/>
        </w:rPr>
        <w:t>possibly overlooking</w:t>
      </w:r>
      <w:r w:rsidRPr="4AF775A2" w:rsidR="126B43E6">
        <w:rPr>
          <w:rFonts w:ascii="Arial" w:hAnsi="Arial" w:eastAsia="Arial" w:cs="Arial"/>
          <w:b w:val="0"/>
          <w:bCs w:val="0"/>
          <w:noProof w:val="0"/>
          <w:sz w:val="22"/>
          <w:szCs w:val="22"/>
          <w:lang w:val="en-GB"/>
        </w:rPr>
        <w:t xml:space="preserve"> the possibility that such practices may also increase pressure and workload, </w:t>
      </w:r>
      <w:r w:rsidRPr="4AF775A2" w:rsidR="126B43E6">
        <w:rPr>
          <w:rFonts w:ascii="Arial" w:hAnsi="Arial" w:eastAsia="Arial" w:cs="Arial"/>
          <w:b w:val="0"/>
          <w:bCs w:val="0"/>
          <w:noProof w:val="0"/>
          <w:sz w:val="22"/>
          <w:szCs w:val="22"/>
          <w:lang w:val="en-GB"/>
        </w:rPr>
        <w:t>consequently</w:t>
      </w:r>
      <w:r w:rsidRPr="4AF775A2" w:rsidR="126B43E6">
        <w:rPr>
          <w:rFonts w:ascii="Arial" w:hAnsi="Arial" w:eastAsia="Arial" w:cs="Arial"/>
          <w:b w:val="0"/>
          <w:bCs w:val="0"/>
          <w:noProof w:val="0"/>
          <w:sz w:val="22"/>
          <w:szCs w:val="22"/>
          <w:lang w:val="en-GB"/>
        </w:rPr>
        <w:t xml:space="preserve"> contributing to employee stress and turnover. This critique is supported by Guest (2017), who draws attention to the dual nature of HRM practices, suggesting that although they </w:t>
      </w:r>
      <w:r w:rsidRPr="4AF775A2" w:rsidR="126B43E6">
        <w:rPr>
          <w:rFonts w:ascii="Arial" w:hAnsi="Arial" w:eastAsia="Arial" w:cs="Arial"/>
          <w:b w:val="0"/>
          <w:bCs w:val="0"/>
          <w:noProof w:val="0"/>
          <w:sz w:val="22"/>
          <w:szCs w:val="22"/>
          <w:lang w:val="en-GB"/>
        </w:rPr>
        <w:t>have the ability to</w:t>
      </w:r>
      <w:r w:rsidRPr="4AF775A2" w:rsidR="126B43E6">
        <w:rPr>
          <w:rFonts w:ascii="Arial" w:hAnsi="Arial" w:eastAsia="Arial" w:cs="Arial"/>
          <w:b w:val="0"/>
          <w:bCs w:val="0"/>
          <w:noProof w:val="0"/>
          <w:sz w:val="22"/>
          <w:szCs w:val="22"/>
          <w:lang w:val="en-GB"/>
        </w:rPr>
        <w:t xml:space="preserve"> enhance well-being and participation, they may also function as “demands” that negatively </w:t>
      </w:r>
      <w:r w:rsidRPr="4AF775A2" w:rsidR="126B43E6">
        <w:rPr>
          <w:rFonts w:ascii="Arial" w:hAnsi="Arial" w:eastAsia="Arial" w:cs="Arial"/>
          <w:b w:val="0"/>
          <w:bCs w:val="0"/>
          <w:noProof w:val="0"/>
          <w:sz w:val="22"/>
          <w:szCs w:val="22"/>
          <w:lang w:val="en-GB"/>
        </w:rPr>
        <w:t>impact</w:t>
      </w:r>
      <w:r w:rsidRPr="4AF775A2" w:rsidR="126B43E6">
        <w:rPr>
          <w:rFonts w:ascii="Arial" w:hAnsi="Arial" w:eastAsia="Arial" w:cs="Arial"/>
          <w:b w:val="0"/>
          <w:bCs w:val="0"/>
          <w:noProof w:val="0"/>
          <w:sz w:val="22"/>
          <w:szCs w:val="22"/>
          <w:lang w:val="en-GB"/>
        </w:rPr>
        <w:t xml:space="preserve"> employees when poorly implemented.</w:t>
      </w:r>
    </w:p>
    <w:p w:rsidR="243BEF60" w:rsidP="4AF775A2" w:rsidRDefault="243BEF60" w14:paraId="2388F852" w14:textId="2287C5E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A more subtle understanding of retention is provided by Renaud et al. (2015), who adopt a longitudinal approach to examine HRM practices in the Canadian IT sector. Their evidence suggests that retention of highly skilled employees is controlled by a combination of factors, including career development opportunities, recognition, and organisational support. Importantly, the longitudinal design enables a more robust analysis of causality, </w:t>
      </w:r>
      <w:r w:rsidRPr="4AF775A2" w:rsidR="126B43E6">
        <w:rPr>
          <w:rFonts w:ascii="Arial" w:hAnsi="Arial" w:eastAsia="Arial" w:cs="Arial"/>
          <w:b w:val="0"/>
          <w:bCs w:val="0"/>
          <w:noProof w:val="0"/>
          <w:sz w:val="22"/>
          <w:szCs w:val="22"/>
          <w:lang w:val="en-GB"/>
        </w:rPr>
        <w:t>demonstrating</w:t>
      </w:r>
      <w:r w:rsidRPr="4AF775A2" w:rsidR="126B43E6">
        <w:rPr>
          <w:rFonts w:ascii="Arial" w:hAnsi="Arial" w:eastAsia="Arial" w:cs="Arial"/>
          <w:b w:val="0"/>
          <w:bCs w:val="0"/>
          <w:noProof w:val="0"/>
          <w:sz w:val="22"/>
          <w:szCs w:val="22"/>
          <w:lang w:val="en-GB"/>
        </w:rPr>
        <w:t xml:space="preserve"> that retention is </w:t>
      </w:r>
      <w:r w:rsidRPr="4AF775A2" w:rsidR="126B43E6">
        <w:rPr>
          <w:rFonts w:ascii="Arial" w:hAnsi="Arial" w:eastAsia="Arial" w:cs="Arial"/>
          <w:b w:val="0"/>
          <w:bCs w:val="0"/>
          <w:noProof w:val="0"/>
          <w:sz w:val="22"/>
          <w:szCs w:val="22"/>
          <w:lang w:val="en-GB"/>
        </w:rPr>
        <w:t>determined</w:t>
      </w:r>
      <w:r w:rsidRPr="4AF775A2" w:rsidR="126B43E6">
        <w:rPr>
          <w:rFonts w:ascii="Arial" w:hAnsi="Arial" w:eastAsia="Arial" w:cs="Arial"/>
          <w:b w:val="0"/>
          <w:bCs w:val="0"/>
          <w:noProof w:val="0"/>
          <w:sz w:val="22"/>
          <w:szCs w:val="22"/>
          <w:lang w:val="en-GB"/>
        </w:rPr>
        <w:t xml:space="preserve"> by sustained HRM techniques rather than isolated interventions. However, the transferability of these conclusions to the aviation sector may be limited, given differences in job structure, regulation, and labour mobility.</w:t>
      </w:r>
    </w:p>
    <w:p w:rsidR="243BEF60" w:rsidP="4AF775A2" w:rsidRDefault="243BEF60" w14:paraId="53D862A4" w14:textId="2CDEFE1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Psychological factors also play a critical role in shaping retention intentions. Park and Pierce (2024) highlight the mediating effect of public service motivation and task self-efficacy on retention intention, suggesting that employees are more likely to remain in roles where they feel competent and aligned with organisational purpose. This perspective introduces an important psychological dimension to retention, moving beyond structural and financial factors. However, the study’s focus on public service contexts may limit its applicability to commercial industries such as aviation, where financial incentives and career progression may play a more prominent role.</w:t>
      </w:r>
    </w:p>
    <w:p w:rsidR="243BEF60" w:rsidP="4AF775A2" w:rsidRDefault="243BEF60" w14:paraId="419434D2" w14:textId="68352B81">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Across the literature, a recurring theme is the interaction between recruitment and retention, shaped by employee expectations and organisational experiences. Effective recruitment processes that provide realistic job previews and align candidate expectations with organisational realities can enhance retention by reducing early dissatisfaction. Conversely, even well-designed recruitment strategies may fail if organisational practices do not meet employee expectations over time. This highlights the importance of consistency between the “promises” made during recruitment and the “reality” employees experience.</w:t>
      </w:r>
    </w:p>
    <w:p w:rsidR="243BEF60" w:rsidP="4AF775A2" w:rsidRDefault="243BEF60" w14:paraId="473E3D58" w14:textId="7A5522F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Critically, the literature also reveals several gaps. Many studies adopt cross-sectional designs, limiting the ability to </w:t>
      </w:r>
      <w:r w:rsidRPr="4AF775A2" w:rsidR="126B43E6">
        <w:rPr>
          <w:rFonts w:ascii="Arial" w:hAnsi="Arial" w:eastAsia="Arial" w:cs="Arial"/>
          <w:b w:val="0"/>
          <w:bCs w:val="0"/>
          <w:noProof w:val="0"/>
          <w:sz w:val="22"/>
          <w:szCs w:val="22"/>
          <w:lang w:val="en-GB"/>
        </w:rPr>
        <w:t>establish</w:t>
      </w:r>
      <w:r w:rsidRPr="4AF775A2" w:rsidR="126B43E6">
        <w:rPr>
          <w:rFonts w:ascii="Arial" w:hAnsi="Arial" w:eastAsia="Arial" w:cs="Arial"/>
          <w:b w:val="0"/>
          <w:bCs w:val="0"/>
          <w:noProof w:val="0"/>
          <w:sz w:val="22"/>
          <w:szCs w:val="22"/>
          <w:lang w:val="en-GB"/>
        </w:rPr>
        <w:t xml:space="preserve"> causal relationships between HRM practices and retention outcomes. Additionally, there is a tendency to focus on individual factors, such as job satisfaction or motivation, without fully integrating organisational and contextual influences. The role of external labour markets, particularly in globally competitive industries such as aviation, is often underexplored. Furthermore, while HR analytics and global recruitment strategies offer new opportunities, they also introduce complexities that are not yet fully understood.</w:t>
      </w:r>
    </w:p>
    <w:p w:rsidR="243BEF60" w:rsidP="4AF775A2" w:rsidRDefault="243BEF60" w14:paraId="165944F4" w14:textId="05CDA699">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In the aviation industry, these issues are particularly pronounced. High training costs, regulatory requirements, and global labour mobility create significant challenges for both recruitment and retention. While financial incentives </w:t>
      </w:r>
      <w:r w:rsidRPr="4AF775A2" w:rsidR="126B43E6">
        <w:rPr>
          <w:rFonts w:ascii="Arial" w:hAnsi="Arial" w:eastAsia="Arial" w:cs="Arial"/>
          <w:b w:val="0"/>
          <w:bCs w:val="0"/>
          <w:noProof w:val="0"/>
          <w:sz w:val="22"/>
          <w:szCs w:val="22"/>
          <w:lang w:val="en-GB"/>
        </w:rPr>
        <w:t>remain</w:t>
      </w:r>
      <w:r w:rsidRPr="4AF775A2" w:rsidR="126B43E6">
        <w:rPr>
          <w:rFonts w:ascii="Arial" w:hAnsi="Arial" w:eastAsia="Arial" w:cs="Arial"/>
          <w:b w:val="0"/>
          <w:bCs w:val="0"/>
          <w:noProof w:val="0"/>
          <w:sz w:val="22"/>
          <w:szCs w:val="22"/>
          <w:lang w:val="en-GB"/>
        </w:rPr>
        <w:t xml:space="preserve"> important, they are insufficient on their own to ensure long-term retention. Instead, organisations must adopt </w:t>
      </w:r>
      <w:r w:rsidRPr="4AF775A2" w:rsidR="086BDC7B">
        <w:rPr>
          <w:rFonts w:ascii="Arial" w:hAnsi="Arial" w:eastAsia="Arial" w:cs="Arial"/>
          <w:b w:val="0"/>
          <w:bCs w:val="0"/>
          <w:noProof w:val="0"/>
          <w:sz w:val="22"/>
          <w:szCs w:val="22"/>
          <w:lang w:val="en-GB"/>
        </w:rPr>
        <w:t>a comprehensive approach</w:t>
      </w:r>
      <w:r w:rsidRPr="4AF775A2" w:rsidR="126B43E6">
        <w:rPr>
          <w:rFonts w:ascii="Arial" w:hAnsi="Arial" w:eastAsia="Arial" w:cs="Arial"/>
          <w:b w:val="0"/>
          <w:bCs w:val="0"/>
          <w:noProof w:val="0"/>
          <w:sz w:val="22"/>
          <w:szCs w:val="22"/>
          <w:lang w:val="en-GB"/>
        </w:rPr>
        <w:t xml:space="preserve"> that integrates effective recruitment, supportive HRM practices, and a focus on employee well-being and career development.</w:t>
      </w:r>
    </w:p>
    <w:p w:rsidR="243BEF60" w:rsidP="4AF775A2" w:rsidRDefault="243BEF60" w14:paraId="715014E9" w14:textId="52C33F9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26B43E6">
        <w:rPr>
          <w:rFonts w:ascii="Arial" w:hAnsi="Arial" w:eastAsia="Arial" w:cs="Arial"/>
          <w:b w:val="0"/>
          <w:bCs w:val="0"/>
          <w:noProof w:val="0"/>
          <w:sz w:val="22"/>
          <w:szCs w:val="22"/>
          <w:lang w:val="en-GB"/>
        </w:rPr>
        <w:t xml:space="preserve">Overall, the literature suggests that recruitment and retention are dynamic, interrelated processes shaped by a combination of organisational practices, employee </w:t>
      </w:r>
      <w:r w:rsidRPr="4AF775A2" w:rsidR="126B43E6">
        <w:rPr>
          <w:rFonts w:ascii="Arial" w:hAnsi="Arial" w:eastAsia="Arial" w:cs="Arial"/>
          <w:b w:val="0"/>
          <w:bCs w:val="0"/>
          <w:noProof w:val="0"/>
          <w:sz w:val="22"/>
          <w:szCs w:val="22"/>
          <w:lang w:val="en-GB"/>
        </w:rPr>
        <w:t>perceptions</w:t>
      </w:r>
      <w:r w:rsidRPr="4AF775A2" w:rsidR="126B43E6">
        <w:rPr>
          <w:rFonts w:ascii="Arial" w:hAnsi="Arial" w:eastAsia="Arial" w:cs="Arial"/>
          <w:b w:val="0"/>
          <w:bCs w:val="0"/>
          <w:noProof w:val="0"/>
          <w:sz w:val="22"/>
          <w:szCs w:val="22"/>
          <w:lang w:val="en-GB"/>
        </w:rPr>
        <w:t xml:space="preserve">, and external factors. While </w:t>
      </w:r>
      <w:r w:rsidRPr="4AF775A2" w:rsidR="69548731">
        <w:rPr>
          <w:rFonts w:ascii="Arial" w:hAnsi="Arial" w:eastAsia="Arial" w:cs="Arial"/>
          <w:b w:val="0"/>
          <w:bCs w:val="0"/>
          <w:noProof w:val="0"/>
          <w:sz w:val="22"/>
          <w:szCs w:val="22"/>
          <w:lang w:val="en-GB"/>
        </w:rPr>
        <w:t>considerable progress</w:t>
      </w:r>
      <w:r w:rsidRPr="4AF775A2" w:rsidR="126B43E6">
        <w:rPr>
          <w:rFonts w:ascii="Arial" w:hAnsi="Arial" w:eastAsia="Arial" w:cs="Arial"/>
          <w:b w:val="0"/>
          <w:bCs w:val="0"/>
          <w:noProof w:val="0"/>
          <w:sz w:val="22"/>
          <w:szCs w:val="22"/>
          <w:lang w:val="en-GB"/>
        </w:rPr>
        <w:t xml:space="preserve"> has been made in understanding these relationships, further research is needed to develop more integrated, context-sensitive frameworks, particularly in high-pressure, globally competitive industries such as aviation.</w:t>
      </w:r>
    </w:p>
    <w:p w:rsidR="33C7BA29" w:rsidP="4AF775A2" w:rsidRDefault="33C7BA29" w14:paraId="222EBBA4" w14:textId="7F0A9AFF">
      <w:pPr>
        <w:pStyle w:val="Heading2"/>
        <w:bidi w:val="0"/>
        <w:spacing w:line="360" w:lineRule="auto"/>
        <w:jc w:val="both"/>
        <w:rPr>
          <w:rFonts w:ascii="Arial" w:hAnsi="Arial" w:eastAsia="Arial" w:cs="Arial"/>
          <w:b w:val="0"/>
          <w:bCs w:val="0"/>
          <w:noProof w:val="0"/>
          <w:sz w:val="22"/>
          <w:szCs w:val="22"/>
          <w:lang w:val="en-GB"/>
        </w:rPr>
      </w:pPr>
      <w:bookmarkStart w:name="_Toc1379835467" w:id="1126227625"/>
      <w:r w:rsidRPr="4AF775A2" w:rsidR="33C7BA29">
        <w:rPr>
          <w:rFonts w:ascii="Arial" w:hAnsi="Arial" w:eastAsia="Arial" w:cs="Arial"/>
          <w:noProof w:val="0"/>
          <w:sz w:val="22"/>
          <w:szCs w:val="22"/>
          <w:lang w:val="en-GB"/>
        </w:rPr>
        <w:t>Pilot Supply Decline: Working and Training Conditions</w:t>
      </w:r>
      <w:bookmarkEnd w:id="1126227625"/>
    </w:p>
    <w:p w:rsidR="33C7BA29" w:rsidP="4AF775A2" w:rsidRDefault="33C7BA29" w14:paraId="1E129A85" w14:textId="7D63D0F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The global aviation industry faces a sustained decline in pilot supply, driven by </w:t>
      </w:r>
      <w:r w:rsidRPr="4AF775A2" w:rsidR="79F6B90B">
        <w:rPr>
          <w:rFonts w:ascii="Arial" w:hAnsi="Arial" w:eastAsia="Arial" w:cs="Arial"/>
          <w:b w:val="0"/>
          <w:bCs w:val="0"/>
          <w:noProof w:val="0"/>
          <w:sz w:val="22"/>
          <w:szCs w:val="22"/>
          <w:lang w:val="en-GB"/>
        </w:rPr>
        <w:t>labour</w:t>
      </w:r>
      <w:r w:rsidRPr="4AF775A2" w:rsidR="33C7BA29">
        <w:rPr>
          <w:rFonts w:ascii="Arial" w:hAnsi="Arial" w:eastAsia="Arial" w:cs="Arial"/>
          <w:b w:val="0"/>
          <w:bCs w:val="0"/>
          <w:noProof w:val="0"/>
          <w:sz w:val="22"/>
          <w:szCs w:val="22"/>
          <w:lang w:val="en-GB"/>
        </w:rPr>
        <w:t xml:space="preserve"> market dynamics, regulatory requirements, and deteriorating working conditions, despite increasing demand for air travel. Scholars characterize this as a persistent structural imbalance rather than a temporary shortage. The literature consistently links pilot supply challenges to concerns </w:t>
      </w:r>
      <w:r w:rsidRPr="4AF775A2" w:rsidR="33C7BA29">
        <w:rPr>
          <w:rFonts w:ascii="Arial" w:hAnsi="Arial" w:eastAsia="Arial" w:cs="Arial"/>
          <w:b w:val="0"/>
          <w:bCs w:val="0"/>
          <w:noProof w:val="0"/>
          <w:sz w:val="22"/>
          <w:szCs w:val="22"/>
          <w:lang w:val="en-GB"/>
        </w:rPr>
        <w:t>regarding</w:t>
      </w:r>
      <w:r w:rsidRPr="4AF775A2" w:rsidR="33C7BA29">
        <w:rPr>
          <w:rFonts w:ascii="Arial" w:hAnsi="Arial" w:eastAsia="Arial" w:cs="Arial"/>
          <w:b w:val="0"/>
          <w:bCs w:val="0"/>
          <w:noProof w:val="0"/>
          <w:sz w:val="22"/>
          <w:szCs w:val="22"/>
          <w:lang w:val="en-GB"/>
        </w:rPr>
        <w:t xml:space="preserve"> professional status, job quality, and barriers to entry into the profession.</w:t>
      </w:r>
    </w:p>
    <w:p w:rsidR="33C7BA29" w:rsidP="4AF775A2" w:rsidRDefault="33C7BA29" w14:paraId="475CAEB3" w14:textId="5336DAA9">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A central theme in the literature is the declining attractiveness of the pilot profession. </w:t>
      </w:r>
      <w:r w:rsidRPr="4AF775A2" w:rsidR="5EC1B82B">
        <w:rPr>
          <w:rFonts w:ascii="Arial" w:hAnsi="Arial" w:eastAsia="Arial" w:cs="Arial"/>
          <w:b w:val="0"/>
          <w:bCs w:val="0"/>
          <w:noProof w:val="0"/>
          <w:sz w:val="22"/>
          <w:szCs w:val="22"/>
          <w:lang w:val="en-GB"/>
        </w:rPr>
        <w:t>Maxwell &amp; Grant</w:t>
      </w:r>
      <w:r w:rsidRPr="4AF775A2" w:rsidR="33C7BA29">
        <w:rPr>
          <w:rFonts w:ascii="Arial" w:hAnsi="Arial" w:eastAsia="Arial" w:cs="Arial"/>
          <w:b w:val="0"/>
          <w:bCs w:val="0"/>
          <w:noProof w:val="0"/>
          <w:sz w:val="22"/>
          <w:szCs w:val="22"/>
          <w:lang w:val="en-GB"/>
        </w:rPr>
        <w:t xml:space="preserve"> (2021) argue that airline pilots, particularly at low-cost carriers, experience reduced job </w:t>
      </w:r>
      <w:r w:rsidRPr="4AF775A2" w:rsidR="2B261116">
        <w:rPr>
          <w:rFonts w:ascii="Arial" w:hAnsi="Arial" w:eastAsia="Arial" w:cs="Arial"/>
          <w:b w:val="0"/>
          <w:bCs w:val="0"/>
          <w:noProof w:val="0"/>
          <w:sz w:val="22"/>
          <w:szCs w:val="22"/>
          <w:lang w:val="en-GB"/>
        </w:rPr>
        <w:t>security,</w:t>
      </w:r>
      <w:r w:rsidRPr="4AF775A2" w:rsidR="33C7BA29">
        <w:rPr>
          <w:rFonts w:ascii="Arial" w:hAnsi="Arial" w:eastAsia="Arial" w:cs="Arial"/>
          <w:b w:val="0"/>
          <w:bCs w:val="0"/>
          <w:noProof w:val="0"/>
          <w:sz w:val="22"/>
          <w:szCs w:val="22"/>
          <w:lang w:val="en-GB"/>
        </w:rPr>
        <w:t xml:space="preserve"> and prestige due to the rise of flexible contracts and self-employment. These developments undermine the traditional </w:t>
      </w:r>
      <w:r w:rsidRPr="4AF775A2" w:rsidR="33C7BA29">
        <w:rPr>
          <w:rFonts w:ascii="Arial" w:hAnsi="Arial" w:eastAsia="Arial" w:cs="Arial"/>
          <w:b w:val="0"/>
          <w:bCs w:val="0"/>
          <w:noProof w:val="0"/>
          <w:sz w:val="22"/>
          <w:szCs w:val="22"/>
          <w:lang w:val="en-GB"/>
        </w:rPr>
        <w:t>perception</w:t>
      </w:r>
      <w:r w:rsidRPr="4AF775A2" w:rsidR="33C7BA29">
        <w:rPr>
          <w:rFonts w:ascii="Arial" w:hAnsi="Arial" w:eastAsia="Arial" w:cs="Arial"/>
          <w:b w:val="0"/>
          <w:bCs w:val="0"/>
          <w:noProof w:val="0"/>
          <w:sz w:val="22"/>
          <w:szCs w:val="22"/>
          <w:lang w:val="en-GB"/>
        </w:rPr>
        <w:t xml:space="preserve"> of aviation careers as stable and prestigious. However, their analysis may insufficiently address external influences, such as alternative career opportunities and evolving generational values, that also shape the profession's appeal.</w:t>
      </w:r>
    </w:p>
    <w:p w:rsidR="33C7BA29" w:rsidP="4AF775A2" w:rsidRDefault="33C7BA29" w14:paraId="38EA3CED" w14:textId="0E0928C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The issue of pilot shortages has been widely documented, with </w:t>
      </w:r>
      <w:r w:rsidRPr="4AF775A2" w:rsidR="5FD02165">
        <w:rPr>
          <w:rFonts w:ascii="Arial" w:hAnsi="Arial" w:eastAsia="Arial" w:cs="Arial"/>
          <w:b w:val="0"/>
          <w:bCs w:val="0"/>
          <w:noProof w:val="0"/>
          <w:sz w:val="22"/>
          <w:szCs w:val="22"/>
          <w:lang w:val="en-GB"/>
        </w:rPr>
        <w:t>Klapper &amp; Ruff-Stahl</w:t>
      </w:r>
      <w:r w:rsidRPr="4AF775A2" w:rsidR="33C7BA29">
        <w:rPr>
          <w:rFonts w:ascii="Arial" w:hAnsi="Arial" w:eastAsia="Arial" w:cs="Arial"/>
          <w:b w:val="0"/>
          <w:bCs w:val="0"/>
          <w:noProof w:val="0"/>
          <w:sz w:val="22"/>
          <w:szCs w:val="22"/>
          <w:lang w:val="en-GB"/>
        </w:rPr>
        <w:t xml:space="preserve"> (2019) forecasting significant operational disruptions, primarily in regional airline sectors. Their analysis finds that smaller carriers are disproportionately affected by their limited ability to compete with major airlines on salaries and career progression. Similarly, Leroux-Parra (2019) describes the pilot shortage as a “terminal” issue amid an aviation boom, highlighting the paradox of increasing demand alongside declining workforce supply. While these studies effectively </w:t>
      </w:r>
      <w:r w:rsidRPr="4AF775A2" w:rsidR="33C7BA29">
        <w:rPr>
          <w:rFonts w:ascii="Arial" w:hAnsi="Arial" w:eastAsia="Arial" w:cs="Arial"/>
          <w:b w:val="0"/>
          <w:bCs w:val="0"/>
          <w:noProof w:val="0"/>
          <w:sz w:val="22"/>
          <w:szCs w:val="22"/>
          <w:lang w:val="en-GB"/>
        </w:rPr>
        <w:t>demonstrate</w:t>
      </w:r>
      <w:r w:rsidRPr="4AF775A2" w:rsidR="33C7BA29">
        <w:rPr>
          <w:rFonts w:ascii="Arial" w:hAnsi="Arial" w:eastAsia="Arial" w:cs="Arial"/>
          <w:b w:val="0"/>
          <w:bCs w:val="0"/>
          <w:noProof w:val="0"/>
          <w:sz w:val="22"/>
          <w:szCs w:val="22"/>
          <w:lang w:val="en-GB"/>
        </w:rPr>
        <w:t xml:space="preserve"> the scale of the problem, they tend to adopt a </w:t>
      </w:r>
      <w:r w:rsidRPr="4AF775A2" w:rsidR="33C7BA29">
        <w:rPr>
          <w:rFonts w:ascii="Arial" w:hAnsi="Arial" w:eastAsia="Arial" w:cs="Arial"/>
          <w:b w:val="0"/>
          <w:bCs w:val="0"/>
          <w:noProof w:val="0"/>
          <w:sz w:val="22"/>
          <w:szCs w:val="22"/>
          <w:lang w:val="en-GB"/>
        </w:rPr>
        <w:t>largely quantitative</w:t>
      </w:r>
      <w:r w:rsidRPr="4AF775A2" w:rsidR="33C7BA29">
        <w:rPr>
          <w:rFonts w:ascii="Arial" w:hAnsi="Arial" w:eastAsia="Arial" w:cs="Arial"/>
          <w:b w:val="0"/>
          <w:bCs w:val="0"/>
          <w:noProof w:val="0"/>
          <w:sz w:val="22"/>
          <w:szCs w:val="22"/>
          <w:lang w:val="en-GB"/>
        </w:rPr>
        <w:t>, forecasting approach, offering limited insight concerning the underlying human and organisational variables contributing to the shortage.</w:t>
      </w:r>
    </w:p>
    <w:p w:rsidR="33C7BA29" w:rsidP="4AF775A2" w:rsidRDefault="33C7BA29" w14:paraId="79AF71F7" w14:textId="21F85E30">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Regulatory systems also serve a critical function in shaping pilot supply. Caraway (2020) argues that existing regulations, especially those related to minimum flight hours, act as barriers to entry by increasing the time and financial investment </w:t>
      </w:r>
      <w:r w:rsidRPr="4AF775A2" w:rsidR="33C7BA29">
        <w:rPr>
          <w:rFonts w:ascii="Arial" w:hAnsi="Arial" w:eastAsia="Arial" w:cs="Arial"/>
          <w:b w:val="0"/>
          <w:bCs w:val="0"/>
          <w:noProof w:val="0"/>
          <w:sz w:val="22"/>
          <w:szCs w:val="22"/>
          <w:lang w:val="en-GB"/>
        </w:rPr>
        <w:t>required</w:t>
      </w:r>
      <w:r w:rsidRPr="4AF775A2" w:rsidR="33C7BA29">
        <w:rPr>
          <w:rFonts w:ascii="Arial" w:hAnsi="Arial" w:eastAsia="Arial" w:cs="Arial"/>
          <w:b w:val="0"/>
          <w:bCs w:val="0"/>
          <w:noProof w:val="0"/>
          <w:sz w:val="22"/>
          <w:szCs w:val="22"/>
          <w:lang w:val="en-GB"/>
        </w:rPr>
        <w:t xml:space="preserve"> to qualify as a commercial pilot. While such regulations are important for </w:t>
      </w:r>
      <w:r w:rsidRPr="4AF775A2" w:rsidR="33C7BA29">
        <w:rPr>
          <w:rFonts w:ascii="Arial" w:hAnsi="Arial" w:eastAsia="Arial" w:cs="Arial"/>
          <w:b w:val="0"/>
          <w:bCs w:val="0"/>
          <w:noProof w:val="0"/>
          <w:sz w:val="22"/>
          <w:szCs w:val="22"/>
          <w:lang w:val="en-GB"/>
        </w:rPr>
        <w:t>maintaining</w:t>
      </w:r>
      <w:r w:rsidRPr="4AF775A2" w:rsidR="33C7BA29">
        <w:rPr>
          <w:rFonts w:ascii="Arial" w:hAnsi="Arial" w:eastAsia="Arial" w:cs="Arial"/>
          <w:b w:val="0"/>
          <w:bCs w:val="0"/>
          <w:noProof w:val="0"/>
          <w:sz w:val="22"/>
          <w:szCs w:val="22"/>
          <w:lang w:val="en-GB"/>
        </w:rPr>
        <w:t xml:space="preserve"> safety standards, they could accidentally restrict the talent pipeline. This creates a tension among safety and reachability, with policymakers handling rigorous training requirements with the need to expand the workforce. However, proposals to relax regulations are contentious, as they risk jeopardizing safety in an already high-risk industry.</w:t>
      </w:r>
    </w:p>
    <w:p w:rsidR="33C7BA29" w:rsidP="4AF775A2" w:rsidRDefault="33C7BA29" w14:paraId="75789D4A" w14:textId="3582AEB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Training pathways themselves represent a considerable barrier to entry. Lutte and Mills (2019) emphasise the benefit of collaboration between higher education institutions and the airline industry </w:t>
      </w:r>
      <w:r w:rsidRPr="4AF775A2" w:rsidR="33C7BA29">
        <w:rPr>
          <w:rFonts w:ascii="Arial" w:hAnsi="Arial" w:eastAsia="Arial" w:cs="Arial"/>
          <w:b w:val="0"/>
          <w:bCs w:val="0"/>
          <w:noProof w:val="0"/>
          <w:sz w:val="22"/>
          <w:szCs w:val="22"/>
          <w:lang w:val="en-GB"/>
        </w:rPr>
        <w:t>regarding</w:t>
      </w:r>
      <w:r w:rsidRPr="4AF775A2" w:rsidR="33C7BA29">
        <w:rPr>
          <w:rFonts w:ascii="Arial" w:hAnsi="Arial" w:eastAsia="Arial" w:cs="Arial"/>
          <w:b w:val="0"/>
          <w:bCs w:val="0"/>
          <w:noProof w:val="0"/>
          <w:sz w:val="22"/>
          <w:szCs w:val="22"/>
          <w:lang w:val="en-GB"/>
        </w:rPr>
        <w:t xml:space="preserve"> addressing pilot shortages. Their research reveals that partnerships </w:t>
      </w:r>
      <w:r w:rsidRPr="4AF775A2" w:rsidR="33C7BA29">
        <w:rPr>
          <w:rFonts w:ascii="Arial" w:hAnsi="Arial" w:eastAsia="Arial" w:cs="Arial"/>
          <w:b w:val="0"/>
          <w:bCs w:val="0"/>
          <w:noProof w:val="0"/>
          <w:sz w:val="22"/>
          <w:szCs w:val="22"/>
          <w:lang w:val="en-GB"/>
        </w:rPr>
        <w:t>have the ability to</w:t>
      </w:r>
      <w:r w:rsidRPr="4AF775A2" w:rsidR="33C7BA29">
        <w:rPr>
          <w:rFonts w:ascii="Arial" w:hAnsi="Arial" w:eastAsia="Arial" w:cs="Arial"/>
          <w:b w:val="0"/>
          <w:bCs w:val="0"/>
          <w:noProof w:val="0"/>
          <w:sz w:val="22"/>
          <w:szCs w:val="22"/>
          <w:lang w:val="en-GB"/>
        </w:rPr>
        <w:t xml:space="preserve"> help reduce training costs, standardise curricula, and create clearer career pathways for aspiring pilots. Similarly, </w:t>
      </w:r>
      <w:r w:rsidRPr="4AF775A2" w:rsidR="33C7BA29">
        <w:rPr>
          <w:rFonts w:ascii="Arial" w:hAnsi="Arial" w:eastAsia="Arial" w:cs="Arial"/>
          <w:b w:val="0"/>
          <w:bCs w:val="0"/>
          <w:noProof w:val="0"/>
          <w:sz w:val="22"/>
          <w:szCs w:val="22"/>
          <w:lang w:val="en-GB"/>
        </w:rPr>
        <w:t>Ziakkas</w:t>
      </w:r>
      <w:r w:rsidRPr="4AF775A2" w:rsidR="33C7BA29">
        <w:rPr>
          <w:rFonts w:ascii="Arial" w:hAnsi="Arial" w:eastAsia="Arial" w:cs="Arial"/>
          <w:b w:val="0"/>
          <w:bCs w:val="0"/>
          <w:noProof w:val="0"/>
          <w:sz w:val="22"/>
          <w:szCs w:val="22"/>
          <w:lang w:val="en-GB"/>
        </w:rPr>
        <w:t xml:space="preserve">, Michael, and </w:t>
      </w:r>
      <w:r w:rsidRPr="4AF775A2" w:rsidR="33C7BA29">
        <w:rPr>
          <w:rFonts w:ascii="Arial" w:hAnsi="Arial" w:eastAsia="Arial" w:cs="Arial"/>
          <w:b w:val="0"/>
          <w:bCs w:val="0"/>
          <w:noProof w:val="0"/>
          <w:sz w:val="22"/>
          <w:szCs w:val="22"/>
          <w:lang w:val="en-GB"/>
        </w:rPr>
        <w:t>Pechlivanis</w:t>
      </w:r>
      <w:r w:rsidRPr="4AF775A2" w:rsidR="33C7BA29">
        <w:rPr>
          <w:rFonts w:ascii="Arial" w:hAnsi="Arial" w:eastAsia="Arial" w:cs="Arial"/>
          <w:b w:val="0"/>
          <w:bCs w:val="0"/>
          <w:noProof w:val="0"/>
          <w:sz w:val="22"/>
          <w:szCs w:val="22"/>
          <w:lang w:val="en-GB"/>
        </w:rPr>
        <w:t xml:space="preserve"> (2022) advocate implementing competency-based training and assessment (CBTA) frameworks which focus on skill development rather than fixed flight hours. This approach has the potential to improve training efficiency and more precisely align pilot competencies with commercial demands. However, while these innovations themselves bring promising solutions, their implementation calls for significant coordination and investment, which may limit their capacity for scaling throughout various regions and organisations.</w:t>
      </w:r>
    </w:p>
    <w:p w:rsidR="33C7BA29" w:rsidP="4AF775A2" w:rsidRDefault="33C7BA29" w14:paraId="6D8AF26D" w14:textId="2D6105A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Beyond structural and organisational factors, working conditions serve an essential role in both attracting and </w:t>
      </w:r>
      <w:r w:rsidRPr="4AF775A2" w:rsidR="33C7BA29">
        <w:rPr>
          <w:rFonts w:ascii="Arial" w:hAnsi="Arial" w:eastAsia="Arial" w:cs="Arial"/>
          <w:b w:val="0"/>
          <w:bCs w:val="0"/>
          <w:noProof w:val="0"/>
          <w:sz w:val="22"/>
          <w:szCs w:val="22"/>
          <w:lang w:val="en-GB"/>
        </w:rPr>
        <w:t>retaining</w:t>
      </w:r>
      <w:r w:rsidRPr="4AF775A2" w:rsidR="33C7BA29">
        <w:rPr>
          <w:rFonts w:ascii="Arial" w:hAnsi="Arial" w:eastAsia="Arial" w:cs="Arial"/>
          <w:b w:val="0"/>
          <w:bCs w:val="0"/>
          <w:noProof w:val="0"/>
          <w:sz w:val="22"/>
          <w:szCs w:val="22"/>
          <w:lang w:val="en-GB"/>
        </w:rPr>
        <w:t xml:space="preserve"> pilots. Fatigue, for example, has long been recognised as a major issue within the profession. Jackson and Earl (2006) </w:t>
      </w:r>
      <w:r w:rsidRPr="4AF775A2" w:rsidR="33C7BA29">
        <w:rPr>
          <w:rFonts w:ascii="Arial" w:hAnsi="Arial" w:eastAsia="Arial" w:cs="Arial"/>
          <w:b w:val="0"/>
          <w:bCs w:val="0"/>
          <w:noProof w:val="0"/>
          <w:sz w:val="22"/>
          <w:szCs w:val="22"/>
          <w:lang w:val="en-GB"/>
        </w:rPr>
        <w:t>identify</w:t>
      </w:r>
      <w:r w:rsidRPr="4AF775A2" w:rsidR="33C7BA29">
        <w:rPr>
          <w:rFonts w:ascii="Arial" w:hAnsi="Arial" w:eastAsia="Arial" w:cs="Arial"/>
          <w:b w:val="0"/>
          <w:bCs w:val="0"/>
          <w:noProof w:val="0"/>
          <w:sz w:val="22"/>
          <w:szCs w:val="22"/>
          <w:lang w:val="en-GB"/>
        </w:rPr>
        <w:t xml:space="preserve"> a high prevalence of fatigue among commercial pilots, driven on account of irregular schedules, long working hours, and time zone disruptions. Despite the age of this study, its findings </w:t>
      </w:r>
      <w:r w:rsidRPr="4AF775A2" w:rsidR="33C7BA29">
        <w:rPr>
          <w:rFonts w:ascii="Arial" w:hAnsi="Arial" w:eastAsia="Arial" w:cs="Arial"/>
          <w:b w:val="0"/>
          <w:bCs w:val="0"/>
          <w:noProof w:val="0"/>
          <w:sz w:val="22"/>
          <w:szCs w:val="22"/>
          <w:lang w:val="en-GB"/>
        </w:rPr>
        <w:t>remain</w:t>
      </w:r>
      <w:r w:rsidRPr="4AF775A2" w:rsidR="33C7BA29">
        <w:rPr>
          <w:rFonts w:ascii="Arial" w:hAnsi="Arial" w:eastAsia="Arial" w:cs="Arial"/>
          <w:b w:val="0"/>
          <w:bCs w:val="0"/>
          <w:noProof w:val="0"/>
          <w:sz w:val="22"/>
          <w:szCs w:val="22"/>
          <w:lang w:val="en-GB"/>
        </w:rPr>
        <w:t xml:space="preserve"> highly relevant, as fatigue continues as a persistent concern in contemporary aviation. Fatigue not only affects a pilot's well-being but also has significant implications for safety and performance, prompting inquiry into the sustainability of current working practices.</w:t>
      </w:r>
    </w:p>
    <w:p w:rsidR="33C7BA29" w:rsidP="4AF775A2" w:rsidRDefault="33C7BA29" w14:paraId="67A2FBA6" w14:textId="32EE171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Recent research considers resilience as a coping mechanism for adverse working conditions. Douglas and Pittenger (2020) examine resilience among female pilots, who </w:t>
      </w:r>
      <w:r w:rsidRPr="4AF775A2" w:rsidR="33C7BA29">
        <w:rPr>
          <w:rFonts w:ascii="Arial" w:hAnsi="Arial" w:eastAsia="Arial" w:cs="Arial"/>
          <w:b w:val="0"/>
          <w:bCs w:val="0"/>
          <w:noProof w:val="0"/>
          <w:sz w:val="22"/>
          <w:szCs w:val="22"/>
          <w:lang w:val="en-GB"/>
        </w:rPr>
        <w:t>encounter</w:t>
      </w:r>
      <w:r w:rsidRPr="4AF775A2" w:rsidR="33C7BA29">
        <w:rPr>
          <w:rFonts w:ascii="Arial" w:hAnsi="Arial" w:eastAsia="Arial" w:cs="Arial"/>
          <w:b w:val="0"/>
          <w:bCs w:val="0"/>
          <w:noProof w:val="0"/>
          <w:sz w:val="22"/>
          <w:szCs w:val="22"/>
          <w:lang w:val="en-GB"/>
        </w:rPr>
        <w:t xml:space="preserve"> </w:t>
      </w:r>
      <w:r w:rsidRPr="4AF775A2" w:rsidR="33C7BA29">
        <w:rPr>
          <w:rFonts w:ascii="Arial" w:hAnsi="Arial" w:eastAsia="Arial" w:cs="Arial"/>
          <w:b w:val="0"/>
          <w:bCs w:val="0"/>
          <w:noProof w:val="0"/>
          <w:sz w:val="22"/>
          <w:szCs w:val="22"/>
          <w:lang w:val="en-GB"/>
        </w:rPr>
        <w:t>additional</w:t>
      </w:r>
      <w:r w:rsidRPr="4AF775A2" w:rsidR="33C7BA29">
        <w:rPr>
          <w:rFonts w:ascii="Arial" w:hAnsi="Arial" w:eastAsia="Arial" w:cs="Arial"/>
          <w:b w:val="0"/>
          <w:bCs w:val="0"/>
          <w:noProof w:val="0"/>
          <w:sz w:val="22"/>
          <w:szCs w:val="22"/>
          <w:lang w:val="en-GB"/>
        </w:rPr>
        <w:t xml:space="preserve"> challenges such as gender bias and limited support networks. Their findings </w:t>
      </w:r>
      <w:r w:rsidRPr="4AF775A2" w:rsidR="33C7BA29">
        <w:rPr>
          <w:rFonts w:ascii="Arial" w:hAnsi="Arial" w:eastAsia="Arial" w:cs="Arial"/>
          <w:b w:val="0"/>
          <w:bCs w:val="0"/>
          <w:noProof w:val="0"/>
          <w:sz w:val="22"/>
          <w:szCs w:val="22"/>
          <w:lang w:val="en-GB"/>
        </w:rPr>
        <w:t>indicate</w:t>
      </w:r>
      <w:r w:rsidRPr="4AF775A2" w:rsidR="33C7BA29">
        <w:rPr>
          <w:rFonts w:ascii="Arial" w:hAnsi="Arial" w:eastAsia="Arial" w:cs="Arial"/>
          <w:b w:val="0"/>
          <w:bCs w:val="0"/>
          <w:noProof w:val="0"/>
          <w:sz w:val="22"/>
          <w:szCs w:val="22"/>
          <w:lang w:val="en-GB"/>
        </w:rPr>
        <w:t xml:space="preserve"> that resilience is shaped by both individual characteristics and </w:t>
      </w:r>
      <w:r w:rsidRPr="4AF775A2" w:rsidR="4E716085">
        <w:rPr>
          <w:rFonts w:ascii="Arial" w:hAnsi="Arial" w:eastAsia="Arial" w:cs="Arial"/>
          <w:b w:val="0"/>
          <w:bCs w:val="0"/>
          <w:noProof w:val="0"/>
          <w:sz w:val="22"/>
          <w:szCs w:val="22"/>
          <w:lang w:val="en-GB"/>
        </w:rPr>
        <w:t>organisation</w:t>
      </w:r>
      <w:r w:rsidRPr="4AF775A2" w:rsidR="33C7BA29">
        <w:rPr>
          <w:rFonts w:ascii="Arial" w:hAnsi="Arial" w:eastAsia="Arial" w:cs="Arial"/>
          <w:b w:val="0"/>
          <w:bCs w:val="0"/>
          <w:noProof w:val="0"/>
          <w:sz w:val="22"/>
          <w:szCs w:val="22"/>
          <w:lang w:val="en-GB"/>
        </w:rPr>
        <w:t>al culture. However, focusing exclusively on female pilots may not capture the full range of experiences within the broader pilot population.</w:t>
      </w:r>
    </w:p>
    <w:p w:rsidR="33C7BA29" w:rsidP="4AF775A2" w:rsidRDefault="33C7BA29" w14:paraId="19A60A33" w14:textId="5EDB065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Steen et al. (2024) provide a complementary perspective by examining “hidden workarounds” in commercial aviation. Their study reveals that pilots often develop informal practices to manage operational pressures and preserve performance under demanding situations. While these workarounds </w:t>
      </w:r>
      <w:r w:rsidRPr="4AF775A2" w:rsidR="33C7BA29">
        <w:rPr>
          <w:rFonts w:ascii="Arial" w:hAnsi="Arial" w:eastAsia="Arial" w:cs="Arial"/>
          <w:b w:val="0"/>
          <w:bCs w:val="0"/>
          <w:noProof w:val="0"/>
          <w:sz w:val="22"/>
          <w:szCs w:val="22"/>
          <w:lang w:val="en-GB"/>
        </w:rPr>
        <w:t>demonstrate</w:t>
      </w:r>
      <w:r w:rsidRPr="4AF775A2" w:rsidR="33C7BA29">
        <w:rPr>
          <w:rFonts w:ascii="Arial" w:hAnsi="Arial" w:eastAsia="Arial" w:cs="Arial"/>
          <w:b w:val="0"/>
          <w:bCs w:val="0"/>
          <w:noProof w:val="0"/>
          <w:sz w:val="22"/>
          <w:szCs w:val="22"/>
          <w:lang w:val="en-GB"/>
        </w:rPr>
        <w:t xml:space="preserve"> flexibility and endurance, they also </w:t>
      </w:r>
      <w:r w:rsidRPr="4AF775A2" w:rsidR="33C7BA29">
        <w:rPr>
          <w:rFonts w:ascii="Arial" w:hAnsi="Arial" w:eastAsia="Arial" w:cs="Arial"/>
          <w:b w:val="0"/>
          <w:bCs w:val="0"/>
          <w:noProof w:val="0"/>
          <w:sz w:val="22"/>
          <w:szCs w:val="22"/>
          <w:lang w:val="en-GB"/>
        </w:rPr>
        <w:t>indicate</w:t>
      </w:r>
      <w:r w:rsidRPr="4AF775A2" w:rsidR="33C7BA29">
        <w:rPr>
          <w:rFonts w:ascii="Arial" w:hAnsi="Arial" w:eastAsia="Arial" w:cs="Arial"/>
          <w:b w:val="0"/>
          <w:bCs w:val="0"/>
          <w:noProof w:val="0"/>
          <w:sz w:val="22"/>
          <w:szCs w:val="22"/>
          <w:lang w:val="en-GB"/>
        </w:rPr>
        <w:t xml:space="preserve"> system-wide problems in organisational processes and safety management systems. Critically, reliance on informal practices may mask underlying problems, creating a false sense of stability while increasing long-term risk. This prompts essential inquiries about the extent to which resilience should be viewed as a positive attribute rather than a coping mechanism for organisational shortcomings.</w:t>
      </w:r>
    </w:p>
    <w:p w:rsidR="33C7BA29" w:rsidP="4AF775A2" w:rsidRDefault="33C7BA29" w14:paraId="70F2BCF6" w14:textId="6DC3A70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Retention is a critical aspect of the pilot supply challenge. </w:t>
      </w:r>
      <w:r w:rsidRPr="4AF775A2" w:rsidR="33C7BA29">
        <w:rPr>
          <w:rFonts w:ascii="Arial" w:hAnsi="Arial" w:eastAsia="Arial" w:cs="Arial"/>
          <w:b w:val="0"/>
          <w:bCs w:val="0"/>
          <w:noProof w:val="0"/>
          <w:sz w:val="22"/>
          <w:szCs w:val="22"/>
          <w:lang w:val="en-GB"/>
        </w:rPr>
        <w:t>Peyrat</w:t>
      </w:r>
      <w:r w:rsidRPr="4AF775A2" w:rsidR="33C7BA29">
        <w:rPr>
          <w:rFonts w:ascii="Arial" w:hAnsi="Arial" w:eastAsia="Arial" w:cs="Arial"/>
          <w:b w:val="0"/>
          <w:bCs w:val="0"/>
          <w:noProof w:val="0"/>
          <w:sz w:val="22"/>
          <w:szCs w:val="22"/>
          <w:lang w:val="en-GB"/>
        </w:rPr>
        <w:t xml:space="preserve">-Guillard, Grefe, and Subramanian (2023) introduce the concept of “quondam commitments,” referring to enduring attachments that motivate employees to remain with an </w:t>
      </w:r>
      <w:r w:rsidRPr="4AF775A2" w:rsidR="33C7BA29">
        <w:rPr>
          <w:rFonts w:ascii="Arial" w:hAnsi="Arial" w:eastAsia="Arial" w:cs="Arial"/>
          <w:b w:val="0"/>
          <w:bCs w:val="0"/>
          <w:noProof w:val="0"/>
          <w:sz w:val="22"/>
          <w:szCs w:val="22"/>
          <w:lang w:val="en-GB"/>
        </w:rPr>
        <w:t>organis</w:t>
      </w:r>
      <w:r w:rsidRPr="4AF775A2" w:rsidR="33C7BA29">
        <w:rPr>
          <w:rFonts w:ascii="Arial" w:hAnsi="Arial" w:eastAsia="Arial" w:cs="Arial"/>
          <w:b w:val="0"/>
          <w:bCs w:val="0"/>
          <w:noProof w:val="0"/>
          <w:sz w:val="22"/>
          <w:szCs w:val="22"/>
          <w:lang w:val="en-GB"/>
        </w:rPr>
        <w:t>ation</w:t>
      </w:r>
      <w:r w:rsidRPr="4AF775A2" w:rsidR="33C7BA29">
        <w:rPr>
          <w:rFonts w:ascii="Arial" w:hAnsi="Arial" w:eastAsia="Arial" w:cs="Arial"/>
          <w:b w:val="0"/>
          <w:bCs w:val="0"/>
          <w:noProof w:val="0"/>
          <w:sz w:val="22"/>
          <w:szCs w:val="22"/>
          <w:lang w:val="en-GB"/>
        </w:rPr>
        <w:t xml:space="preserve"> despite dissatisfaction. Pilots and crew may continue their employment for career investment, professional identity, or other reasons. This perspective adds nuance to the understanding of retention, although such commitments do not necessarily ensure long-term engagement or satisfaction.</w:t>
      </w:r>
    </w:p>
    <w:p w:rsidR="33C7BA29" w:rsidP="4AF775A2" w:rsidRDefault="33C7BA29" w14:paraId="30CDD1B9" w14:textId="059DAFD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In summary, the literature </w:t>
      </w:r>
      <w:r w:rsidRPr="4AF775A2" w:rsidR="33C7BA29">
        <w:rPr>
          <w:rFonts w:ascii="Arial" w:hAnsi="Arial" w:eastAsia="Arial" w:cs="Arial"/>
          <w:b w:val="0"/>
          <w:bCs w:val="0"/>
          <w:noProof w:val="0"/>
          <w:sz w:val="22"/>
          <w:szCs w:val="22"/>
          <w:lang w:val="en-GB"/>
        </w:rPr>
        <w:t>indicates</w:t>
      </w:r>
      <w:r w:rsidRPr="4AF775A2" w:rsidR="33C7BA29">
        <w:rPr>
          <w:rFonts w:ascii="Arial" w:hAnsi="Arial" w:eastAsia="Arial" w:cs="Arial"/>
          <w:b w:val="0"/>
          <w:bCs w:val="0"/>
          <w:noProof w:val="0"/>
          <w:sz w:val="22"/>
          <w:szCs w:val="22"/>
          <w:lang w:val="en-GB"/>
        </w:rPr>
        <w:t xml:space="preserve"> that the decline in pilot supply is not solely attributable to training capacity. Rather, it arises from a combination of working conditions, professional identity, and </w:t>
      </w:r>
      <w:r w:rsidRPr="4AF775A2" w:rsidR="4E716085">
        <w:rPr>
          <w:rFonts w:ascii="Arial" w:hAnsi="Arial" w:eastAsia="Arial" w:cs="Arial"/>
          <w:b w:val="0"/>
          <w:bCs w:val="0"/>
          <w:noProof w:val="0"/>
          <w:sz w:val="22"/>
          <w:szCs w:val="22"/>
          <w:lang w:val="en-GB"/>
        </w:rPr>
        <w:t>organisation</w:t>
      </w:r>
      <w:r w:rsidRPr="4AF775A2" w:rsidR="33C7BA29">
        <w:rPr>
          <w:rFonts w:ascii="Arial" w:hAnsi="Arial" w:eastAsia="Arial" w:cs="Arial"/>
          <w:b w:val="0"/>
          <w:bCs w:val="0"/>
          <w:noProof w:val="0"/>
          <w:sz w:val="22"/>
          <w:szCs w:val="22"/>
          <w:lang w:val="en-GB"/>
        </w:rPr>
        <w:t xml:space="preserve">al practices within aviation. While solutions such as CBTA and educational partnerships offer partial remedies, they do not address fundamental concerns </w:t>
      </w:r>
      <w:r w:rsidRPr="4AF775A2" w:rsidR="33C7BA29">
        <w:rPr>
          <w:rFonts w:ascii="Arial" w:hAnsi="Arial" w:eastAsia="Arial" w:cs="Arial"/>
          <w:b w:val="0"/>
          <w:bCs w:val="0"/>
          <w:noProof w:val="0"/>
          <w:sz w:val="22"/>
          <w:szCs w:val="22"/>
          <w:lang w:val="en-GB"/>
        </w:rPr>
        <w:t>regarding</w:t>
      </w:r>
      <w:r w:rsidRPr="4AF775A2" w:rsidR="33C7BA29">
        <w:rPr>
          <w:rFonts w:ascii="Arial" w:hAnsi="Arial" w:eastAsia="Arial" w:cs="Arial"/>
          <w:b w:val="0"/>
          <w:bCs w:val="0"/>
          <w:noProof w:val="0"/>
          <w:sz w:val="22"/>
          <w:szCs w:val="22"/>
          <w:lang w:val="en-GB"/>
        </w:rPr>
        <w:t xml:space="preserve"> job quality and career stability. Emphasizing individual resilience may divert attention from systemic industry challenges.</w:t>
      </w:r>
    </w:p>
    <w:p w:rsidR="33C7BA29" w:rsidP="4AF775A2" w:rsidRDefault="33C7BA29" w14:paraId="798D8959" w14:textId="3E0ECEA2">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Research on pilot shortages is </w:t>
      </w:r>
      <w:r w:rsidRPr="4AF775A2" w:rsidR="33C7BA29">
        <w:rPr>
          <w:rFonts w:ascii="Arial" w:hAnsi="Arial" w:eastAsia="Arial" w:cs="Arial"/>
          <w:b w:val="0"/>
          <w:bCs w:val="0"/>
          <w:noProof w:val="0"/>
          <w:sz w:val="22"/>
          <w:szCs w:val="22"/>
          <w:lang w:val="en-GB"/>
        </w:rPr>
        <w:t>frequently</w:t>
      </w:r>
      <w:r w:rsidRPr="4AF775A2" w:rsidR="33C7BA29">
        <w:rPr>
          <w:rFonts w:ascii="Arial" w:hAnsi="Arial" w:eastAsia="Arial" w:cs="Arial"/>
          <w:b w:val="0"/>
          <w:bCs w:val="0"/>
          <w:noProof w:val="0"/>
          <w:sz w:val="22"/>
          <w:szCs w:val="22"/>
          <w:lang w:val="en-GB"/>
        </w:rPr>
        <w:t xml:space="preserve"> divided between labour market forecasting and analyses of working conditions within airlines. Integrating these perspectives would enable policymakers and industry leaders to develop a more comprehensive understanding of the issue. Additionally, much of the existing research is region-specific, which limits the generalisability of findings across the global and diverse aviation sector.</w:t>
      </w:r>
    </w:p>
    <w:p w:rsidR="33C7BA29" w:rsidP="4AF775A2" w:rsidRDefault="33C7BA29" w14:paraId="4B57D741" w14:textId="625271C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Challenges are particularly acute for low-cost carriers, where cost pressures lead to more precarious employment and harsher working conditions. These factors complicate both recruitment and retention of pilots. Addressing the decline in pilot supply requires not only expanding training capacity but also improving employment quality across the industry.</w:t>
      </w:r>
    </w:p>
    <w:p w:rsidR="33C7BA29" w:rsidP="4AF775A2" w:rsidRDefault="33C7BA29" w14:paraId="334EE501" w14:textId="44F712CF">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33C7BA29">
        <w:rPr>
          <w:rFonts w:ascii="Arial" w:hAnsi="Arial" w:eastAsia="Arial" w:cs="Arial"/>
          <w:b w:val="0"/>
          <w:bCs w:val="0"/>
          <w:noProof w:val="0"/>
          <w:sz w:val="22"/>
          <w:szCs w:val="22"/>
          <w:lang w:val="en-GB"/>
        </w:rPr>
        <w:t xml:space="preserve">Overall, the decline in pilot supply reflects a complex interplay of systemic, organisational, and individual factors. While innovations in training and regulation may offer some benefits, sustainable improvement depends on addressing job quality and professional identity. </w:t>
      </w:r>
      <w:r w:rsidRPr="4AF775A2" w:rsidR="50011661">
        <w:rPr>
          <w:rFonts w:ascii="Arial" w:hAnsi="Arial" w:eastAsia="Arial" w:cs="Arial"/>
          <w:b w:val="0"/>
          <w:bCs w:val="0"/>
          <w:noProof w:val="0"/>
          <w:sz w:val="22"/>
          <w:szCs w:val="22"/>
          <w:lang w:val="en-GB"/>
        </w:rPr>
        <w:t>A comprehensive approach</w:t>
      </w:r>
      <w:r w:rsidRPr="4AF775A2" w:rsidR="33C7BA29">
        <w:rPr>
          <w:rFonts w:ascii="Arial" w:hAnsi="Arial" w:eastAsia="Arial" w:cs="Arial"/>
          <w:b w:val="0"/>
          <w:bCs w:val="0"/>
          <w:noProof w:val="0"/>
          <w:sz w:val="22"/>
          <w:szCs w:val="22"/>
          <w:lang w:val="en-GB"/>
        </w:rPr>
        <w:t xml:space="preserve"> is essential for the aviation industry to successfully recruit and </w:t>
      </w:r>
      <w:r w:rsidRPr="4AF775A2" w:rsidR="33C7BA29">
        <w:rPr>
          <w:rFonts w:ascii="Arial" w:hAnsi="Arial" w:eastAsia="Arial" w:cs="Arial"/>
          <w:b w:val="0"/>
          <w:bCs w:val="0"/>
          <w:noProof w:val="0"/>
          <w:sz w:val="22"/>
          <w:szCs w:val="22"/>
          <w:lang w:val="en-GB"/>
        </w:rPr>
        <w:t>retain</w:t>
      </w:r>
      <w:r w:rsidRPr="4AF775A2" w:rsidR="33C7BA29">
        <w:rPr>
          <w:rFonts w:ascii="Arial" w:hAnsi="Arial" w:eastAsia="Arial" w:cs="Arial"/>
          <w:b w:val="0"/>
          <w:bCs w:val="0"/>
          <w:noProof w:val="0"/>
          <w:sz w:val="22"/>
          <w:szCs w:val="22"/>
          <w:lang w:val="en-GB"/>
        </w:rPr>
        <w:t xml:space="preserve"> future pilots.</w:t>
      </w:r>
    </w:p>
    <w:p w:rsidR="4E6F5AF1" w:rsidP="4AF775A2" w:rsidRDefault="4E6F5AF1" w14:paraId="678785B0" w14:textId="6FA49A22">
      <w:pPr>
        <w:pStyle w:val="Heading1"/>
        <w:bidi w:val="0"/>
        <w:spacing w:line="360" w:lineRule="auto"/>
        <w:jc w:val="both"/>
        <w:rPr>
          <w:rFonts w:ascii="Arial" w:hAnsi="Arial" w:eastAsia="Arial" w:cs="Arial"/>
          <w:b w:val="0"/>
          <w:bCs w:val="0"/>
          <w:noProof w:val="0"/>
          <w:sz w:val="22"/>
          <w:szCs w:val="22"/>
          <w:lang w:val="en-GB"/>
        </w:rPr>
      </w:pPr>
      <w:bookmarkStart w:name="_Toc2003469063" w:id="2007682714"/>
      <w:r w:rsidRPr="4AF775A2" w:rsidR="4E6F5AF1">
        <w:rPr>
          <w:rFonts w:ascii="Arial" w:hAnsi="Arial" w:eastAsia="Arial" w:cs="Arial"/>
          <w:noProof w:val="0"/>
          <w:sz w:val="22"/>
          <w:szCs w:val="22"/>
          <w:lang w:val="en-GB"/>
        </w:rPr>
        <w:t>Conceptual Framework</w:t>
      </w:r>
      <w:bookmarkEnd w:id="2007682714"/>
    </w:p>
    <w:p w:rsidR="4E6F5AF1" w:rsidP="4AF775A2" w:rsidRDefault="4E6F5AF1" w14:paraId="583065B7" w14:textId="687E627A">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This study proposes a conceptual framework to explain the influence of Human Resource Management (HRM) practices on pilot engagement and retention within the strategic and operational constraints characteristic of low-cost airline (LCC) business models. The framework integrates perspectives from HRM, motivation theory, and organisational behaviour literature, providing a structured approach for analysing the research questions. It aims both to synthesise existing theoretical insights and to guide the empirical case analysis of easyJet.</w:t>
      </w:r>
    </w:p>
    <w:p w:rsidR="4E6F5AF1" w:rsidP="4AF775A2" w:rsidRDefault="4E6F5AF1" w14:paraId="58971A7A" w14:textId="00E0E71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5D6EDA03">
        <w:drawing>
          <wp:inline wp14:editId="7D2F49A1" wp14:anchorId="3D698167">
            <wp:extent cx="5724525" cy="4200525"/>
            <wp:effectExtent l="0" t="0" r="0" b="0"/>
            <wp:docPr id="159824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24062" name="Picture 159824062"/>
                    <pic:cNvPicPr/>
                  </pic:nvPicPr>
                  <pic:blipFill>
                    <a:blip xmlns:r="http://schemas.openxmlformats.org/officeDocument/2006/relationships" r:embed="rId656822318">
                      <a:extLst>
                        <a:ext uri="{28A0092B-C50C-407E-A947-70E740481C1C}">
                          <a14:useLocalDpi xmlns:a14="http://schemas.microsoft.com/office/drawing/2010/main"/>
                        </a:ext>
                      </a:extLst>
                    </a:blip>
                    <a:stretch>
                      <a:fillRect/>
                    </a:stretch>
                  </pic:blipFill>
                  <pic:spPr>
                    <a:xfrm>
                      <a:off x="0" y="0"/>
                      <a:ext cx="5724525" cy="4200525"/>
                    </a:xfrm>
                    <a:prstGeom prst="rect">
                      <a:avLst/>
                    </a:prstGeom>
                  </pic:spPr>
                </pic:pic>
              </a:graphicData>
            </a:graphic>
          </wp:inline>
        </w:drawing>
      </w:r>
      <w:r w:rsidRPr="4AF775A2" w:rsidR="5D6EDA03">
        <w:rPr>
          <w:rFonts w:ascii="Arial" w:hAnsi="Arial" w:eastAsia="Arial" w:cs="Arial"/>
          <w:b w:val="0"/>
          <w:bCs w:val="0"/>
          <w:noProof w:val="0"/>
          <w:sz w:val="22"/>
          <w:szCs w:val="22"/>
          <w:lang w:val="en-GB"/>
        </w:rPr>
        <w:t xml:space="preserve">Figure 1- Thematic Map Source- </w:t>
      </w:r>
      <w:r w:rsidRPr="4AF775A2" w:rsidR="520B5212">
        <w:rPr>
          <w:rFonts w:ascii="Arial" w:hAnsi="Arial" w:eastAsia="Arial" w:cs="Arial"/>
          <w:b w:val="0"/>
          <w:bCs w:val="0"/>
          <w:noProof w:val="0"/>
          <w:sz w:val="22"/>
          <w:szCs w:val="22"/>
          <w:lang w:val="en-GB"/>
        </w:rPr>
        <w:t>Author</w:t>
      </w:r>
    </w:p>
    <w:p w:rsidR="4E6F5AF1" w:rsidP="4AF775A2" w:rsidRDefault="4E6F5AF1" w14:paraId="4054C10E" w14:textId="2ECCFFF9">
      <w:pPr>
        <w:bidi w:val="0"/>
        <w:spacing w:before="120" w:beforeAutospacing="off" w:after="120" w:afterAutospacing="off" w:line="360" w:lineRule="auto"/>
        <w:jc w:val="both"/>
        <w:rPr>
          <w:rFonts w:ascii="Arial" w:hAnsi="Arial" w:eastAsia="Arial" w:cs="Arial"/>
          <w:b w:val="0"/>
          <w:bCs w:val="0"/>
          <w:noProof w:val="0"/>
          <w:sz w:val="22"/>
          <w:szCs w:val="22"/>
          <w:lang w:val="en-GB"/>
        </w:rPr>
      </w:pPr>
    </w:p>
    <w:p w:rsidR="4E6F5AF1" w:rsidP="4AF775A2" w:rsidRDefault="4E6F5AF1" w14:paraId="431AAFE2" w14:textId="1E39110A">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The framework positions HRM practices as the primary independent variable, influencing key employee outcomes, specifically engagement and retention, through a set of mediating mechanisms. Unlike linear models, this framework recognises that these relationships are shaped and constrained by organisational context and industry-specific factors, particularly those inherent to the low-cost airline model.</w:t>
      </w:r>
    </w:p>
    <w:p w:rsidR="4E6F5AF1" w:rsidP="4AF775A2" w:rsidRDefault="4E6F5AF1" w14:paraId="2AE1098C" w14:textId="722AFD2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The first </w:t>
      </w:r>
      <w:r w:rsidRPr="4AF775A2" w:rsidR="4E6F5AF1">
        <w:rPr>
          <w:rFonts w:ascii="Arial" w:hAnsi="Arial" w:eastAsia="Arial" w:cs="Arial"/>
          <w:b w:val="0"/>
          <w:bCs w:val="0"/>
          <w:noProof w:val="0"/>
          <w:sz w:val="22"/>
          <w:szCs w:val="22"/>
          <w:lang w:val="en-GB"/>
        </w:rPr>
        <w:t>component</w:t>
      </w:r>
      <w:r w:rsidRPr="4AF775A2" w:rsidR="4E6F5AF1">
        <w:rPr>
          <w:rFonts w:ascii="Arial" w:hAnsi="Arial" w:eastAsia="Arial" w:cs="Arial"/>
          <w:b w:val="0"/>
          <w:bCs w:val="0"/>
          <w:noProof w:val="0"/>
          <w:sz w:val="22"/>
          <w:szCs w:val="22"/>
          <w:lang w:val="en-GB"/>
        </w:rPr>
        <w:t xml:space="preserve"> of the framework addresses HRM practices, conceptualised as a set of organisational activities aimed at managing and developing employees. Drawing on High-Performance Work Systems (HPWS) literature, these practices encompass </w:t>
      </w:r>
      <w:r w:rsidRPr="4AF775A2" w:rsidR="4E6F5AF1">
        <w:rPr>
          <w:rFonts w:ascii="Arial" w:hAnsi="Arial" w:eastAsia="Arial" w:cs="Arial"/>
          <w:b w:val="0"/>
          <w:bCs w:val="0"/>
          <w:noProof w:val="0"/>
          <w:sz w:val="22"/>
          <w:szCs w:val="22"/>
          <w:lang w:val="en-GB"/>
        </w:rPr>
        <w:t>training and development</w:t>
      </w:r>
      <w:r w:rsidRPr="4AF775A2" w:rsidR="4E6F5AF1">
        <w:rPr>
          <w:rFonts w:ascii="Arial" w:hAnsi="Arial" w:eastAsia="Arial" w:cs="Arial"/>
          <w:b w:val="0"/>
          <w:bCs w:val="0"/>
          <w:noProof w:val="0"/>
          <w:sz w:val="22"/>
          <w:szCs w:val="22"/>
          <w:lang w:val="en-GB"/>
        </w:rPr>
        <w:t xml:space="preserve">, performance management, reward systems, communication, and career progression opportunities. Prior research </w:t>
      </w:r>
      <w:r w:rsidRPr="4AF775A2" w:rsidR="4E6F5AF1">
        <w:rPr>
          <w:rFonts w:ascii="Arial" w:hAnsi="Arial" w:eastAsia="Arial" w:cs="Arial"/>
          <w:b w:val="0"/>
          <w:bCs w:val="0"/>
          <w:noProof w:val="0"/>
          <w:sz w:val="22"/>
          <w:szCs w:val="22"/>
          <w:lang w:val="en-GB"/>
        </w:rPr>
        <w:t>indicates</w:t>
      </w:r>
      <w:r w:rsidRPr="4AF775A2" w:rsidR="4E6F5AF1">
        <w:rPr>
          <w:rFonts w:ascii="Arial" w:hAnsi="Arial" w:eastAsia="Arial" w:cs="Arial"/>
          <w:b w:val="0"/>
          <w:bCs w:val="0"/>
          <w:noProof w:val="0"/>
          <w:sz w:val="22"/>
          <w:szCs w:val="22"/>
          <w:lang w:val="en-GB"/>
        </w:rPr>
        <w:t xml:space="preserve"> that such practices can enhance employee attitudes and behaviours when implemented coherently</w:t>
      </w:r>
      <w:r w:rsidRPr="4AF775A2" w:rsidR="012BE6A4">
        <w:rPr>
          <w:rFonts w:ascii="Arial" w:hAnsi="Arial" w:eastAsia="Arial" w:cs="Arial"/>
          <w:b w:val="0"/>
          <w:bCs w:val="0"/>
          <w:noProof w:val="0"/>
          <w:sz w:val="22"/>
          <w:szCs w:val="22"/>
          <w:lang w:val="en-GB"/>
        </w:rPr>
        <w:t xml:space="preserve"> (Brune, Chyn &amp; Kerwin, 2020)</w:t>
      </w:r>
      <w:r w:rsidRPr="4AF775A2" w:rsidR="4E6F5AF1">
        <w:rPr>
          <w:rFonts w:ascii="Arial" w:hAnsi="Arial" w:eastAsia="Arial" w:cs="Arial"/>
          <w:b w:val="0"/>
          <w:bCs w:val="0"/>
          <w:noProof w:val="0"/>
          <w:sz w:val="22"/>
          <w:szCs w:val="22"/>
          <w:lang w:val="en-GB"/>
        </w:rPr>
        <w:t xml:space="preserve">. However, their effectiveness is contingent upon employee </w:t>
      </w:r>
      <w:r w:rsidRPr="4AF775A2" w:rsidR="4E6F5AF1">
        <w:rPr>
          <w:rFonts w:ascii="Arial" w:hAnsi="Arial" w:eastAsia="Arial" w:cs="Arial"/>
          <w:b w:val="0"/>
          <w:bCs w:val="0"/>
          <w:noProof w:val="0"/>
          <w:sz w:val="22"/>
          <w:szCs w:val="22"/>
          <w:lang w:val="en-GB"/>
        </w:rPr>
        <w:t>perceptions</w:t>
      </w:r>
      <w:r w:rsidRPr="4AF775A2" w:rsidR="4E6F5AF1">
        <w:rPr>
          <w:rFonts w:ascii="Arial" w:hAnsi="Arial" w:eastAsia="Arial" w:cs="Arial"/>
          <w:b w:val="0"/>
          <w:bCs w:val="0"/>
          <w:noProof w:val="0"/>
          <w:sz w:val="22"/>
          <w:szCs w:val="22"/>
          <w:lang w:val="en-GB"/>
        </w:rPr>
        <w:t xml:space="preserve"> and experiences, underscoring the need to consider psychological and relational dimensions in addition to structural aspects of HRM.</w:t>
      </w:r>
    </w:p>
    <w:p w:rsidR="4E6F5AF1" w:rsidP="4AF775A2" w:rsidRDefault="4E6F5AF1" w14:paraId="702192A5" w14:textId="2672511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To address this complexity, the framework incorporates Social Exchange Theory (SET) as a key mediating mechanism. SET posits that employees interpret HRM practices as indicators of organisational support, which </w:t>
      </w:r>
      <w:r w:rsidRPr="4AF775A2" w:rsidR="4E6F5AF1">
        <w:rPr>
          <w:rFonts w:ascii="Arial" w:hAnsi="Arial" w:eastAsia="Arial" w:cs="Arial"/>
          <w:b w:val="0"/>
          <w:bCs w:val="0"/>
          <w:noProof w:val="0"/>
          <w:sz w:val="22"/>
          <w:szCs w:val="22"/>
          <w:lang w:val="en-GB"/>
        </w:rPr>
        <w:t>subsequently</w:t>
      </w:r>
      <w:r w:rsidRPr="4AF775A2" w:rsidR="4E6F5AF1">
        <w:rPr>
          <w:rFonts w:ascii="Arial" w:hAnsi="Arial" w:eastAsia="Arial" w:cs="Arial"/>
          <w:b w:val="0"/>
          <w:bCs w:val="0"/>
          <w:noProof w:val="0"/>
          <w:sz w:val="22"/>
          <w:szCs w:val="22"/>
          <w:lang w:val="en-GB"/>
        </w:rPr>
        <w:t xml:space="preserve"> shape their attitudes and behaviours. When HRM practices are perceived as fair, supportive, and developmental, employees are more likely to reciprocate with increased engagement and commitment. Conversely, </w:t>
      </w:r>
      <w:r w:rsidRPr="4AF775A2" w:rsidR="4E6F5AF1">
        <w:rPr>
          <w:rFonts w:ascii="Arial" w:hAnsi="Arial" w:eastAsia="Arial" w:cs="Arial"/>
          <w:b w:val="0"/>
          <w:bCs w:val="0"/>
          <w:noProof w:val="0"/>
          <w:sz w:val="22"/>
          <w:szCs w:val="22"/>
          <w:lang w:val="en-GB"/>
        </w:rPr>
        <w:t>perceptions</w:t>
      </w:r>
      <w:r w:rsidRPr="4AF775A2" w:rsidR="4E6F5AF1">
        <w:rPr>
          <w:rFonts w:ascii="Arial" w:hAnsi="Arial" w:eastAsia="Arial" w:cs="Arial"/>
          <w:b w:val="0"/>
          <w:bCs w:val="0"/>
          <w:noProof w:val="0"/>
          <w:sz w:val="22"/>
          <w:szCs w:val="22"/>
          <w:lang w:val="en-GB"/>
        </w:rPr>
        <w:t xml:space="preserve"> of exploitative or inconsistent practices may result in disengagement and turnover intentions. This relational perspective is essential for understanding why similar HRM practices can yield different outcomes across organisational contexts.</w:t>
      </w:r>
    </w:p>
    <w:p w:rsidR="4E6F5AF1" w:rsidP="4AF775A2" w:rsidRDefault="4E6F5AF1" w14:paraId="00C83423" w14:textId="1D004DA2">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Closely related to SET is the concept of perceived organisational support (POS), which functions as an intermediary variable within the framework. POS reflects employees’ beliefs </w:t>
      </w:r>
      <w:r w:rsidRPr="4AF775A2" w:rsidR="4E6F5AF1">
        <w:rPr>
          <w:rFonts w:ascii="Arial" w:hAnsi="Arial" w:eastAsia="Arial" w:cs="Arial"/>
          <w:b w:val="0"/>
          <w:bCs w:val="0"/>
          <w:noProof w:val="0"/>
          <w:sz w:val="22"/>
          <w:szCs w:val="22"/>
          <w:lang w:val="en-GB"/>
        </w:rPr>
        <w:t>regarding</w:t>
      </w:r>
      <w:r w:rsidRPr="4AF775A2" w:rsidR="4E6F5AF1">
        <w:rPr>
          <w:rFonts w:ascii="Arial" w:hAnsi="Arial" w:eastAsia="Arial" w:cs="Arial"/>
          <w:b w:val="0"/>
          <w:bCs w:val="0"/>
          <w:noProof w:val="0"/>
          <w:sz w:val="22"/>
          <w:szCs w:val="22"/>
          <w:lang w:val="en-GB"/>
        </w:rPr>
        <w:t xml:space="preserve"> the extent to which their organisation values their contributions and cares about their well-being. HRM practices such as communication, recognition, and managerial support influence POS. Elevated POS is associated with increased engagement, job satisfaction, and retention, as employees develop a sense of obligation and emotional attachment to the organisation. The inherently subjective nature of POS further underscores the significance of employee </w:t>
      </w:r>
      <w:r w:rsidRPr="4AF775A2" w:rsidR="4E6F5AF1">
        <w:rPr>
          <w:rFonts w:ascii="Arial" w:hAnsi="Arial" w:eastAsia="Arial" w:cs="Arial"/>
          <w:b w:val="0"/>
          <w:bCs w:val="0"/>
          <w:noProof w:val="0"/>
          <w:sz w:val="22"/>
          <w:szCs w:val="22"/>
          <w:lang w:val="en-GB"/>
        </w:rPr>
        <w:t>perceptions</w:t>
      </w:r>
      <w:r w:rsidRPr="4AF775A2" w:rsidR="4E6F5AF1">
        <w:rPr>
          <w:rFonts w:ascii="Arial" w:hAnsi="Arial" w:eastAsia="Arial" w:cs="Arial"/>
          <w:b w:val="0"/>
          <w:bCs w:val="0"/>
          <w:noProof w:val="0"/>
          <w:sz w:val="22"/>
          <w:szCs w:val="22"/>
          <w:lang w:val="en-GB"/>
        </w:rPr>
        <w:t xml:space="preserve"> in </w:t>
      </w:r>
      <w:r w:rsidRPr="4AF775A2" w:rsidR="4E6F5AF1">
        <w:rPr>
          <w:rFonts w:ascii="Arial" w:hAnsi="Arial" w:eastAsia="Arial" w:cs="Arial"/>
          <w:b w:val="0"/>
          <w:bCs w:val="0"/>
          <w:noProof w:val="0"/>
          <w:sz w:val="22"/>
          <w:szCs w:val="22"/>
          <w:lang w:val="en-GB"/>
        </w:rPr>
        <w:t>determining</w:t>
      </w:r>
      <w:r w:rsidRPr="4AF775A2" w:rsidR="4E6F5AF1">
        <w:rPr>
          <w:rFonts w:ascii="Arial" w:hAnsi="Arial" w:eastAsia="Arial" w:cs="Arial"/>
          <w:b w:val="0"/>
          <w:bCs w:val="0"/>
          <w:noProof w:val="0"/>
          <w:sz w:val="22"/>
          <w:szCs w:val="22"/>
          <w:lang w:val="en-GB"/>
        </w:rPr>
        <w:t xml:space="preserve"> HRM effectiveness.</w:t>
      </w:r>
    </w:p>
    <w:p w:rsidR="4E6F5AF1" w:rsidP="4AF775A2" w:rsidRDefault="4E6F5AF1" w14:paraId="638616D0" w14:textId="3CC0C4A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The framework also integrates motivation theory to elucidate how HRM practices and POS translate into employee outcomes. Both intrinsic and extrinsic motivational factors are considered. Intrinsic motivation arises from meaningful work, autonomy, and opportunities for growth, </w:t>
      </w:r>
      <w:r w:rsidRPr="4AF775A2" w:rsidR="4E6F5AF1">
        <w:rPr>
          <w:rFonts w:ascii="Arial" w:hAnsi="Arial" w:eastAsia="Arial" w:cs="Arial"/>
          <w:b w:val="0"/>
          <w:bCs w:val="0"/>
          <w:noProof w:val="0"/>
          <w:sz w:val="22"/>
          <w:szCs w:val="22"/>
          <w:lang w:val="en-GB"/>
        </w:rPr>
        <w:t>whereas</w:t>
      </w:r>
      <w:r w:rsidRPr="4AF775A2" w:rsidR="4E6F5AF1">
        <w:rPr>
          <w:rFonts w:ascii="Arial" w:hAnsi="Arial" w:eastAsia="Arial" w:cs="Arial"/>
          <w:b w:val="0"/>
          <w:bCs w:val="0"/>
          <w:noProof w:val="0"/>
          <w:sz w:val="22"/>
          <w:szCs w:val="22"/>
          <w:lang w:val="en-GB"/>
        </w:rPr>
        <w:t xml:space="preserve"> extrinsic motivation is linked to financial rewards, job security, and working conditions. The interaction between these motivational dimensions is critical; extrinsic rewards may attract employees, but intrinsic factors are often more influential in sustaining long-term engagement. This distinction is especially pertinent in the aviation sector, where high responsibility and stress </w:t>
      </w:r>
      <w:r w:rsidRPr="4AF775A2" w:rsidR="4E6F5AF1">
        <w:rPr>
          <w:rFonts w:ascii="Arial" w:hAnsi="Arial" w:eastAsia="Arial" w:cs="Arial"/>
          <w:b w:val="0"/>
          <w:bCs w:val="0"/>
          <w:noProof w:val="0"/>
          <w:sz w:val="22"/>
          <w:szCs w:val="22"/>
          <w:lang w:val="en-GB"/>
        </w:rPr>
        <w:t>necessitate</w:t>
      </w:r>
      <w:r w:rsidRPr="4AF775A2" w:rsidR="4E6F5AF1">
        <w:rPr>
          <w:rFonts w:ascii="Arial" w:hAnsi="Arial" w:eastAsia="Arial" w:cs="Arial"/>
          <w:b w:val="0"/>
          <w:bCs w:val="0"/>
          <w:noProof w:val="0"/>
          <w:sz w:val="22"/>
          <w:szCs w:val="22"/>
          <w:lang w:val="en-GB"/>
        </w:rPr>
        <w:t xml:space="preserve"> sustained psychological investment.</w:t>
      </w:r>
    </w:p>
    <w:p w:rsidR="4E6F5AF1" w:rsidP="4AF775A2" w:rsidRDefault="4E6F5AF1" w14:paraId="2374A6FB" w14:textId="51152F69">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Building on these mediating mechanisms, the framework </w:t>
      </w:r>
      <w:r w:rsidRPr="4AF775A2" w:rsidR="4E6F5AF1">
        <w:rPr>
          <w:rFonts w:ascii="Arial" w:hAnsi="Arial" w:eastAsia="Arial" w:cs="Arial"/>
          <w:b w:val="0"/>
          <w:bCs w:val="0"/>
          <w:noProof w:val="0"/>
          <w:sz w:val="22"/>
          <w:szCs w:val="22"/>
          <w:lang w:val="en-GB"/>
        </w:rPr>
        <w:t>identifies</w:t>
      </w:r>
      <w:r w:rsidRPr="4AF775A2" w:rsidR="4E6F5AF1">
        <w:rPr>
          <w:rFonts w:ascii="Arial" w:hAnsi="Arial" w:eastAsia="Arial" w:cs="Arial"/>
          <w:b w:val="0"/>
          <w:bCs w:val="0"/>
          <w:noProof w:val="0"/>
          <w:sz w:val="22"/>
          <w:szCs w:val="22"/>
          <w:lang w:val="en-GB"/>
        </w:rPr>
        <w:t xml:space="preserve"> employee engagement as a proximal outcome. Engagement is defined as a positive, work-related psychological state characterised by vigour, dedication, and absorption, reflecting the degree of emotional and cognitive investment in work. Literature </w:t>
      </w:r>
      <w:r w:rsidRPr="4AF775A2" w:rsidR="4E6F5AF1">
        <w:rPr>
          <w:rFonts w:ascii="Arial" w:hAnsi="Arial" w:eastAsia="Arial" w:cs="Arial"/>
          <w:b w:val="0"/>
          <w:bCs w:val="0"/>
          <w:noProof w:val="0"/>
          <w:sz w:val="22"/>
          <w:szCs w:val="22"/>
          <w:lang w:val="en-GB"/>
        </w:rPr>
        <w:t>indicates</w:t>
      </w:r>
      <w:r w:rsidRPr="4AF775A2" w:rsidR="4E6F5AF1">
        <w:rPr>
          <w:rFonts w:ascii="Arial" w:hAnsi="Arial" w:eastAsia="Arial" w:cs="Arial"/>
          <w:b w:val="0"/>
          <w:bCs w:val="0"/>
          <w:noProof w:val="0"/>
          <w:sz w:val="22"/>
          <w:szCs w:val="22"/>
          <w:lang w:val="en-GB"/>
        </w:rPr>
        <w:t xml:space="preserve"> that engagement mediates the relationship between HRM practices and retention, as engaged employees are more likely to </w:t>
      </w:r>
      <w:r w:rsidRPr="4AF775A2" w:rsidR="4E6F5AF1">
        <w:rPr>
          <w:rFonts w:ascii="Arial" w:hAnsi="Arial" w:eastAsia="Arial" w:cs="Arial"/>
          <w:b w:val="0"/>
          <w:bCs w:val="0"/>
          <w:noProof w:val="0"/>
          <w:sz w:val="22"/>
          <w:szCs w:val="22"/>
          <w:lang w:val="en-GB"/>
        </w:rPr>
        <w:t>demonstrate</w:t>
      </w:r>
      <w:r w:rsidRPr="4AF775A2" w:rsidR="4E6F5AF1">
        <w:rPr>
          <w:rFonts w:ascii="Arial" w:hAnsi="Arial" w:eastAsia="Arial" w:cs="Arial"/>
          <w:b w:val="0"/>
          <w:bCs w:val="0"/>
          <w:noProof w:val="0"/>
          <w:sz w:val="22"/>
          <w:szCs w:val="22"/>
          <w:lang w:val="en-GB"/>
        </w:rPr>
        <w:t xml:space="preserve"> organisational commitment and reduced turnover intentions. However, engagement is also shaped by individual factors, such as resilience and personal motivation, and contextual factors, including workload and organisational culture.</w:t>
      </w:r>
    </w:p>
    <w:p w:rsidR="4E6F5AF1" w:rsidP="4AF775A2" w:rsidRDefault="4E6F5AF1" w14:paraId="6094A3A3" w14:textId="5182047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The ultimate outcome in the framework is employee retention, defined as the organisation’s capacity to </w:t>
      </w:r>
      <w:r w:rsidRPr="4AF775A2" w:rsidR="4E6F5AF1">
        <w:rPr>
          <w:rFonts w:ascii="Arial" w:hAnsi="Arial" w:eastAsia="Arial" w:cs="Arial"/>
          <w:b w:val="0"/>
          <w:bCs w:val="0"/>
          <w:noProof w:val="0"/>
          <w:sz w:val="22"/>
          <w:szCs w:val="22"/>
          <w:lang w:val="en-GB"/>
        </w:rPr>
        <w:t>retain</w:t>
      </w:r>
      <w:r w:rsidRPr="4AF775A2" w:rsidR="4E6F5AF1">
        <w:rPr>
          <w:rFonts w:ascii="Arial" w:hAnsi="Arial" w:eastAsia="Arial" w:cs="Arial"/>
          <w:b w:val="0"/>
          <w:bCs w:val="0"/>
          <w:noProof w:val="0"/>
          <w:sz w:val="22"/>
          <w:szCs w:val="22"/>
          <w:lang w:val="en-GB"/>
        </w:rPr>
        <w:t xml:space="preserve"> skilled employees over time. Retention is shaped by both attitudinal factors, such as job satisfaction and organisational commitment, and external factors, including labour market conditions and alternative job opportunities. The framework recognises that retention does not always result from positive engagement; employees may remain due to limited alternatives or prior career investment. This distinction underscores the importance of differentiating between genuine retention driven by engagement and reluctant retention driven by external constraints.</w:t>
      </w:r>
    </w:p>
    <w:p w:rsidR="4E6F5AF1" w:rsidP="4AF775A2" w:rsidRDefault="4E6F5AF1" w14:paraId="192DC0A0" w14:textId="37A13DF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A key contribution of this framework is the inclusion of organisational and strategic constraints as moderating variables. In low-cost airlines, business models emphasise cost minimisation, operational efficiency, and standardised processes. These constraints can restrict the implementation of HRM practices, particularly those requiring substantial investment, such as comprehensive training programmes or elevated compensation. Consequently, there may be a misalignment between ideal HRM practices </w:t>
      </w:r>
      <w:r w:rsidRPr="4AF775A2" w:rsidR="4E6F5AF1">
        <w:rPr>
          <w:rFonts w:ascii="Arial" w:hAnsi="Arial" w:eastAsia="Arial" w:cs="Arial"/>
          <w:b w:val="0"/>
          <w:bCs w:val="0"/>
          <w:noProof w:val="0"/>
          <w:sz w:val="22"/>
          <w:szCs w:val="22"/>
          <w:lang w:val="en-GB"/>
        </w:rPr>
        <w:t>identified</w:t>
      </w:r>
      <w:r w:rsidRPr="4AF775A2" w:rsidR="4E6F5AF1">
        <w:rPr>
          <w:rFonts w:ascii="Arial" w:hAnsi="Arial" w:eastAsia="Arial" w:cs="Arial"/>
          <w:b w:val="0"/>
          <w:bCs w:val="0"/>
          <w:noProof w:val="0"/>
          <w:sz w:val="22"/>
          <w:szCs w:val="22"/>
          <w:lang w:val="en-GB"/>
        </w:rPr>
        <w:t xml:space="preserve"> in the literature and those </w:t>
      </w:r>
      <w:r w:rsidRPr="4AF775A2" w:rsidR="4E6F5AF1">
        <w:rPr>
          <w:rFonts w:ascii="Arial" w:hAnsi="Arial" w:eastAsia="Arial" w:cs="Arial"/>
          <w:b w:val="0"/>
          <w:bCs w:val="0"/>
          <w:noProof w:val="0"/>
          <w:sz w:val="22"/>
          <w:szCs w:val="22"/>
          <w:lang w:val="en-GB"/>
        </w:rPr>
        <w:t>feasible</w:t>
      </w:r>
      <w:r w:rsidRPr="4AF775A2" w:rsidR="4E6F5AF1">
        <w:rPr>
          <w:rFonts w:ascii="Arial" w:hAnsi="Arial" w:eastAsia="Arial" w:cs="Arial"/>
          <w:b w:val="0"/>
          <w:bCs w:val="0"/>
          <w:noProof w:val="0"/>
          <w:sz w:val="22"/>
          <w:szCs w:val="22"/>
          <w:lang w:val="en-GB"/>
        </w:rPr>
        <w:t xml:space="preserve"> in practice.</w:t>
      </w:r>
    </w:p>
    <w:p w:rsidR="4E6F5AF1" w:rsidP="4AF775A2" w:rsidRDefault="4E6F5AF1" w14:paraId="6293541D" w14:textId="2C91A7B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For instance, although training and career development are recognised as important drivers of engagement and retention, LCCs may </w:t>
      </w:r>
      <w:r w:rsidRPr="4AF775A2" w:rsidR="4E6F5AF1">
        <w:rPr>
          <w:rFonts w:ascii="Arial" w:hAnsi="Arial" w:eastAsia="Arial" w:cs="Arial"/>
          <w:b w:val="0"/>
          <w:bCs w:val="0"/>
          <w:noProof w:val="0"/>
          <w:sz w:val="22"/>
          <w:szCs w:val="22"/>
          <w:lang w:val="en-GB"/>
        </w:rPr>
        <w:t>encounter</w:t>
      </w:r>
      <w:r w:rsidRPr="4AF775A2" w:rsidR="4E6F5AF1">
        <w:rPr>
          <w:rFonts w:ascii="Arial" w:hAnsi="Arial" w:eastAsia="Arial" w:cs="Arial"/>
          <w:b w:val="0"/>
          <w:bCs w:val="0"/>
          <w:noProof w:val="0"/>
          <w:sz w:val="22"/>
          <w:szCs w:val="22"/>
          <w:lang w:val="en-GB"/>
        </w:rPr>
        <w:t xml:space="preserve"> financial and operational constraints that limit their provision. Similarly, initiatives to improve work-life balance may be restricted by scheduling demands and operational requirements. These limitations underscore the significance of organisational context in shaping HRM effectiveness and reinforce the necessity of a contingency-based approach.</w:t>
      </w:r>
    </w:p>
    <w:p w:rsidR="4E6F5AF1" w:rsidP="4AF775A2" w:rsidRDefault="4E6F5AF1" w14:paraId="1C694D7B" w14:textId="517470E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 xml:space="preserve">The framework also incorporates external labour market conditions as a moderating factor. In the aviation industry, global pilot shortages and high mobility contribute to a competitive labour market, increasing turnover risk. Even highly engaged employees may </w:t>
      </w:r>
      <w:r w:rsidRPr="4AF775A2" w:rsidR="4E6F5AF1">
        <w:rPr>
          <w:rFonts w:ascii="Arial" w:hAnsi="Arial" w:eastAsia="Arial" w:cs="Arial"/>
          <w:b w:val="0"/>
          <w:bCs w:val="0"/>
          <w:noProof w:val="0"/>
          <w:sz w:val="22"/>
          <w:szCs w:val="22"/>
          <w:lang w:val="en-GB"/>
        </w:rPr>
        <w:t>depart</w:t>
      </w:r>
      <w:r w:rsidRPr="4AF775A2" w:rsidR="4E6F5AF1">
        <w:rPr>
          <w:rFonts w:ascii="Arial" w:hAnsi="Arial" w:eastAsia="Arial" w:cs="Arial"/>
          <w:b w:val="0"/>
          <w:bCs w:val="0"/>
          <w:noProof w:val="0"/>
          <w:sz w:val="22"/>
          <w:szCs w:val="22"/>
          <w:lang w:val="en-GB"/>
        </w:rPr>
        <w:t xml:space="preserve"> if more attractive opportunities arise elsewhere. This highlights the necessity of aligning internal HRM practices with external market dynamics.</w:t>
      </w:r>
    </w:p>
    <w:p w:rsidR="4E6F5AF1" w:rsidP="4AF775A2" w:rsidRDefault="4E6F5AF1" w14:paraId="7008CFD5" w14:textId="2E4A829D">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Additionally, the framework recognises the significance of organisational resilience and working conditions, especially in high-stress environments like aviation. Factors such as fatigue, workload, and job security can affect both engagement and retention, potentially counteracting the positive effects of HRM practices. This underscores the importance of considering the broader working environment alongside the presence of HRM practices.</w:t>
      </w:r>
    </w:p>
    <w:p w:rsidR="4E6F5AF1" w:rsidP="4AF775A2" w:rsidRDefault="4E6F5AF1" w14:paraId="42FA9F34" w14:textId="4FB7080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E6F5AF1">
        <w:rPr>
          <w:rFonts w:ascii="Arial" w:hAnsi="Arial" w:eastAsia="Arial" w:cs="Arial"/>
          <w:b w:val="0"/>
          <w:bCs w:val="0"/>
          <w:noProof w:val="0"/>
          <w:sz w:val="22"/>
          <w:szCs w:val="22"/>
          <w:lang w:val="en-GB"/>
        </w:rPr>
        <w:t>In summary, the conceptual framework developed in this study offers a comprehensive model for understanding the relationship between HRM practices, engagement, and retention in low-cost airline contexts. It highlights the significance of mediating mechanisms such as perceived organisational support and motivation, as well as the moderating effects of organisational constraints and external labour market conditions. By integrating theoretical and contextual perspectives, the framework provides a robust basis for analysing the effectiveness of HRM practices in promoting sustainable pilot retention.</w:t>
      </w:r>
    </w:p>
    <w:p w:rsidR="034594A6" w:rsidP="4AF775A2" w:rsidRDefault="034594A6" w14:paraId="35A0665A" w14:textId="65E17961">
      <w:pPr>
        <w:pStyle w:val="Heading1"/>
        <w:bidi w:val="0"/>
        <w:spacing w:line="360" w:lineRule="auto"/>
        <w:jc w:val="both"/>
        <w:rPr>
          <w:rFonts w:ascii="Arial" w:hAnsi="Arial" w:eastAsia="Arial" w:cs="Arial"/>
          <w:noProof w:val="0"/>
          <w:sz w:val="22"/>
          <w:szCs w:val="22"/>
          <w:lang w:val="en-GB"/>
        </w:rPr>
      </w:pPr>
    </w:p>
    <w:p w:rsidR="034594A6" w:rsidP="4AF775A2" w:rsidRDefault="034594A6" w14:paraId="667A9794" w14:textId="1A03F0E6">
      <w:pPr>
        <w:spacing w:line="360" w:lineRule="auto"/>
        <w:jc w:val="both"/>
        <w:rPr>
          <w:rFonts w:ascii="Arial" w:hAnsi="Arial" w:eastAsia="Arial" w:cs="Arial"/>
          <w:sz w:val="22"/>
          <w:szCs w:val="22"/>
        </w:rPr>
      </w:pPr>
      <w:r w:rsidRPr="4AF775A2">
        <w:rPr>
          <w:rFonts w:ascii="Arial" w:hAnsi="Arial" w:eastAsia="Arial" w:cs="Arial"/>
          <w:sz w:val="22"/>
          <w:szCs w:val="22"/>
        </w:rPr>
        <w:br w:type="page"/>
      </w:r>
    </w:p>
    <w:p w:rsidR="42274C1B" w:rsidP="4AF775A2" w:rsidRDefault="42274C1B" w14:paraId="20E692AD" w14:textId="0051443C">
      <w:pPr>
        <w:pStyle w:val="Heading1"/>
        <w:bidi w:val="0"/>
        <w:spacing w:line="360" w:lineRule="auto"/>
        <w:jc w:val="both"/>
        <w:rPr>
          <w:rFonts w:ascii="Arial" w:hAnsi="Arial" w:eastAsia="Arial" w:cs="Arial"/>
          <w:b w:val="0"/>
          <w:bCs w:val="0"/>
          <w:noProof w:val="0"/>
          <w:sz w:val="22"/>
          <w:szCs w:val="22"/>
          <w:lang w:val="en-GB"/>
        </w:rPr>
      </w:pPr>
      <w:bookmarkStart w:name="_Toc1874555103" w:id="546758189"/>
      <w:r w:rsidRPr="4AF775A2" w:rsidR="42274C1B">
        <w:rPr>
          <w:rFonts w:ascii="Arial" w:hAnsi="Arial" w:eastAsia="Arial" w:cs="Arial"/>
          <w:noProof w:val="0"/>
          <w:sz w:val="22"/>
          <w:szCs w:val="22"/>
          <w:lang w:val="en-GB"/>
        </w:rPr>
        <w:t>Methodology</w:t>
      </w:r>
      <w:bookmarkEnd w:id="546758189"/>
    </w:p>
    <w:p w:rsidR="42274C1B" w:rsidP="4AF775A2" w:rsidRDefault="42274C1B" w14:paraId="1AE65EC7" w14:textId="5180AA6F">
      <w:pPr>
        <w:pStyle w:val="Heading2"/>
        <w:bidi w:val="0"/>
        <w:spacing w:line="360" w:lineRule="auto"/>
        <w:jc w:val="both"/>
        <w:rPr>
          <w:rFonts w:ascii="Arial" w:hAnsi="Arial" w:eastAsia="Arial" w:cs="Arial"/>
          <w:b w:val="0"/>
          <w:bCs w:val="0"/>
          <w:noProof w:val="0"/>
          <w:sz w:val="22"/>
          <w:szCs w:val="22"/>
          <w:lang w:val="en-GB"/>
        </w:rPr>
      </w:pPr>
      <w:bookmarkStart w:name="_Toc1576932386" w:id="1082967810"/>
      <w:r w:rsidRPr="4AF775A2" w:rsidR="42274C1B">
        <w:rPr>
          <w:rFonts w:ascii="Arial" w:hAnsi="Arial" w:eastAsia="Arial" w:cs="Arial"/>
          <w:noProof w:val="0"/>
          <w:sz w:val="22"/>
          <w:szCs w:val="22"/>
          <w:lang w:val="en-GB"/>
        </w:rPr>
        <w:t>Introduction</w:t>
      </w:r>
      <w:bookmarkEnd w:id="1082967810"/>
    </w:p>
    <w:p w:rsidR="42274C1B" w:rsidP="4AF775A2" w:rsidRDefault="42274C1B" w14:paraId="5DD6F397" w14:textId="112FAB8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A theoretically grounded, systematic </w:t>
      </w:r>
      <w:r w:rsidRPr="4AF775A2" w:rsidR="3CAA3458">
        <w:rPr>
          <w:rFonts w:ascii="Arial" w:hAnsi="Arial" w:eastAsia="Arial" w:cs="Arial"/>
          <w:b w:val="0"/>
          <w:bCs w:val="0"/>
          <w:noProof w:val="0"/>
          <w:sz w:val="22"/>
          <w:szCs w:val="22"/>
          <w:lang w:val="en-GB"/>
        </w:rPr>
        <w:t xml:space="preserve">literature review </w:t>
      </w:r>
      <w:r w:rsidRPr="4AF775A2" w:rsidR="42274C1B">
        <w:rPr>
          <w:rFonts w:ascii="Arial" w:hAnsi="Arial" w:eastAsia="Arial" w:cs="Arial"/>
          <w:b w:val="0"/>
          <w:bCs w:val="0"/>
          <w:noProof w:val="0"/>
          <w:sz w:val="22"/>
          <w:szCs w:val="22"/>
          <w:lang w:val="en-GB"/>
        </w:rPr>
        <w:t xml:space="preserve">approach is adopted to review the influence of Human Resource Management (HRM) practices on pilot engagement and retention within the strategic and functional constraints of low-cost airline business models, with </w:t>
      </w:r>
      <w:r w:rsidRPr="4AF775A2" w:rsidR="42274C1B">
        <w:rPr>
          <w:rFonts w:ascii="Arial" w:hAnsi="Arial" w:eastAsia="Arial" w:cs="Arial"/>
          <w:b w:val="0"/>
          <w:bCs w:val="0"/>
          <w:i w:val="1"/>
          <w:iCs w:val="1"/>
          <w:noProof w:val="0"/>
          <w:sz w:val="22"/>
          <w:szCs w:val="22"/>
          <w:lang w:val="en-GB"/>
        </w:rPr>
        <w:t>easyJet</w:t>
      </w:r>
      <w:r w:rsidRPr="4AF775A2" w:rsidR="42274C1B">
        <w:rPr>
          <w:rFonts w:ascii="Arial" w:hAnsi="Arial" w:eastAsia="Arial" w:cs="Arial"/>
          <w:b w:val="0"/>
          <w:bCs w:val="0"/>
          <w:noProof w:val="0"/>
          <w:sz w:val="22"/>
          <w:szCs w:val="22"/>
          <w:lang w:val="en-GB"/>
        </w:rPr>
        <w:t xml:space="preserve"> serving as the contextual case. </w:t>
      </w:r>
      <w:r w:rsidRPr="4AF775A2" w:rsidR="3DB00CB3">
        <w:rPr>
          <w:rFonts w:ascii="Arial" w:hAnsi="Arial" w:eastAsia="Arial" w:cs="Arial"/>
          <w:b w:val="0"/>
          <w:bCs w:val="0"/>
          <w:noProof w:val="0"/>
          <w:sz w:val="22"/>
          <w:szCs w:val="22"/>
          <w:lang w:val="en-GB"/>
        </w:rPr>
        <w:t>Adopting a structured literature review approach, which enables the systematic identification, e</w:t>
      </w:r>
      <w:r w:rsidRPr="4AF775A2" w:rsidR="13CAB372">
        <w:rPr>
          <w:rFonts w:ascii="Arial" w:hAnsi="Arial" w:eastAsia="Arial" w:cs="Arial"/>
          <w:b w:val="0"/>
          <w:bCs w:val="0"/>
          <w:noProof w:val="0"/>
          <w:sz w:val="22"/>
          <w:szCs w:val="22"/>
          <w:lang w:val="en-GB"/>
        </w:rPr>
        <w:t xml:space="preserve">valuation, and synthesis of existing research to generate new insights (Snyder, 2019). </w:t>
      </w:r>
      <w:r w:rsidRPr="4AF775A2" w:rsidR="4DFA466E">
        <w:rPr>
          <w:rFonts w:ascii="Arial" w:hAnsi="Arial" w:eastAsia="Arial" w:cs="Arial"/>
          <w:b w:val="0"/>
          <w:bCs w:val="0"/>
          <w:noProof w:val="0"/>
          <w:sz w:val="22"/>
          <w:szCs w:val="22"/>
          <w:lang w:val="en-GB"/>
        </w:rPr>
        <w:t xml:space="preserve">As noted by Caraway (2020), </w:t>
      </w:r>
      <w:r w:rsidRPr="4AF775A2" w:rsidR="77C7A3E1">
        <w:rPr>
          <w:rFonts w:ascii="Arial" w:hAnsi="Arial" w:eastAsia="Arial" w:cs="Arial"/>
          <w:b w:val="0"/>
          <w:bCs w:val="0"/>
          <w:noProof w:val="0"/>
          <w:sz w:val="22"/>
          <w:szCs w:val="22"/>
          <w:lang w:val="en-GB"/>
        </w:rPr>
        <w:t>low-cost</w:t>
      </w:r>
      <w:r w:rsidRPr="4AF775A2" w:rsidR="2A56B56E">
        <w:rPr>
          <w:rFonts w:ascii="Arial" w:hAnsi="Arial" w:eastAsia="Arial" w:cs="Arial"/>
          <w:b w:val="0"/>
          <w:bCs w:val="0"/>
          <w:noProof w:val="0"/>
          <w:sz w:val="22"/>
          <w:szCs w:val="22"/>
          <w:lang w:val="en-GB"/>
        </w:rPr>
        <w:t xml:space="preserve"> carrier airlines face multi-</w:t>
      </w:r>
      <w:r w:rsidRPr="4AF775A2" w:rsidR="1BEC2282">
        <w:rPr>
          <w:rFonts w:ascii="Arial" w:hAnsi="Arial" w:eastAsia="Arial" w:cs="Arial"/>
          <w:b w:val="0"/>
          <w:bCs w:val="0"/>
          <w:noProof w:val="0"/>
          <w:sz w:val="22"/>
          <w:szCs w:val="22"/>
          <w:lang w:val="en-GB"/>
        </w:rPr>
        <w:t>dimensional</w:t>
      </w:r>
      <w:r w:rsidRPr="4AF775A2" w:rsidR="2A56B56E">
        <w:rPr>
          <w:rFonts w:ascii="Arial" w:hAnsi="Arial" w:eastAsia="Arial" w:cs="Arial"/>
          <w:b w:val="0"/>
          <w:bCs w:val="0"/>
          <w:noProof w:val="0"/>
          <w:sz w:val="22"/>
          <w:szCs w:val="22"/>
          <w:lang w:val="en-GB"/>
        </w:rPr>
        <w:t xml:space="preserve"> challenges </w:t>
      </w:r>
      <w:r w:rsidRPr="4AF775A2" w:rsidR="57BE8FF5">
        <w:rPr>
          <w:rFonts w:ascii="Arial" w:hAnsi="Arial" w:eastAsia="Arial" w:cs="Arial"/>
          <w:b w:val="0"/>
          <w:bCs w:val="0"/>
          <w:noProof w:val="0"/>
          <w:sz w:val="22"/>
          <w:szCs w:val="22"/>
          <w:lang w:val="en-GB"/>
        </w:rPr>
        <w:t xml:space="preserve">in terms of finding and </w:t>
      </w:r>
      <w:r w:rsidRPr="4AF775A2" w:rsidR="57BE8FF5">
        <w:rPr>
          <w:rFonts w:ascii="Arial" w:hAnsi="Arial" w:eastAsia="Arial" w:cs="Arial"/>
          <w:b w:val="0"/>
          <w:bCs w:val="0"/>
          <w:noProof w:val="0"/>
          <w:sz w:val="22"/>
          <w:szCs w:val="22"/>
          <w:lang w:val="en-GB"/>
        </w:rPr>
        <w:t>retaining</w:t>
      </w:r>
      <w:r w:rsidRPr="4AF775A2" w:rsidR="57BE8FF5">
        <w:rPr>
          <w:rFonts w:ascii="Arial" w:hAnsi="Arial" w:eastAsia="Arial" w:cs="Arial"/>
          <w:b w:val="0"/>
          <w:bCs w:val="0"/>
          <w:noProof w:val="0"/>
          <w:sz w:val="22"/>
          <w:szCs w:val="22"/>
          <w:lang w:val="en-GB"/>
        </w:rPr>
        <w:t xml:space="preserve"> pilots within the industry with particular focus on </w:t>
      </w:r>
      <w:r w:rsidRPr="4AF775A2" w:rsidR="6ED3F92E">
        <w:rPr>
          <w:rFonts w:ascii="Arial" w:hAnsi="Arial" w:eastAsia="Arial" w:cs="Arial"/>
          <w:b w:val="0"/>
          <w:bCs w:val="0"/>
          <w:noProof w:val="0"/>
          <w:sz w:val="22"/>
          <w:szCs w:val="22"/>
          <w:lang w:val="en-GB"/>
        </w:rPr>
        <w:t xml:space="preserve">industry-specific constraints. </w:t>
      </w:r>
      <w:r w:rsidRPr="4AF775A2" w:rsidR="42274C1B">
        <w:rPr>
          <w:rFonts w:ascii="Arial" w:hAnsi="Arial" w:eastAsia="Arial" w:cs="Arial"/>
          <w:b w:val="0"/>
          <w:bCs w:val="0"/>
          <w:noProof w:val="0"/>
          <w:sz w:val="22"/>
          <w:szCs w:val="22"/>
          <w:lang w:val="en-GB"/>
        </w:rPr>
        <w:t>Due to the complexity of the research problem, which lies at the intersection of HRM theory, employee behaviour, and industry-specific constraints, a strong and coherent methodological model is necessary to ensure analytical thoroughness and validity.</w:t>
      </w:r>
    </w:p>
    <w:p w:rsidR="42274C1B" w:rsidP="4AF775A2" w:rsidRDefault="42274C1B" w14:paraId="67A9326C" w14:textId="073F6EE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The research is guided by four research questions that collectively examine the identification, application, and effectiveness of HRM practices in skill-intensive environments, with a particular emphasis on the aviation sector. An integrated </w:t>
      </w:r>
      <w:r w:rsidRPr="4AF775A2" w:rsidR="42274C1B">
        <w:rPr>
          <w:rFonts w:ascii="Arial" w:hAnsi="Arial" w:eastAsia="Arial" w:cs="Arial"/>
          <w:b w:val="0"/>
          <w:bCs w:val="0"/>
          <w:noProof w:val="0"/>
          <w:sz w:val="22"/>
          <w:szCs w:val="22"/>
          <w:lang w:val="en-GB"/>
        </w:rPr>
        <w:t>mixed-method</w:t>
      </w:r>
      <w:r w:rsidRPr="4AF775A2" w:rsidR="42274C1B">
        <w:rPr>
          <w:rFonts w:ascii="Arial" w:hAnsi="Arial" w:eastAsia="Arial" w:cs="Arial"/>
          <w:b w:val="0"/>
          <w:bCs w:val="0"/>
          <w:noProof w:val="0"/>
          <w:sz w:val="22"/>
          <w:szCs w:val="22"/>
          <w:lang w:val="en-GB"/>
        </w:rPr>
        <w:t xml:space="preserve"> design is employed, combining </w:t>
      </w:r>
      <w:r w:rsidRPr="4AF775A2" w:rsidR="42274C1B">
        <w:rPr>
          <w:rFonts w:ascii="Arial" w:hAnsi="Arial" w:eastAsia="Arial" w:cs="Arial"/>
          <w:b w:val="0"/>
          <w:bCs w:val="0"/>
          <w:noProof w:val="0"/>
          <w:sz w:val="22"/>
          <w:szCs w:val="22"/>
          <w:lang w:val="en-GB"/>
        </w:rPr>
        <w:t>thematic synthesis</w:t>
      </w:r>
      <w:r w:rsidRPr="4AF775A2" w:rsidR="42274C1B">
        <w:rPr>
          <w:rFonts w:ascii="Arial" w:hAnsi="Arial" w:eastAsia="Arial" w:cs="Arial"/>
          <w:b w:val="0"/>
          <w:bCs w:val="0"/>
          <w:noProof w:val="0"/>
          <w:sz w:val="22"/>
          <w:szCs w:val="22"/>
          <w:lang w:val="en-GB"/>
        </w:rPr>
        <w:t xml:space="preserve"> of academic and industry literature with a narrative case-based analysis of publicly available organisational data. This approach </w:t>
      </w:r>
      <w:r w:rsidRPr="4AF775A2" w:rsidR="42274C1B">
        <w:rPr>
          <w:rFonts w:ascii="Arial" w:hAnsi="Arial" w:eastAsia="Arial" w:cs="Arial"/>
          <w:b w:val="0"/>
          <w:bCs w:val="0"/>
          <w:noProof w:val="0"/>
          <w:sz w:val="22"/>
          <w:szCs w:val="22"/>
          <w:lang w:val="en-GB"/>
        </w:rPr>
        <w:t>facilitates</w:t>
      </w:r>
      <w:r w:rsidRPr="4AF775A2" w:rsidR="42274C1B">
        <w:rPr>
          <w:rFonts w:ascii="Arial" w:hAnsi="Arial" w:eastAsia="Arial" w:cs="Arial"/>
          <w:b w:val="0"/>
          <w:bCs w:val="0"/>
          <w:noProof w:val="0"/>
          <w:sz w:val="22"/>
          <w:szCs w:val="22"/>
          <w:lang w:val="en-GB"/>
        </w:rPr>
        <w:t xml:space="preserve"> both </w:t>
      </w:r>
      <w:r w:rsidRPr="4AF775A2" w:rsidR="6698FCB0">
        <w:rPr>
          <w:rFonts w:ascii="Arial" w:hAnsi="Arial" w:eastAsia="Arial" w:cs="Arial"/>
          <w:b w:val="0"/>
          <w:bCs w:val="0"/>
          <w:noProof w:val="0"/>
          <w:sz w:val="22"/>
          <w:szCs w:val="22"/>
          <w:lang w:val="en-GB"/>
        </w:rPr>
        <w:t>theoretically based</w:t>
      </w:r>
      <w:r w:rsidRPr="4AF775A2" w:rsidR="42274C1B">
        <w:rPr>
          <w:rFonts w:ascii="Arial" w:hAnsi="Arial" w:eastAsia="Arial" w:cs="Arial"/>
          <w:b w:val="0"/>
          <w:bCs w:val="0"/>
          <w:noProof w:val="0"/>
          <w:sz w:val="22"/>
          <w:szCs w:val="22"/>
          <w:lang w:val="en-GB"/>
        </w:rPr>
        <w:t xml:space="preserve"> generalisation and contextual specificity.</w:t>
      </w:r>
      <w:r w:rsidRPr="4AF775A2" w:rsidR="5CEFFDAA">
        <w:rPr>
          <w:rFonts w:ascii="Arial" w:hAnsi="Arial" w:eastAsia="Arial" w:cs="Arial"/>
          <w:b w:val="0"/>
          <w:bCs w:val="0"/>
          <w:noProof w:val="0"/>
          <w:sz w:val="22"/>
          <w:szCs w:val="22"/>
          <w:lang w:val="en-GB"/>
        </w:rPr>
        <w:t xml:space="preserve"> </w:t>
      </w:r>
    </w:p>
    <w:p w:rsidR="42274C1B" w:rsidP="4AF775A2" w:rsidRDefault="42274C1B" w14:paraId="67FC21DE" w14:textId="4F441071">
      <w:pPr>
        <w:bidi w:val="0"/>
        <w:spacing w:before="120" w:beforeAutospacing="off" w:after="120" w:afterAutospacing="off" w:line="360" w:lineRule="auto"/>
        <w:jc w:val="both"/>
        <w:rPr>
          <w:rFonts w:ascii="Arial" w:hAnsi="Arial" w:eastAsia="Arial" w:cs="Arial"/>
          <w:b w:val="0"/>
          <w:bCs w:val="0"/>
          <w:noProof w:val="0"/>
          <w:sz w:val="22"/>
          <w:szCs w:val="22"/>
          <w:lang w:val="en-GB"/>
        </w:rPr>
      </w:pPr>
      <w:bookmarkStart w:name="_Toc70707387" w:id="201883471"/>
      <w:r w:rsidRPr="4AF775A2" w:rsidR="42274C1B">
        <w:rPr>
          <w:rStyle w:val="Heading2Char"/>
          <w:rFonts w:ascii="Arial" w:hAnsi="Arial" w:eastAsia="Arial" w:cs="Arial"/>
          <w:noProof w:val="0"/>
          <w:sz w:val="22"/>
          <w:szCs w:val="22"/>
          <w:lang w:val="en-GB"/>
        </w:rPr>
        <w:t>Research Philosophy and Assumptions</w:t>
      </w:r>
      <w:bookmarkEnd w:id="201883471"/>
    </w:p>
    <w:p w:rsidR="42274C1B" w:rsidP="4AF775A2" w:rsidRDefault="42274C1B" w14:paraId="2596608B" w14:textId="5978F949">
      <w:pPr>
        <w:pStyle w:val="Normal"/>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At the philosophical level, the research is underpinned by a pragmatist paradigm that unites elements of both positivism and interpretivism. Pragmatism is particularly </w:t>
      </w:r>
      <w:r w:rsidRPr="4AF775A2" w:rsidR="42274C1B">
        <w:rPr>
          <w:rFonts w:ascii="Arial" w:hAnsi="Arial" w:eastAsia="Arial" w:cs="Arial"/>
          <w:b w:val="0"/>
          <w:bCs w:val="0"/>
          <w:noProof w:val="0"/>
          <w:sz w:val="22"/>
          <w:szCs w:val="22"/>
          <w:lang w:val="en-GB"/>
        </w:rPr>
        <w:t>appropriate because</w:t>
      </w:r>
      <w:r w:rsidRPr="4AF775A2" w:rsidR="42274C1B">
        <w:rPr>
          <w:rFonts w:ascii="Arial" w:hAnsi="Arial" w:eastAsia="Arial" w:cs="Arial"/>
          <w:b w:val="0"/>
          <w:bCs w:val="0"/>
          <w:noProof w:val="0"/>
          <w:sz w:val="22"/>
          <w:szCs w:val="22"/>
          <w:lang w:val="en-GB"/>
        </w:rPr>
        <w:t xml:space="preserve"> it prioritises the research problem over strict adherence to a single epistemological stance, thereby </w:t>
      </w:r>
      <w:r w:rsidRPr="4AF775A2" w:rsidR="42274C1B">
        <w:rPr>
          <w:rFonts w:ascii="Arial" w:hAnsi="Arial" w:eastAsia="Arial" w:cs="Arial"/>
          <w:b w:val="0"/>
          <w:bCs w:val="0"/>
          <w:noProof w:val="0"/>
          <w:sz w:val="22"/>
          <w:szCs w:val="22"/>
          <w:lang w:val="en-GB"/>
        </w:rPr>
        <w:t>facilitating</w:t>
      </w:r>
      <w:r w:rsidRPr="4AF775A2" w:rsidR="42274C1B">
        <w:rPr>
          <w:rFonts w:ascii="Arial" w:hAnsi="Arial" w:eastAsia="Arial" w:cs="Arial"/>
          <w:b w:val="0"/>
          <w:bCs w:val="0"/>
          <w:noProof w:val="0"/>
          <w:sz w:val="22"/>
          <w:szCs w:val="22"/>
          <w:lang w:val="en-GB"/>
        </w:rPr>
        <w:t xml:space="preserve"> methodological flexibility (</w:t>
      </w:r>
      <w:r w:rsidRPr="4AF775A2" w:rsidR="376A8F35">
        <w:rPr>
          <w:rFonts w:ascii="Arial" w:hAnsi="Arial" w:eastAsia="Arial" w:cs="Arial"/>
          <w:b w:val="0"/>
          <w:bCs w:val="0"/>
          <w:noProof w:val="0"/>
          <w:sz w:val="22"/>
          <w:szCs w:val="22"/>
          <w:lang w:val="en-GB"/>
        </w:rPr>
        <w:t>Saunders, Lewis &amp; Thornhill,</w:t>
      </w:r>
      <w:r w:rsidRPr="4AF775A2" w:rsidR="42274C1B">
        <w:rPr>
          <w:rFonts w:ascii="Arial" w:hAnsi="Arial" w:eastAsia="Arial" w:cs="Arial"/>
          <w:b w:val="0"/>
          <w:bCs w:val="0"/>
          <w:noProof w:val="0"/>
          <w:sz w:val="22"/>
          <w:szCs w:val="22"/>
          <w:lang w:val="en-GB"/>
        </w:rPr>
        <w:t xml:space="preserve"> 2019).</w:t>
      </w:r>
    </w:p>
    <w:p w:rsidR="42274C1B" w:rsidP="4AF775A2" w:rsidRDefault="42274C1B" w14:paraId="5264B4B9" w14:textId="765A18E2">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From a positivist perspective, the study draws on established HRM theories and empirical findings to </w:t>
      </w:r>
      <w:r w:rsidRPr="4AF775A2" w:rsidR="42274C1B">
        <w:rPr>
          <w:rFonts w:ascii="Arial" w:hAnsi="Arial" w:eastAsia="Arial" w:cs="Arial"/>
          <w:b w:val="0"/>
          <w:bCs w:val="0"/>
          <w:noProof w:val="0"/>
          <w:sz w:val="22"/>
          <w:szCs w:val="22"/>
          <w:lang w:val="en-GB"/>
        </w:rPr>
        <w:t>identify</w:t>
      </w:r>
      <w:r w:rsidRPr="4AF775A2" w:rsidR="42274C1B">
        <w:rPr>
          <w:rFonts w:ascii="Arial" w:hAnsi="Arial" w:eastAsia="Arial" w:cs="Arial"/>
          <w:b w:val="0"/>
          <w:bCs w:val="0"/>
          <w:noProof w:val="0"/>
          <w:sz w:val="22"/>
          <w:szCs w:val="22"/>
          <w:lang w:val="en-GB"/>
        </w:rPr>
        <w:t xml:space="preserve"> generalisable patterns in the relationships among HRM practices, engagement, and retention. This is </w:t>
      </w:r>
      <w:r w:rsidRPr="4AF775A2" w:rsidR="42274C1B">
        <w:rPr>
          <w:rFonts w:ascii="Arial" w:hAnsi="Arial" w:eastAsia="Arial" w:cs="Arial"/>
          <w:b w:val="0"/>
          <w:bCs w:val="0"/>
          <w:noProof w:val="0"/>
          <w:sz w:val="22"/>
          <w:szCs w:val="22"/>
          <w:lang w:val="en-GB"/>
        </w:rPr>
        <w:t>apparent</w:t>
      </w:r>
      <w:r w:rsidRPr="4AF775A2" w:rsidR="42274C1B">
        <w:rPr>
          <w:rFonts w:ascii="Arial" w:hAnsi="Arial" w:eastAsia="Arial" w:cs="Arial"/>
          <w:b w:val="0"/>
          <w:bCs w:val="0"/>
          <w:noProof w:val="0"/>
          <w:sz w:val="22"/>
          <w:szCs w:val="22"/>
          <w:lang w:val="en-GB"/>
        </w:rPr>
        <w:t xml:space="preserve"> in the systematic synthesis of available literature addressing Research Question 1. Positivism supports the use of structured analysis and the identification of causal relationships, particularly in examining how HRM practices influence quantifiable effects such as retention.</w:t>
      </w:r>
    </w:p>
    <w:p w:rsidR="42274C1B" w:rsidP="4AF775A2" w:rsidRDefault="42274C1B" w14:paraId="2B038DF5" w14:textId="4C34353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However, the study also incorporates an interpretivist dimension, particularly in the analysis of </w:t>
      </w:r>
      <w:r w:rsidRPr="4AF775A2" w:rsidR="42274C1B">
        <w:rPr>
          <w:rFonts w:ascii="Arial" w:hAnsi="Arial" w:eastAsia="Arial" w:cs="Arial"/>
          <w:b w:val="0"/>
          <w:bCs w:val="0"/>
          <w:i w:val="1"/>
          <w:iCs w:val="1"/>
          <w:noProof w:val="0"/>
          <w:sz w:val="22"/>
          <w:szCs w:val="22"/>
          <w:lang w:val="en-GB"/>
        </w:rPr>
        <w:t>easyJet’s</w:t>
      </w:r>
      <w:r w:rsidRPr="4AF775A2" w:rsidR="42274C1B">
        <w:rPr>
          <w:rFonts w:ascii="Arial" w:hAnsi="Arial" w:eastAsia="Arial" w:cs="Arial"/>
          <w:b w:val="0"/>
          <w:bCs w:val="0"/>
          <w:noProof w:val="0"/>
          <w:sz w:val="22"/>
          <w:szCs w:val="22"/>
          <w:lang w:val="en-GB"/>
        </w:rPr>
        <w:t xml:space="preserve"> HRM practices. Organisational practices are not simply objective phenomena; they are socially constructed and interpreted differently by stakeholders. Understanding how HRM practices </w:t>
      </w:r>
      <w:r w:rsidRPr="4AF775A2" w:rsidR="42274C1B">
        <w:rPr>
          <w:rFonts w:ascii="Arial" w:hAnsi="Arial" w:eastAsia="Arial" w:cs="Arial"/>
          <w:b w:val="0"/>
          <w:bCs w:val="0"/>
          <w:noProof w:val="0"/>
          <w:sz w:val="22"/>
          <w:szCs w:val="22"/>
          <w:lang w:val="en-GB"/>
        </w:rPr>
        <w:t>operate</w:t>
      </w:r>
      <w:r w:rsidRPr="4AF775A2" w:rsidR="42274C1B">
        <w:rPr>
          <w:rFonts w:ascii="Arial" w:hAnsi="Arial" w:eastAsia="Arial" w:cs="Arial"/>
          <w:b w:val="0"/>
          <w:bCs w:val="0"/>
          <w:noProof w:val="0"/>
          <w:sz w:val="22"/>
          <w:szCs w:val="22"/>
          <w:lang w:val="en-GB"/>
        </w:rPr>
        <w:t xml:space="preserve"> within the specific context of a low-cost airline requires an appreciation of organisational culture, strategic priorities, and operational restrictions. This is consistent with interpretivist assumptions that reality is subjective and </w:t>
      </w:r>
      <w:r w:rsidRPr="4AF775A2" w:rsidR="34EF6E75">
        <w:rPr>
          <w:rFonts w:ascii="Arial" w:hAnsi="Arial" w:eastAsia="Arial" w:cs="Arial"/>
          <w:b w:val="0"/>
          <w:bCs w:val="0"/>
          <w:noProof w:val="0"/>
          <w:sz w:val="22"/>
          <w:szCs w:val="22"/>
          <w:lang w:val="en-GB"/>
        </w:rPr>
        <w:t>context specific</w:t>
      </w:r>
      <w:r w:rsidRPr="4AF775A2" w:rsidR="42274C1B">
        <w:rPr>
          <w:rFonts w:ascii="Arial" w:hAnsi="Arial" w:eastAsia="Arial" w:cs="Arial"/>
          <w:b w:val="0"/>
          <w:bCs w:val="0"/>
          <w:noProof w:val="0"/>
          <w:sz w:val="22"/>
          <w:szCs w:val="22"/>
          <w:lang w:val="en-GB"/>
        </w:rPr>
        <w:t>.</w:t>
      </w:r>
    </w:p>
    <w:p w:rsidR="42274C1B" w:rsidP="4AF775A2" w:rsidRDefault="42274C1B" w14:paraId="70D75D8F" w14:textId="5D9E651B">
      <w:pPr>
        <w:pStyle w:val="Normal"/>
        <w:bidi w:val="0"/>
        <w:spacing w:before="120" w:beforeAutospacing="off" w:after="120" w:afterAutospacing="off" w:line="360" w:lineRule="auto"/>
        <w:jc w:val="both"/>
        <w:rPr>
          <w:rFonts w:ascii="Arial" w:hAnsi="Arial" w:eastAsia="Arial" w:cs="Arial"/>
          <w:b w:val="0"/>
          <w:bCs w:val="0"/>
          <w:noProof w:val="0"/>
          <w:color w:val="auto"/>
          <w:sz w:val="22"/>
          <w:szCs w:val="22"/>
          <w:lang w:val="en-GB"/>
        </w:rPr>
      </w:pPr>
      <w:r w:rsidRPr="4AF775A2" w:rsidR="42274C1B">
        <w:rPr>
          <w:rFonts w:ascii="Arial" w:hAnsi="Arial" w:eastAsia="Arial" w:cs="Arial"/>
          <w:b w:val="0"/>
          <w:bCs w:val="0"/>
          <w:noProof w:val="0"/>
          <w:color w:val="auto"/>
          <w:sz w:val="22"/>
          <w:szCs w:val="22"/>
          <w:lang w:val="en-GB"/>
        </w:rPr>
        <w:t xml:space="preserve">The adoption of a pragmatist philosophy is justified because it enables the combination of objective analysis and contextual interpretation. This is especially important given the combined focus on general HRM theory and its application within a specific organisational setting. </w:t>
      </w:r>
      <w:r w:rsidRPr="4AF775A2" w:rsidR="48949F93">
        <w:rPr>
          <w:rFonts w:ascii="Arial" w:hAnsi="Arial" w:eastAsia="Arial" w:cs="Arial"/>
          <w:b w:val="0"/>
          <w:bCs w:val="0"/>
          <w:noProof w:val="0"/>
          <w:color w:val="auto"/>
          <w:sz w:val="22"/>
          <w:szCs w:val="22"/>
          <w:lang w:val="en-GB"/>
        </w:rPr>
        <w:t>The pragmatist approach offers aims to solve real-world problems with practical solut</w:t>
      </w:r>
      <w:r w:rsidRPr="4AF775A2" w:rsidR="01E2C1A9">
        <w:rPr>
          <w:rFonts w:ascii="Arial" w:hAnsi="Arial" w:eastAsia="Arial" w:cs="Arial"/>
          <w:b w:val="0"/>
          <w:bCs w:val="0"/>
          <w:noProof w:val="0"/>
          <w:color w:val="auto"/>
          <w:sz w:val="22"/>
          <w:szCs w:val="22"/>
          <w:lang w:val="en-GB"/>
        </w:rPr>
        <w:t>ions (</w:t>
      </w:r>
      <w:r w:rsidRPr="4AF775A2" w:rsidR="326A88D1">
        <w:rPr>
          <w:rFonts w:ascii="Arial" w:hAnsi="Arial" w:eastAsia="Arial" w:cs="Arial"/>
          <w:b w:val="0"/>
          <w:bCs w:val="0"/>
          <w:i w:val="0"/>
          <w:iCs w:val="0"/>
          <w:caps w:val="0"/>
          <w:smallCaps w:val="0"/>
          <w:noProof w:val="0"/>
          <w:color w:val="auto"/>
          <w:sz w:val="22"/>
          <w:szCs w:val="22"/>
          <w:lang w:val="en-GB"/>
        </w:rPr>
        <w:t>Saunders, Lewis &amp; Thornhill, 2019</w:t>
      </w:r>
      <w:r w:rsidRPr="4AF775A2" w:rsidR="01E2C1A9">
        <w:rPr>
          <w:rFonts w:ascii="Arial" w:hAnsi="Arial" w:eastAsia="Arial" w:cs="Arial"/>
          <w:b w:val="0"/>
          <w:bCs w:val="0"/>
          <w:i w:val="0"/>
          <w:iCs w:val="0"/>
          <w:caps w:val="0"/>
          <w:smallCaps w:val="0"/>
          <w:noProof w:val="0"/>
          <w:color w:val="auto"/>
          <w:sz w:val="22"/>
          <w:szCs w:val="22"/>
          <w:lang w:val="en-GB"/>
        </w:rPr>
        <w:t>).</w:t>
      </w:r>
      <w:r w:rsidRPr="4AF775A2" w:rsidR="01E2C1A9">
        <w:rPr>
          <w:rFonts w:ascii="Arial" w:hAnsi="Arial" w:eastAsia="Arial" w:cs="Arial"/>
          <w:b w:val="0"/>
          <w:bCs w:val="0"/>
          <w:noProof w:val="0"/>
          <w:color w:val="auto"/>
          <w:sz w:val="22"/>
          <w:szCs w:val="22"/>
          <w:lang w:val="en-GB"/>
        </w:rPr>
        <w:t xml:space="preserve"> </w:t>
      </w:r>
      <w:r w:rsidRPr="4AF775A2" w:rsidR="42274C1B">
        <w:rPr>
          <w:rFonts w:ascii="Arial" w:hAnsi="Arial" w:eastAsia="Arial" w:cs="Arial"/>
          <w:b w:val="0"/>
          <w:bCs w:val="0"/>
          <w:noProof w:val="0"/>
          <w:color w:val="auto"/>
          <w:sz w:val="22"/>
          <w:szCs w:val="22"/>
          <w:lang w:val="en-GB"/>
        </w:rPr>
        <w:t>However, pragmatism may lead to methodological pluralism, which can undermine consistency. This limitation is mitigated through a clearly defined research design and analytical method.</w:t>
      </w:r>
    </w:p>
    <w:p w:rsidR="42274C1B" w:rsidP="4AF775A2" w:rsidRDefault="42274C1B" w14:paraId="3D052AB0" w14:textId="2A68F661">
      <w:pPr>
        <w:bidi w:val="0"/>
        <w:spacing w:before="120" w:beforeAutospacing="off" w:after="120" w:afterAutospacing="off" w:line="360" w:lineRule="auto"/>
        <w:jc w:val="both"/>
        <w:rPr>
          <w:rFonts w:ascii="Arial" w:hAnsi="Arial" w:eastAsia="Arial" w:cs="Arial"/>
          <w:b w:val="0"/>
          <w:bCs w:val="0"/>
          <w:noProof w:val="0"/>
          <w:sz w:val="22"/>
          <w:szCs w:val="22"/>
          <w:lang w:val="en-GB"/>
        </w:rPr>
      </w:pPr>
      <w:bookmarkStart w:name="_Toc588119690" w:id="478809581"/>
      <w:r w:rsidRPr="4AF775A2" w:rsidR="42274C1B">
        <w:rPr>
          <w:rStyle w:val="Heading2Char"/>
          <w:rFonts w:ascii="Arial" w:hAnsi="Arial" w:eastAsia="Arial" w:cs="Arial"/>
          <w:noProof w:val="0"/>
          <w:sz w:val="22"/>
          <w:szCs w:val="22"/>
          <w:lang w:val="en-GB"/>
        </w:rPr>
        <w:t>Research Design</w:t>
      </w:r>
      <w:bookmarkEnd w:id="478809581"/>
    </w:p>
    <w:p w:rsidR="42274C1B" w:rsidP="4AF775A2" w:rsidRDefault="42274C1B" w14:paraId="7D30138C" w14:textId="560B1781">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The research design is best characterised as a</w:t>
      </w:r>
      <w:r w:rsidRPr="4AF775A2" w:rsidR="6D5AA630">
        <w:rPr>
          <w:rFonts w:ascii="Arial" w:hAnsi="Arial" w:eastAsia="Arial" w:cs="Arial"/>
          <w:b w:val="0"/>
          <w:bCs w:val="0"/>
          <w:noProof w:val="0"/>
          <w:sz w:val="22"/>
          <w:szCs w:val="22"/>
          <w:lang w:val="en-GB"/>
        </w:rPr>
        <w:t xml:space="preserve"> </w:t>
      </w:r>
      <w:r w:rsidRPr="4AF775A2" w:rsidR="42274C1B">
        <w:rPr>
          <w:rFonts w:ascii="Arial" w:hAnsi="Arial" w:eastAsia="Arial" w:cs="Arial"/>
          <w:b w:val="0"/>
          <w:bCs w:val="0"/>
          <w:noProof w:val="0"/>
          <w:sz w:val="22"/>
          <w:szCs w:val="22"/>
          <w:lang w:val="en-GB"/>
        </w:rPr>
        <w:t>mixed-method approach, combining systematic literature review, thematic synthesis, and</w:t>
      </w:r>
      <w:r w:rsidRPr="4AF775A2" w:rsidR="02B5E450">
        <w:rPr>
          <w:rFonts w:ascii="Arial" w:hAnsi="Arial" w:eastAsia="Arial" w:cs="Arial"/>
          <w:b w:val="0"/>
          <w:bCs w:val="0"/>
          <w:noProof w:val="0"/>
          <w:sz w:val="22"/>
          <w:szCs w:val="22"/>
          <w:lang w:val="en-GB"/>
        </w:rPr>
        <w:t xml:space="preserve"> a narrative</w:t>
      </w:r>
      <w:r w:rsidRPr="4AF775A2" w:rsidR="42274C1B">
        <w:rPr>
          <w:rFonts w:ascii="Arial" w:hAnsi="Arial" w:eastAsia="Arial" w:cs="Arial"/>
          <w:b w:val="0"/>
          <w:bCs w:val="0"/>
          <w:noProof w:val="0"/>
          <w:sz w:val="22"/>
          <w:szCs w:val="22"/>
          <w:lang w:val="en-GB"/>
        </w:rPr>
        <w:t xml:space="preserve"> case study analysis.</w:t>
      </w:r>
      <w:r w:rsidRPr="4AF775A2" w:rsidR="1B6004DA">
        <w:rPr>
          <w:rFonts w:ascii="Arial" w:hAnsi="Arial" w:eastAsia="Arial" w:cs="Arial"/>
          <w:b w:val="0"/>
          <w:bCs w:val="0"/>
          <w:noProof w:val="0"/>
          <w:sz w:val="22"/>
          <w:szCs w:val="22"/>
          <w:lang w:val="en-GB"/>
        </w:rPr>
        <w:t xml:space="preserve"> Thematic synthesis was employed to </w:t>
      </w:r>
      <w:r w:rsidRPr="4AF775A2" w:rsidR="1B6004DA">
        <w:rPr>
          <w:rFonts w:ascii="Arial" w:hAnsi="Arial" w:eastAsia="Arial" w:cs="Arial"/>
          <w:b w:val="0"/>
          <w:bCs w:val="0"/>
          <w:noProof w:val="0"/>
          <w:sz w:val="22"/>
          <w:szCs w:val="22"/>
          <w:lang w:val="en-GB"/>
        </w:rPr>
        <w:t>identify</w:t>
      </w:r>
      <w:r w:rsidRPr="4AF775A2" w:rsidR="1B6004DA">
        <w:rPr>
          <w:rFonts w:ascii="Arial" w:hAnsi="Arial" w:eastAsia="Arial" w:cs="Arial"/>
          <w:b w:val="0"/>
          <w:bCs w:val="0"/>
          <w:noProof w:val="0"/>
          <w:sz w:val="22"/>
          <w:szCs w:val="22"/>
          <w:lang w:val="en-GB"/>
        </w:rPr>
        <w:t xml:space="preserve"> patterns across the literature, consistent with Snyder’s (2019) argum</w:t>
      </w:r>
      <w:r w:rsidRPr="4AF775A2" w:rsidR="3817183C">
        <w:rPr>
          <w:rFonts w:ascii="Arial" w:hAnsi="Arial" w:eastAsia="Arial" w:cs="Arial"/>
          <w:b w:val="0"/>
          <w:bCs w:val="0"/>
          <w:noProof w:val="0"/>
          <w:sz w:val="22"/>
          <w:szCs w:val="22"/>
          <w:lang w:val="en-GB"/>
        </w:rPr>
        <w:t>ent that literature reviews can be used to develop new conceptual insights through systematic categorisation</w:t>
      </w:r>
      <w:r w:rsidRPr="4AF775A2" w:rsidR="34D83902">
        <w:rPr>
          <w:rFonts w:ascii="Arial" w:hAnsi="Arial" w:eastAsia="Arial" w:cs="Arial"/>
          <w:b w:val="0"/>
          <w:bCs w:val="0"/>
          <w:noProof w:val="0"/>
          <w:sz w:val="22"/>
          <w:szCs w:val="22"/>
          <w:lang w:val="en-GB"/>
        </w:rPr>
        <w:t xml:space="preserve"> and </w:t>
      </w:r>
      <w:r w:rsidRPr="4AF775A2" w:rsidR="34D83902">
        <w:rPr>
          <w:rFonts w:ascii="Arial" w:hAnsi="Arial" w:eastAsia="Arial" w:cs="Arial"/>
          <w:b w:val="0"/>
          <w:bCs w:val="0"/>
          <w:noProof w:val="0"/>
          <w:sz w:val="22"/>
          <w:szCs w:val="22"/>
          <w:lang w:val="en-GB"/>
        </w:rPr>
        <w:t>interpretation</w:t>
      </w:r>
      <w:r w:rsidRPr="4AF775A2" w:rsidR="34D83902">
        <w:rPr>
          <w:rFonts w:ascii="Arial" w:hAnsi="Arial" w:eastAsia="Arial" w:cs="Arial"/>
          <w:b w:val="0"/>
          <w:bCs w:val="0"/>
          <w:noProof w:val="0"/>
          <w:sz w:val="22"/>
          <w:szCs w:val="22"/>
          <w:lang w:val="en-GB"/>
        </w:rPr>
        <w:t>.</w:t>
      </w:r>
      <w:r w:rsidRPr="4AF775A2" w:rsidR="42274C1B">
        <w:rPr>
          <w:rFonts w:ascii="Arial" w:hAnsi="Arial" w:eastAsia="Arial" w:cs="Arial"/>
          <w:b w:val="0"/>
          <w:bCs w:val="0"/>
          <w:noProof w:val="0"/>
          <w:sz w:val="22"/>
          <w:szCs w:val="22"/>
          <w:lang w:val="en-GB"/>
        </w:rPr>
        <w:t xml:space="preserve"> This design is justified due to the need to address multiple research questions spanning both theoretical and applied domains.</w:t>
      </w:r>
    </w:p>
    <w:p w:rsidR="42274C1B" w:rsidP="4AF775A2" w:rsidRDefault="42274C1B" w14:paraId="482C0F7A" w14:textId="3196F698">
      <w:pPr>
        <w:pStyle w:val="Normal"/>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Firstly, the study implements a thematic synthesis of academic and industry literature to address Research Question 1. This entails </w:t>
      </w:r>
      <w:r w:rsidRPr="4AF775A2" w:rsidR="42274C1B">
        <w:rPr>
          <w:rFonts w:ascii="Arial" w:hAnsi="Arial" w:eastAsia="Arial" w:cs="Arial"/>
          <w:b w:val="0"/>
          <w:bCs w:val="0"/>
          <w:noProof w:val="0"/>
          <w:sz w:val="22"/>
          <w:szCs w:val="22"/>
          <w:lang w:val="en-GB"/>
        </w:rPr>
        <w:t>identifying</w:t>
      </w:r>
      <w:r w:rsidRPr="4AF775A2" w:rsidR="42274C1B">
        <w:rPr>
          <w:rFonts w:ascii="Arial" w:hAnsi="Arial" w:eastAsia="Arial" w:cs="Arial"/>
          <w:b w:val="0"/>
          <w:bCs w:val="0"/>
          <w:noProof w:val="0"/>
          <w:sz w:val="22"/>
          <w:szCs w:val="22"/>
          <w:lang w:val="en-GB"/>
        </w:rPr>
        <w:t>, analysing, and synthesising key themes related to HRM practices influencing engagement and retention in skill-intensive industries</w:t>
      </w:r>
      <w:r w:rsidRPr="4AF775A2" w:rsidR="42274C1B">
        <w:rPr>
          <w:rFonts w:ascii="Arial" w:hAnsi="Arial" w:eastAsia="Arial" w:cs="Arial"/>
          <w:b w:val="0"/>
          <w:bCs w:val="0"/>
          <w:noProof w:val="0"/>
          <w:sz w:val="22"/>
          <w:szCs w:val="22"/>
          <w:lang w:val="en-GB"/>
        </w:rPr>
        <w:t xml:space="preserve">. </w:t>
      </w:r>
    </w:p>
    <w:p w:rsidR="42274C1B" w:rsidP="4AF775A2" w:rsidRDefault="42274C1B" w14:paraId="01AF5092" w14:textId="1E6B2A3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Secondly, the study adopts a narrative synthesis approach to analyse </w:t>
      </w:r>
      <w:r w:rsidRPr="4AF775A2" w:rsidR="42274C1B">
        <w:rPr>
          <w:rFonts w:ascii="Arial" w:hAnsi="Arial" w:eastAsia="Arial" w:cs="Arial"/>
          <w:b w:val="0"/>
          <w:bCs w:val="0"/>
          <w:i w:val="1"/>
          <w:iCs w:val="1"/>
          <w:noProof w:val="0"/>
          <w:sz w:val="22"/>
          <w:szCs w:val="22"/>
          <w:lang w:val="en-GB"/>
        </w:rPr>
        <w:t>easyJet’s</w:t>
      </w:r>
      <w:r w:rsidRPr="4AF775A2" w:rsidR="42274C1B">
        <w:rPr>
          <w:rFonts w:ascii="Arial" w:hAnsi="Arial" w:eastAsia="Arial" w:cs="Arial"/>
          <w:b w:val="0"/>
          <w:bCs w:val="0"/>
          <w:noProof w:val="0"/>
          <w:sz w:val="22"/>
          <w:szCs w:val="22"/>
          <w:lang w:val="en-GB"/>
        </w:rPr>
        <w:t xml:space="preserve"> publicly reported HRM practices (Research Questions 2 and 3). Narrative synthesis is suitable for this context, as it enables the interpretation of qualitative data from multiple sources, including annual reports, sustainability disclosures, and industry publications</w:t>
      </w:r>
      <w:r w:rsidRPr="4AF775A2" w:rsidR="1639698B">
        <w:rPr>
          <w:rFonts w:ascii="Arial" w:hAnsi="Arial" w:eastAsia="Arial" w:cs="Arial"/>
          <w:b w:val="0"/>
          <w:bCs w:val="0"/>
          <w:noProof w:val="0"/>
          <w:sz w:val="22"/>
          <w:szCs w:val="22"/>
          <w:lang w:val="en-GB"/>
        </w:rPr>
        <w:t xml:space="preserve"> to synthesise with academic literature </w:t>
      </w:r>
      <w:r w:rsidRPr="4AF775A2" w:rsidR="1639698B">
        <w:rPr>
          <w:rFonts w:ascii="Arial" w:hAnsi="Arial" w:eastAsia="Arial" w:cs="Arial"/>
          <w:b w:val="0"/>
          <w:bCs w:val="0"/>
          <w:noProof w:val="0"/>
          <w:sz w:val="22"/>
          <w:szCs w:val="22"/>
          <w:lang w:val="en-GB"/>
        </w:rPr>
        <w:t>demonstrating</w:t>
      </w:r>
      <w:r w:rsidRPr="4AF775A2" w:rsidR="1639698B">
        <w:rPr>
          <w:rFonts w:ascii="Arial" w:hAnsi="Arial" w:eastAsia="Arial" w:cs="Arial"/>
          <w:b w:val="0"/>
          <w:bCs w:val="0"/>
          <w:noProof w:val="0"/>
          <w:sz w:val="22"/>
          <w:szCs w:val="22"/>
          <w:lang w:val="en-GB"/>
        </w:rPr>
        <w:t xml:space="preserve"> a </w:t>
      </w:r>
      <w:r w:rsidRPr="4AF775A2" w:rsidR="56515D32">
        <w:rPr>
          <w:rFonts w:ascii="Arial" w:hAnsi="Arial" w:eastAsia="Arial" w:cs="Arial"/>
          <w:b w:val="0"/>
          <w:bCs w:val="0"/>
          <w:noProof w:val="0"/>
          <w:sz w:val="22"/>
          <w:szCs w:val="22"/>
          <w:lang w:val="en-GB"/>
        </w:rPr>
        <w:t>theoretically grounded exploration of HRM practices within easyJet</w:t>
      </w:r>
      <w:r w:rsidRPr="4AF775A2" w:rsidR="42274C1B">
        <w:rPr>
          <w:rFonts w:ascii="Arial" w:hAnsi="Arial" w:eastAsia="Arial" w:cs="Arial"/>
          <w:b w:val="0"/>
          <w:bCs w:val="0"/>
          <w:noProof w:val="0"/>
          <w:sz w:val="22"/>
          <w:szCs w:val="22"/>
          <w:lang w:val="en-GB"/>
        </w:rPr>
        <w:t>.</w:t>
      </w:r>
      <w:r w:rsidRPr="4AF775A2" w:rsidR="11801EC8">
        <w:rPr>
          <w:rFonts w:ascii="Arial" w:hAnsi="Arial" w:eastAsia="Arial" w:cs="Arial"/>
          <w:b w:val="0"/>
          <w:bCs w:val="0"/>
          <w:noProof w:val="0"/>
          <w:sz w:val="22"/>
          <w:szCs w:val="22"/>
          <w:lang w:val="en-GB"/>
        </w:rPr>
        <w:t xml:space="preserve"> Narrative synthesis is particularly suited to this study, as it enables interpretation of HRM practic</w:t>
      </w:r>
      <w:r w:rsidRPr="4AF775A2" w:rsidR="6919B3E4">
        <w:rPr>
          <w:rFonts w:ascii="Arial" w:hAnsi="Arial" w:eastAsia="Arial" w:cs="Arial"/>
          <w:b w:val="0"/>
          <w:bCs w:val="0"/>
          <w:noProof w:val="0"/>
          <w:sz w:val="22"/>
          <w:szCs w:val="22"/>
          <w:lang w:val="en-GB"/>
        </w:rPr>
        <w:t>es and their interaction with strategic and operational constraints, where quantitative aggregation is neith</w:t>
      </w:r>
      <w:r w:rsidRPr="4AF775A2" w:rsidR="216BEB33">
        <w:rPr>
          <w:rFonts w:ascii="Arial" w:hAnsi="Arial" w:eastAsia="Arial" w:cs="Arial"/>
          <w:b w:val="0"/>
          <w:bCs w:val="0"/>
          <w:noProof w:val="0"/>
          <w:sz w:val="22"/>
          <w:szCs w:val="22"/>
          <w:lang w:val="en-GB"/>
        </w:rPr>
        <w:t>er feasible nor appropriate (Snyder, 2019).</w:t>
      </w:r>
      <w:r w:rsidRPr="4AF775A2" w:rsidR="42274C1B">
        <w:rPr>
          <w:rFonts w:ascii="Arial" w:hAnsi="Arial" w:eastAsia="Arial" w:cs="Arial"/>
          <w:b w:val="0"/>
          <w:bCs w:val="0"/>
          <w:noProof w:val="0"/>
          <w:sz w:val="22"/>
          <w:szCs w:val="22"/>
          <w:lang w:val="en-GB"/>
        </w:rPr>
        <w:t xml:space="preserve"> This approa</w:t>
      </w:r>
      <w:r w:rsidRPr="4AF775A2" w:rsidR="42274C1B">
        <w:rPr>
          <w:rFonts w:ascii="Arial" w:hAnsi="Arial" w:eastAsia="Arial" w:cs="Arial"/>
          <w:b w:val="0"/>
          <w:bCs w:val="0"/>
          <w:noProof w:val="0"/>
          <w:sz w:val="22"/>
          <w:szCs w:val="22"/>
          <w:lang w:val="en-GB"/>
        </w:rPr>
        <w:t xml:space="preserve">ch </w:t>
      </w:r>
      <w:r w:rsidRPr="4AF775A2" w:rsidR="42274C1B">
        <w:rPr>
          <w:rFonts w:ascii="Arial" w:hAnsi="Arial" w:eastAsia="Arial" w:cs="Arial"/>
          <w:b w:val="0"/>
          <w:bCs w:val="0"/>
          <w:noProof w:val="0"/>
          <w:sz w:val="22"/>
          <w:szCs w:val="22"/>
          <w:lang w:val="en-GB"/>
        </w:rPr>
        <w:t>assists</w:t>
      </w:r>
      <w:r w:rsidRPr="4AF775A2" w:rsidR="42274C1B">
        <w:rPr>
          <w:rFonts w:ascii="Arial" w:hAnsi="Arial" w:eastAsia="Arial" w:cs="Arial"/>
          <w:b w:val="0"/>
          <w:bCs w:val="0"/>
          <w:noProof w:val="0"/>
          <w:sz w:val="22"/>
          <w:szCs w:val="22"/>
          <w:lang w:val="en-GB"/>
        </w:rPr>
        <w:t xml:space="preserve"> in the examination of how HRM practices are implemented in practice and how they interact with organisational constraints.</w:t>
      </w:r>
    </w:p>
    <w:p w:rsidR="42274C1B" w:rsidP="4AF775A2" w:rsidRDefault="42274C1B" w14:paraId="0438C478" w14:textId="249A8680">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The inclusion of a single-case study design strengthens the thoroughness of analysis by delivering a detailed examination of a specific organisational context. </w:t>
      </w:r>
      <w:r w:rsidRPr="4AF775A2" w:rsidR="42274C1B">
        <w:rPr>
          <w:rFonts w:ascii="Arial" w:hAnsi="Arial" w:eastAsia="Arial" w:cs="Arial"/>
          <w:b w:val="0"/>
          <w:bCs w:val="0"/>
          <w:i w:val="1"/>
          <w:iCs w:val="1"/>
          <w:noProof w:val="0"/>
          <w:sz w:val="22"/>
          <w:szCs w:val="22"/>
          <w:lang w:val="en-GB"/>
        </w:rPr>
        <w:t>easyJet</w:t>
      </w:r>
      <w:r w:rsidRPr="4AF775A2" w:rsidR="42274C1B">
        <w:rPr>
          <w:rFonts w:ascii="Arial" w:hAnsi="Arial" w:eastAsia="Arial" w:cs="Arial"/>
          <w:b w:val="0"/>
          <w:bCs w:val="0"/>
          <w:noProof w:val="0"/>
          <w:sz w:val="22"/>
          <w:szCs w:val="22"/>
          <w:lang w:val="en-GB"/>
        </w:rPr>
        <w:t xml:space="preserve"> is selected as a representative low-cost airline, making it a relevant and</w:t>
      </w:r>
      <w:r w:rsidRPr="4AF775A2" w:rsidR="7768B1A0">
        <w:rPr>
          <w:rFonts w:ascii="Arial" w:hAnsi="Arial" w:eastAsia="Arial" w:cs="Arial"/>
          <w:b w:val="0"/>
          <w:bCs w:val="0"/>
          <w:noProof w:val="0"/>
          <w:sz w:val="22"/>
          <w:szCs w:val="22"/>
          <w:lang w:val="en-GB"/>
        </w:rPr>
        <w:t xml:space="preserve"> </w:t>
      </w:r>
      <w:r w:rsidRPr="4AF775A2" w:rsidR="42274C1B">
        <w:rPr>
          <w:rFonts w:ascii="Arial" w:hAnsi="Arial" w:eastAsia="Arial" w:cs="Arial"/>
          <w:b w:val="0"/>
          <w:bCs w:val="0"/>
          <w:noProof w:val="0"/>
          <w:sz w:val="22"/>
          <w:szCs w:val="22"/>
          <w:lang w:val="en-GB"/>
        </w:rPr>
        <w:t>appropriate case</w:t>
      </w:r>
      <w:r w:rsidRPr="4AF775A2" w:rsidR="42274C1B">
        <w:rPr>
          <w:rFonts w:ascii="Arial" w:hAnsi="Arial" w:eastAsia="Arial" w:cs="Arial"/>
          <w:b w:val="0"/>
          <w:bCs w:val="0"/>
          <w:noProof w:val="0"/>
          <w:sz w:val="22"/>
          <w:szCs w:val="22"/>
          <w:lang w:val="en-GB"/>
        </w:rPr>
        <w:t xml:space="preserve"> for exploring the research questions. However, using </w:t>
      </w:r>
      <w:r w:rsidRPr="4AF775A2" w:rsidR="13EE2E6F">
        <w:rPr>
          <w:rFonts w:ascii="Arial" w:hAnsi="Arial" w:eastAsia="Arial" w:cs="Arial"/>
          <w:b w:val="0"/>
          <w:bCs w:val="0"/>
          <w:noProof w:val="0"/>
          <w:sz w:val="22"/>
          <w:szCs w:val="22"/>
          <w:lang w:val="en-GB"/>
        </w:rPr>
        <w:t>a solitary case</w:t>
      </w:r>
      <w:r w:rsidRPr="4AF775A2" w:rsidR="42274C1B">
        <w:rPr>
          <w:rFonts w:ascii="Arial" w:hAnsi="Arial" w:eastAsia="Arial" w:cs="Arial"/>
          <w:b w:val="0"/>
          <w:bCs w:val="0"/>
          <w:noProof w:val="0"/>
          <w:sz w:val="22"/>
          <w:szCs w:val="22"/>
          <w:lang w:val="en-GB"/>
        </w:rPr>
        <w:t xml:space="preserve"> also introduces restrictions in terms of generalisability. To reduce this, the case study findings are continuously compared with insights from the wider literature.</w:t>
      </w:r>
    </w:p>
    <w:p w:rsidR="42274C1B" w:rsidP="4AF775A2" w:rsidRDefault="42274C1B" w14:paraId="1F090015" w14:textId="4A1CFFD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Overall, the selected research design is justified as it enables both breadth through literature synthesis and depth through case analysis. However, reliance on secondary data may limit the ability to capture employee perspectives directly.</w:t>
      </w:r>
    </w:p>
    <w:p w:rsidR="42274C1B" w:rsidP="4AF775A2" w:rsidRDefault="42274C1B" w14:paraId="0C035DBC" w14:textId="22BAB0CD">
      <w:pPr>
        <w:pStyle w:val="Heading2"/>
        <w:bidi w:val="0"/>
        <w:spacing w:line="360" w:lineRule="auto"/>
        <w:jc w:val="both"/>
        <w:rPr>
          <w:rFonts w:ascii="Arial" w:hAnsi="Arial" w:eastAsia="Arial" w:cs="Arial"/>
          <w:b w:val="0"/>
          <w:bCs w:val="0"/>
          <w:noProof w:val="0"/>
          <w:sz w:val="22"/>
          <w:szCs w:val="22"/>
          <w:lang w:val="en-GB"/>
        </w:rPr>
      </w:pPr>
      <w:bookmarkStart w:name="_Toc1383627954" w:id="1295029550"/>
      <w:r w:rsidRPr="4AF775A2" w:rsidR="42274C1B">
        <w:rPr>
          <w:rFonts w:ascii="Arial" w:hAnsi="Arial" w:eastAsia="Arial" w:cs="Arial"/>
          <w:noProof w:val="0"/>
          <w:sz w:val="22"/>
          <w:szCs w:val="22"/>
          <w:lang w:val="en-GB"/>
        </w:rPr>
        <w:t>Research Approach</w:t>
      </w:r>
      <w:bookmarkEnd w:id="1295029550"/>
    </w:p>
    <w:p w:rsidR="1B644951" w:rsidP="4AF775A2" w:rsidRDefault="1B644951" w14:paraId="1080327A" w14:textId="66175DB4">
      <w:pPr>
        <w:bidi w:val="0"/>
        <w:spacing w:before="0" w:beforeAutospacing="off" w:after="0" w:afterAutospacing="off" w:line="360" w:lineRule="auto"/>
        <w:jc w:val="both"/>
        <w:rPr>
          <w:rFonts w:ascii="Arial" w:hAnsi="Arial" w:eastAsia="Arial" w:cs="Arial"/>
          <w:noProof w:val="0"/>
          <w:color w:val="0E101A"/>
          <w:sz w:val="22"/>
          <w:szCs w:val="22"/>
          <w:lang w:val="en-GB"/>
        </w:rPr>
      </w:pPr>
      <w:r w:rsidRPr="4AF775A2" w:rsidR="1B644951">
        <w:rPr>
          <w:rFonts w:ascii="Arial" w:hAnsi="Arial" w:eastAsia="Arial" w:cs="Arial"/>
          <w:noProof w:val="0"/>
          <w:color w:val="0E101A"/>
          <w:sz w:val="22"/>
          <w:szCs w:val="22"/>
          <w:lang w:val="en-GB"/>
        </w:rPr>
        <w:t xml:space="preserve">This study adopts a deductive research approach, grounded in </w:t>
      </w:r>
      <w:r w:rsidRPr="4AF775A2" w:rsidR="1B644951">
        <w:rPr>
          <w:rFonts w:ascii="Arial" w:hAnsi="Arial" w:eastAsia="Arial" w:cs="Arial"/>
          <w:noProof w:val="0"/>
          <w:color w:val="0E101A"/>
          <w:sz w:val="22"/>
          <w:szCs w:val="22"/>
          <w:lang w:val="en-GB"/>
        </w:rPr>
        <w:t>established</w:t>
      </w:r>
      <w:r w:rsidRPr="4AF775A2" w:rsidR="1B644951">
        <w:rPr>
          <w:rFonts w:ascii="Arial" w:hAnsi="Arial" w:eastAsia="Arial" w:cs="Arial"/>
          <w:noProof w:val="0"/>
          <w:color w:val="0E101A"/>
          <w:sz w:val="22"/>
          <w:szCs w:val="22"/>
          <w:lang w:val="en-GB"/>
        </w:rPr>
        <w:t xml:space="preserve"> theoretical frameworks within Human Resource Management (HRM) and organisational behaviour. Deductive reasoning involves the development of a conceptual framework based on existing theory, followed by the application of thi</w:t>
      </w:r>
      <w:r w:rsidRPr="4AF775A2" w:rsidR="1B644951">
        <w:rPr>
          <w:rFonts w:ascii="Arial" w:hAnsi="Arial" w:eastAsia="Arial" w:cs="Arial"/>
          <w:noProof w:val="0"/>
          <w:color w:val="0E101A"/>
          <w:sz w:val="22"/>
          <w:szCs w:val="22"/>
          <w:lang w:val="en-GB"/>
        </w:rPr>
        <w:t xml:space="preserve">s framework to empirical data </w:t>
      </w:r>
      <w:r w:rsidRPr="4AF775A2" w:rsidR="1B644951">
        <w:rPr>
          <w:rFonts w:ascii="Arial" w:hAnsi="Arial" w:eastAsia="Arial" w:cs="Arial"/>
          <w:noProof w:val="0"/>
          <w:color w:val="0E101A"/>
          <w:sz w:val="22"/>
          <w:szCs w:val="22"/>
          <w:lang w:val="en-GB"/>
        </w:rPr>
        <w:t>in order to</w:t>
      </w:r>
      <w:r w:rsidRPr="4AF775A2" w:rsidR="1B644951">
        <w:rPr>
          <w:rFonts w:ascii="Arial" w:hAnsi="Arial" w:eastAsia="Arial" w:cs="Arial"/>
          <w:noProof w:val="0"/>
          <w:color w:val="0E101A"/>
          <w:sz w:val="22"/>
          <w:szCs w:val="22"/>
          <w:lang w:val="en-GB"/>
        </w:rPr>
        <w:t xml:space="preserve"> test its explanatory relevance</w:t>
      </w:r>
      <w:r w:rsidRPr="4AF775A2" w:rsidR="4749E9C1">
        <w:rPr>
          <w:rFonts w:ascii="Arial" w:hAnsi="Arial" w:eastAsia="Arial" w:cs="Arial"/>
          <w:noProof w:val="0"/>
          <w:color w:val="0E101A"/>
          <w:sz w:val="22"/>
          <w:szCs w:val="22"/>
          <w:lang w:val="en-GB"/>
        </w:rPr>
        <w:t xml:space="preserve"> (Snyder, 2019</w:t>
      </w:r>
      <w:r w:rsidRPr="4AF775A2" w:rsidR="68F3FA13">
        <w:rPr>
          <w:rFonts w:ascii="Arial" w:hAnsi="Arial" w:eastAsia="Arial" w:cs="Arial"/>
          <w:noProof w:val="0"/>
          <w:color w:val="0E101A"/>
          <w:sz w:val="22"/>
          <w:szCs w:val="22"/>
          <w:lang w:val="en-GB"/>
        </w:rPr>
        <w:t>)</w:t>
      </w:r>
      <w:r w:rsidRPr="4AF775A2" w:rsidR="1B644951">
        <w:rPr>
          <w:rFonts w:ascii="Arial" w:hAnsi="Arial" w:eastAsia="Arial" w:cs="Arial"/>
          <w:noProof w:val="0"/>
          <w:color w:val="0E101A"/>
          <w:sz w:val="22"/>
          <w:szCs w:val="22"/>
          <w:lang w:val="en-GB"/>
        </w:rPr>
        <w:t xml:space="preserve">. This approach is particularly </w:t>
      </w:r>
      <w:r w:rsidRPr="4AF775A2" w:rsidR="1B644951">
        <w:rPr>
          <w:rFonts w:ascii="Arial" w:hAnsi="Arial" w:eastAsia="Arial" w:cs="Arial"/>
          <w:noProof w:val="0"/>
          <w:color w:val="0E101A"/>
          <w:sz w:val="22"/>
          <w:szCs w:val="22"/>
          <w:lang w:val="en-GB"/>
        </w:rPr>
        <w:t>appropriate for</w:t>
      </w:r>
      <w:r w:rsidRPr="4AF775A2" w:rsidR="1B644951">
        <w:rPr>
          <w:rFonts w:ascii="Arial" w:hAnsi="Arial" w:eastAsia="Arial" w:cs="Arial"/>
          <w:noProof w:val="0"/>
          <w:color w:val="0E101A"/>
          <w:sz w:val="22"/>
          <w:szCs w:val="22"/>
          <w:lang w:val="en-GB"/>
        </w:rPr>
        <w:t xml:space="preserve"> the present study, as it </w:t>
      </w:r>
      <w:r w:rsidRPr="4AF775A2" w:rsidR="1B644951">
        <w:rPr>
          <w:rFonts w:ascii="Arial" w:hAnsi="Arial" w:eastAsia="Arial" w:cs="Arial"/>
          <w:noProof w:val="0"/>
          <w:color w:val="0E101A"/>
          <w:sz w:val="22"/>
          <w:szCs w:val="22"/>
          <w:lang w:val="en-GB"/>
        </w:rPr>
        <w:t>seeks</w:t>
      </w:r>
      <w:r w:rsidRPr="4AF775A2" w:rsidR="1B644951">
        <w:rPr>
          <w:rFonts w:ascii="Arial" w:hAnsi="Arial" w:eastAsia="Arial" w:cs="Arial"/>
          <w:noProof w:val="0"/>
          <w:color w:val="0E101A"/>
          <w:sz w:val="22"/>
          <w:szCs w:val="22"/>
          <w:lang w:val="en-GB"/>
        </w:rPr>
        <w:t xml:space="preserve"> to evaluate how well established HRM theories explain pilot engagement and retention within the specific context of low-cost airline operations.</w:t>
      </w:r>
    </w:p>
    <w:p w:rsidR="034594A6" w:rsidP="4AF775A2" w:rsidRDefault="034594A6" w14:paraId="1A8C3B07" w14:textId="57EF6128">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4AF775A2" w:rsidRDefault="1B644951" w14:paraId="1E83250E" w14:textId="653B216D">
      <w:pPr>
        <w:bidi w:val="0"/>
        <w:spacing w:before="0" w:beforeAutospacing="off" w:after="0" w:afterAutospacing="off" w:line="360" w:lineRule="auto"/>
        <w:jc w:val="both"/>
        <w:rPr>
          <w:rFonts w:ascii="Arial" w:hAnsi="Arial" w:eastAsia="Arial" w:cs="Arial"/>
          <w:noProof w:val="0"/>
          <w:color w:val="0E101A"/>
          <w:sz w:val="22"/>
          <w:szCs w:val="22"/>
          <w:lang w:val="en-GB"/>
        </w:rPr>
      </w:pPr>
      <w:r w:rsidRPr="4AF775A2" w:rsidR="1B644951">
        <w:rPr>
          <w:rFonts w:ascii="Arial" w:hAnsi="Arial" w:eastAsia="Arial" w:cs="Arial"/>
          <w:noProof w:val="0"/>
          <w:color w:val="0E101A"/>
          <w:sz w:val="22"/>
          <w:szCs w:val="22"/>
          <w:lang w:val="en-GB"/>
        </w:rPr>
        <w:t xml:space="preserve">The research draws on key theoretical perspectives </w:t>
      </w:r>
      <w:r w:rsidRPr="4AF775A2" w:rsidR="1B644951">
        <w:rPr>
          <w:rFonts w:ascii="Arial" w:hAnsi="Arial" w:eastAsia="Arial" w:cs="Arial"/>
          <w:noProof w:val="0"/>
          <w:color w:val="0E101A"/>
          <w:sz w:val="22"/>
          <w:szCs w:val="22"/>
          <w:lang w:val="en-GB"/>
        </w:rPr>
        <w:t>identified</w:t>
      </w:r>
      <w:r w:rsidRPr="4AF775A2" w:rsidR="1B644951">
        <w:rPr>
          <w:rFonts w:ascii="Arial" w:hAnsi="Arial" w:eastAsia="Arial" w:cs="Arial"/>
          <w:noProof w:val="0"/>
          <w:color w:val="0E101A"/>
          <w:sz w:val="22"/>
          <w:szCs w:val="22"/>
          <w:lang w:val="en-GB"/>
        </w:rPr>
        <w:t xml:space="preserve"> in the literature review, including Social Exchange Theory (SET), motivation theory, and High-Performance Work Systems (HPWS). These frameworks collectively suggest that HRM practices influence employee outcomes through mediating mechanisms such as perceived organisational support, engagement, and job satisfaction</w:t>
      </w:r>
      <w:r w:rsidRPr="4AF775A2" w:rsidR="290C282C">
        <w:rPr>
          <w:rFonts w:ascii="Arial" w:hAnsi="Arial" w:eastAsia="Arial" w:cs="Arial"/>
          <w:noProof w:val="0"/>
          <w:color w:val="0E101A"/>
          <w:sz w:val="22"/>
          <w:szCs w:val="22"/>
          <w:lang w:val="en-GB"/>
        </w:rPr>
        <w:t xml:space="preserve"> (Pahos </w:t>
      </w:r>
      <w:r w:rsidRPr="4AF775A2" w:rsidR="2972BA74">
        <w:rPr>
          <w:rFonts w:ascii="Arial" w:hAnsi="Arial" w:eastAsia="Arial" w:cs="Arial"/>
          <w:noProof w:val="0"/>
          <w:color w:val="0E101A"/>
          <w:sz w:val="22"/>
          <w:szCs w:val="22"/>
          <w:lang w:val="en-GB"/>
        </w:rPr>
        <w:t xml:space="preserve">&amp; </w:t>
      </w:r>
      <w:r w:rsidRPr="4AF775A2" w:rsidR="2972BA74">
        <w:rPr>
          <w:rFonts w:ascii="Arial" w:hAnsi="Arial" w:eastAsia="Arial" w:cs="Arial"/>
          <w:noProof w:val="0"/>
          <w:color w:val="0E101A"/>
          <w:sz w:val="22"/>
          <w:szCs w:val="22"/>
          <w:lang w:val="en-GB"/>
        </w:rPr>
        <w:t>Galanaki</w:t>
      </w:r>
      <w:r w:rsidRPr="4AF775A2" w:rsidR="2972BA74">
        <w:rPr>
          <w:rFonts w:ascii="Arial" w:hAnsi="Arial" w:eastAsia="Arial" w:cs="Arial"/>
          <w:noProof w:val="0"/>
          <w:color w:val="0E101A"/>
          <w:sz w:val="22"/>
          <w:szCs w:val="22"/>
          <w:lang w:val="en-GB"/>
        </w:rPr>
        <w:t>, 2022</w:t>
      </w:r>
      <w:r w:rsidRPr="4AF775A2" w:rsidR="29C843A9">
        <w:rPr>
          <w:rFonts w:ascii="Arial" w:hAnsi="Arial" w:eastAsia="Arial" w:cs="Arial"/>
          <w:noProof w:val="0"/>
          <w:color w:val="0E101A"/>
          <w:sz w:val="22"/>
          <w:szCs w:val="22"/>
          <w:lang w:val="en-GB"/>
        </w:rPr>
        <w:t>; Guest, 2017; Dincer</w:t>
      </w:r>
      <w:r w:rsidRPr="4AF775A2" w:rsidR="23B4F052">
        <w:rPr>
          <w:rFonts w:ascii="Arial" w:hAnsi="Arial" w:eastAsia="Arial" w:cs="Arial"/>
          <w:noProof w:val="0"/>
          <w:color w:val="0E101A"/>
          <w:sz w:val="22"/>
          <w:szCs w:val="22"/>
          <w:lang w:val="en-GB"/>
        </w:rPr>
        <w:t xml:space="preserve"> &amp; </w:t>
      </w:r>
      <w:r w:rsidRPr="4AF775A2" w:rsidR="23B4F052">
        <w:rPr>
          <w:rFonts w:ascii="Arial" w:hAnsi="Arial" w:eastAsia="Arial" w:cs="Arial"/>
          <w:noProof w:val="0"/>
          <w:color w:val="0E101A"/>
          <w:sz w:val="22"/>
          <w:szCs w:val="22"/>
          <w:lang w:val="en-GB"/>
        </w:rPr>
        <w:t>Yirmibesoglu</w:t>
      </w:r>
      <w:r w:rsidRPr="4AF775A2" w:rsidR="23B4F052">
        <w:rPr>
          <w:rFonts w:ascii="Arial" w:hAnsi="Arial" w:eastAsia="Arial" w:cs="Arial"/>
          <w:noProof w:val="0"/>
          <w:color w:val="0E101A"/>
          <w:sz w:val="22"/>
          <w:szCs w:val="22"/>
          <w:lang w:val="en-GB"/>
        </w:rPr>
        <w:t>, 2024)</w:t>
      </w:r>
      <w:r w:rsidRPr="4AF775A2" w:rsidR="1B644951">
        <w:rPr>
          <w:rFonts w:ascii="Arial" w:hAnsi="Arial" w:eastAsia="Arial" w:cs="Arial"/>
          <w:noProof w:val="0"/>
          <w:color w:val="0E101A"/>
          <w:sz w:val="22"/>
          <w:szCs w:val="22"/>
          <w:lang w:val="en-GB"/>
        </w:rPr>
        <w:t>. From a deductive standpoint, these theoretical relationships inform the development of a structured analytical lens through which the research questions are examined.</w:t>
      </w:r>
    </w:p>
    <w:p w:rsidR="034594A6" w:rsidP="4AF775A2" w:rsidRDefault="034594A6" w14:paraId="470D3AE6" w14:textId="51CCE277">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4AF775A2" w:rsidRDefault="1B644951" w14:paraId="3EAA8769" w14:textId="2AF45AC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1B644951">
        <w:rPr>
          <w:rFonts w:ascii="Arial" w:hAnsi="Arial" w:eastAsia="Arial" w:cs="Arial"/>
          <w:noProof w:val="0"/>
          <w:color w:val="0E101A"/>
          <w:sz w:val="22"/>
          <w:szCs w:val="22"/>
          <w:lang w:val="en-GB"/>
        </w:rPr>
        <w:t xml:space="preserve">In addressing Research Question 1, the study synthesises existing literature to </w:t>
      </w:r>
      <w:r w:rsidRPr="4AF775A2" w:rsidR="1B644951">
        <w:rPr>
          <w:rFonts w:ascii="Arial" w:hAnsi="Arial" w:eastAsia="Arial" w:cs="Arial"/>
          <w:noProof w:val="0"/>
          <w:color w:val="0E101A"/>
          <w:sz w:val="22"/>
          <w:szCs w:val="22"/>
          <w:lang w:val="en-GB"/>
        </w:rPr>
        <w:t>identify</w:t>
      </w:r>
      <w:r w:rsidRPr="4AF775A2" w:rsidR="1B644951">
        <w:rPr>
          <w:rFonts w:ascii="Arial" w:hAnsi="Arial" w:eastAsia="Arial" w:cs="Arial"/>
          <w:noProof w:val="0"/>
          <w:color w:val="0E101A"/>
          <w:sz w:val="22"/>
          <w:szCs w:val="22"/>
          <w:lang w:val="en-GB"/>
        </w:rPr>
        <w:t xml:space="preserve"> commonly recognised HRM practices associated with engagement and retention in skill-intensive industries.</w:t>
      </w:r>
      <w:r w:rsidRPr="4AF775A2" w:rsidR="4C84ED3B">
        <w:rPr>
          <w:rFonts w:ascii="Arial" w:hAnsi="Arial" w:eastAsia="Arial" w:cs="Arial"/>
          <w:noProof w:val="0"/>
          <w:color w:val="0E101A"/>
          <w:sz w:val="22"/>
          <w:szCs w:val="22"/>
          <w:lang w:val="en-GB"/>
        </w:rPr>
        <w:t xml:space="preserve"> </w:t>
      </w:r>
      <w:r w:rsidRPr="4AF775A2" w:rsidR="4C84ED3B">
        <w:rPr>
          <w:rFonts w:ascii="Arial" w:hAnsi="Arial" w:eastAsia="Arial" w:cs="Arial"/>
          <w:b w:val="0"/>
          <w:bCs w:val="0"/>
          <w:noProof w:val="0"/>
          <w:sz w:val="22"/>
          <w:szCs w:val="22"/>
          <w:lang w:val="en-GB"/>
        </w:rPr>
        <w:t xml:space="preserve">Thematic synthesis is particularly </w:t>
      </w:r>
      <w:r w:rsidRPr="4AF775A2" w:rsidR="4C84ED3B">
        <w:rPr>
          <w:rFonts w:ascii="Arial" w:hAnsi="Arial" w:eastAsia="Arial" w:cs="Arial"/>
          <w:b w:val="0"/>
          <w:bCs w:val="0"/>
          <w:noProof w:val="0"/>
          <w:sz w:val="22"/>
          <w:szCs w:val="22"/>
          <w:lang w:val="en-GB"/>
        </w:rPr>
        <w:t>appropriate because</w:t>
      </w:r>
      <w:r w:rsidRPr="4AF775A2" w:rsidR="4C84ED3B">
        <w:rPr>
          <w:rFonts w:ascii="Arial" w:hAnsi="Arial" w:eastAsia="Arial" w:cs="Arial"/>
          <w:b w:val="0"/>
          <w:bCs w:val="0"/>
          <w:noProof w:val="0"/>
          <w:sz w:val="22"/>
          <w:szCs w:val="22"/>
          <w:lang w:val="en-GB"/>
        </w:rPr>
        <w:t xml:space="preserve"> it </w:t>
      </w:r>
      <w:r w:rsidRPr="4AF775A2" w:rsidR="4C84ED3B">
        <w:rPr>
          <w:rFonts w:ascii="Arial" w:hAnsi="Arial" w:eastAsia="Arial" w:cs="Arial"/>
          <w:b w:val="0"/>
          <w:bCs w:val="0"/>
          <w:noProof w:val="0"/>
          <w:sz w:val="22"/>
          <w:szCs w:val="22"/>
          <w:lang w:val="en-GB"/>
        </w:rPr>
        <w:t>consolidates</w:t>
      </w:r>
      <w:r w:rsidRPr="4AF775A2" w:rsidR="4C84ED3B">
        <w:rPr>
          <w:rFonts w:ascii="Arial" w:hAnsi="Arial" w:eastAsia="Arial" w:cs="Arial"/>
          <w:b w:val="0"/>
          <w:bCs w:val="0"/>
          <w:noProof w:val="0"/>
          <w:sz w:val="22"/>
          <w:szCs w:val="22"/>
          <w:lang w:val="en-GB"/>
        </w:rPr>
        <w:t xml:space="preserve"> findings from diverse studies, </w:t>
      </w:r>
      <w:r w:rsidRPr="4AF775A2" w:rsidR="4C84ED3B">
        <w:rPr>
          <w:rFonts w:ascii="Arial" w:hAnsi="Arial" w:eastAsia="Arial" w:cs="Arial"/>
          <w:b w:val="0"/>
          <w:bCs w:val="0"/>
          <w:noProof w:val="0"/>
          <w:sz w:val="22"/>
          <w:szCs w:val="22"/>
          <w:lang w:val="en-GB"/>
        </w:rPr>
        <w:t>permitting</w:t>
      </w:r>
      <w:r w:rsidRPr="4AF775A2" w:rsidR="4C84ED3B">
        <w:rPr>
          <w:rFonts w:ascii="Arial" w:hAnsi="Arial" w:eastAsia="Arial" w:cs="Arial"/>
          <w:b w:val="0"/>
          <w:bCs w:val="0"/>
          <w:noProof w:val="0"/>
          <w:sz w:val="22"/>
          <w:szCs w:val="22"/>
          <w:lang w:val="en-GB"/>
        </w:rPr>
        <w:t xml:space="preserve"> the development of an extensive understanding of the topic (Snyder, 2019), guided by a six-step approach to knowledge synthesis to ensure analytical rigour and transparency (Barry, </w:t>
      </w:r>
      <w:r w:rsidRPr="4AF775A2" w:rsidR="4C84ED3B">
        <w:rPr>
          <w:rFonts w:ascii="Arial" w:hAnsi="Arial" w:eastAsia="Arial" w:cs="Arial"/>
          <w:b w:val="0"/>
          <w:bCs w:val="0"/>
          <w:noProof w:val="0"/>
          <w:sz w:val="22"/>
          <w:szCs w:val="22"/>
          <w:lang w:val="en-GB"/>
        </w:rPr>
        <w:t>Merkebu</w:t>
      </w:r>
      <w:r w:rsidRPr="4AF775A2" w:rsidR="4C84ED3B">
        <w:rPr>
          <w:rFonts w:ascii="Arial" w:hAnsi="Arial" w:eastAsia="Arial" w:cs="Arial"/>
          <w:b w:val="0"/>
          <w:bCs w:val="0"/>
          <w:noProof w:val="0"/>
          <w:sz w:val="22"/>
          <w:szCs w:val="22"/>
          <w:lang w:val="en-GB"/>
        </w:rPr>
        <w:t xml:space="preserve"> and </w:t>
      </w:r>
      <w:r w:rsidRPr="4AF775A2" w:rsidR="4C84ED3B">
        <w:rPr>
          <w:rFonts w:ascii="Arial" w:hAnsi="Arial" w:eastAsia="Arial" w:cs="Arial"/>
          <w:b w:val="0"/>
          <w:bCs w:val="0"/>
          <w:noProof w:val="0"/>
          <w:sz w:val="22"/>
          <w:szCs w:val="22"/>
          <w:lang w:val="en-GB"/>
        </w:rPr>
        <w:t>Varpio</w:t>
      </w:r>
      <w:r w:rsidRPr="4AF775A2" w:rsidR="4C84ED3B">
        <w:rPr>
          <w:rFonts w:ascii="Arial" w:hAnsi="Arial" w:eastAsia="Arial" w:cs="Arial"/>
          <w:b w:val="0"/>
          <w:bCs w:val="0"/>
          <w:noProof w:val="0"/>
          <w:sz w:val="22"/>
          <w:szCs w:val="22"/>
          <w:lang w:val="en-GB"/>
        </w:rPr>
        <w:t xml:space="preserve">, 2022). The six steps include 1- defining the research question, 2- </w:t>
      </w:r>
      <w:r w:rsidRPr="4AF775A2" w:rsidR="4C84ED3B">
        <w:rPr>
          <w:rFonts w:ascii="Arial" w:hAnsi="Arial" w:eastAsia="Arial" w:cs="Arial"/>
          <w:b w:val="0"/>
          <w:bCs w:val="0"/>
          <w:noProof w:val="0"/>
          <w:sz w:val="22"/>
          <w:szCs w:val="22"/>
          <w:lang w:val="en-GB"/>
        </w:rPr>
        <w:t>identifying</w:t>
      </w:r>
      <w:r w:rsidRPr="4AF775A2" w:rsidR="4C84ED3B">
        <w:rPr>
          <w:rFonts w:ascii="Arial" w:hAnsi="Arial" w:eastAsia="Arial" w:cs="Arial"/>
          <w:b w:val="0"/>
          <w:bCs w:val="0"/>
          <w:noProof w:val="0"/>
          <w:sz w:val="22"/>
          <w:szCs w:val="22"/>
          <w:lang w:val="en-GB"/>
        </w:rPr>
        <w:t xml:space="preserve"> relevant literature, 3- selecting studies based on inclusion criteria, 4-Critically appraising studies, 5- synthesising findings through thematic analysis, and 6- presenting results in a coherent analytical framework. In doing so, patterns in HRM in highly skilled sectors can be </w:t>
      </w:r>
      <w:r w:rsidRPr="4AF775A2" w:rsidR="4C84ED3B">
        <w:rPr>
          <w:rFonts w:ascii="Arial" w:hAnsi="Arial" w:eastAsia="Arial" w:cs="Arial"/>
          <w:b w:val="0"/>
          <w:bCs w:val="0"/>
          <w:noProof w:val="0"/>
          <w:sz w:val="22"/>
          <w:szCs w:val="22"/>
          <w:lang w:val="en-GB"/>
        </w:rPr>
        <w:t>established</w:t>
      </w:r>
      <w:r w:rsidRPr="4AF775A2" w:rsidR="4C84ED3B">
        <w:rPr>
          <w:rFonts w:ascii="Arial" w:hAnsi="Arial" w:eastAsia="Arial" w:cs="Arial"/>
          <w:b w:val="0"/>
          <w:bCs w:val="0"/>
          <w:noProof w:val="0"/>
          <w:sz w:val="22"/>
          <w:szCs w:val="22"/>
          <w:lang w:val="en-GB"/>
        </w:rPr>
        <w:t xml:space="preserve"> and analysed to support the research question.</w:t>
      </w:r>
    </w:p>
    <w:p w:rsidR="1B644951" w:rsidP="4AF775A2" w:rsidRDefault="1B644951" w14:paraId="0FE66D51" w14:textId="1E8DA342">
      <w:pPr>
        <w:bidi w:val="0"/>
        <w:spacing w:before="0" w:beforeAutospacing="off" w:after="0" w:afterAutospacing="off" w:line="360" w:lineRule="auto"/>
        <w:jc w:val="both"/>
        <w:rPr>
          <w:rFonts w:ascii="Arial" w:hAnsi="Arial" w:eastAsia="Arial" w:cs="Arial"/>
          <w:noProof w:val="0"/>
          <w:color w:val="0E101A"/>
          <w:sz w:val="22"/>
          <w:szCs w:val="22"/>
          <w:lang w:val="en-GB"/>
        </w:rPr>
      </w:pPr>
      <w:r w:rsidRPr="4AF775A2" w:rsidR="1B644951">
        <w:rPr>
          <w:rFonts w:ascii="Arial" w:hAnsi="Arial" w:eastAsia="Arial" w:cs="Arial"/>
          <w:noProof w:val="0"/>
          <w:color w:val="0E101A"/>
          <w:sz w:val="22"/>
          <w:szCs w:val="22"/>
          <w:lang w:val="en-GB"/>
        </w:rPr>
        <w:t xml:space="preserve"> This stage reinforces the theoretical propositions derived from the literature, </w:t>
      </w:r>
      <w:r w:rsidRPr="4AF775A2" w:rsidR="1B644951">
        <w:rPr>
          <w:rFonts w:ascii="Arial" w:hAnsi="Arial" w:eastAsia="Arial" w:cs="Arial"/>
          <w:noProof w:val="0"/>
          <w:color w:val="0E101A"/>
          <w:sz w:val="22"/>
          <w:szCs w:val="22"/>
          <w:lang w:val="en-GB"/>
        </w:rPr>
        <w:t>establishing</w:t>
      </w:r>
      <w:r w:rsidRPr="4AF775A2" w:rsidR="1B644951">
        <w:rPr>
          <w:rFonts w:ascii="Arial" w:hAnsi="Arial" w:eastAsia="Arial" w:cs="Arial"/>
          <w:noProof w:val="0"/>
          <w:color w:val="0E101A"/>
          <w:sz w:val="22"/>
          <w:szCs w:val="22"/>
          <w:lang w:val="en-GB"/>
        </w:rPr>
        <w:t xml:space="preserve"> a foundation for </w:t>
      </w:r>
      <w:r w:rsidRPr="4AF775A2" w:rsidR="1B644951">
        <w:rPr>
          <w:rFonts w:ascii="Arial" w:hAnsi="Arial" w:eastAsia="Arial" w:cs="Arial"/>
          <w:noProof w:val="0"/>
          <w:color w:val="0E101A"/>
          <w:sz w:val="22"/>
          <w:szCs w:val="22"/>
          <w:lang w:val="en-GB"/>
        </w:rPr>
        <w:t>subsequent</w:t>
      </w:r>
      <w:r w:rsidRPr="4AF775A2" w:rsidR="1B644951">
        <w:rPr>
          <w:rFonts w:ascii="Arial" w:hAnsi="Arial" w:eastAsia="Arial" w:cs="Arial"/>
          <w:noProof w:val="0"/>
          <w:color w:val="0E101A"/>
          <w:sz w:val="22"/>
          <w:szCs w:val="22"/>
          <w:lang w:val="en-GB"/>
        </w:rPr>
        <w:t xml:space="preserve"> analysis. The deductive approach is further applied in Research Questions 2 and 3, where these theoretical insights are used to evaluate </w:t>
      </w:r>
      <w:r w:rsidRPr="4AF775A2" w:rsidR="1B644951">
        <w:rPr>
          <w:rFonts w:ascii="Arial" w:hAnsi="Arial" w:eastAsia="Arial" w:cs="Arial"/>
          <w:noProof w:val="0"/>
          <w:color w:val="0E101A"/>
          <w:sz w:val="22"/>
          <w:szCs w:val="22"/>
          <w:u w:val="none"/>
          <w:lang w:val="en-GB"/>
        </w:rPr>
        <w:t>easyJet</w:t>
      </w:r>
      <w:r w:rsidRPr="4AF775A2" w:rsidR="1B644951">
        <w:rPr>
          <w:rFonts w:ascii="Arial" w:hAnsi="Arial" w:eastAsia="Arial" w:cs="Arial"/>
          <w:noProof w:val="0"/>
          <w:color w:val="0E101A"/>
          <w:sz w:val="22"/>
          <w:szCs w:val="22"/>
          <w:u w:val="none"/>
          <w:lang w:val="en-GB"/>
        </w:rPr>
        <w:t>’s</w:t>
      </w:r>
      <w:r w:rsidRPr="4AF775A2" w:rsidR="1B644951">
        <w:rPr>
          <w:rFonts w:ascii="Arial" w:hAnsi="Arial" w:eastAsia="Arial" w:cs="Arial"/>
          <w:noProof w:val="0"/>
          <w:color w:val="0E101A"/>
          <w:sz w:val="22"/>
          <w:szCs w:val="22"/>
          <w:lang w:val="en-GB"/>
        </w:rPr>
        <w:t xml:space="preserve"> publicly reported HRM practices. Specifically, the study examines whether the organisation’s practices align with theoretically supported drivers of engagement and retention, and how their effectiveness may be shaped by operational and strategic constraints inherent in the low-cost airline model.</w:t>
      </w:r>
    </w:p>
    <w:p w:rsidR="034594A6" w:rsidP="4AF775A2" w:rsidRDefault="034594A6" w14:paraId="33B4F94C" w14:textId="51839AC6">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4AF775A2" w:rsidRDefault="1B644951" w14:paraId="3A79B6F9" w14:textId="1C0B2E59">
      <w:pPr>
        <w:bidi w:val="0"/>
        <w:spacing w:before="0" w:beforeAutospacing="off" w:after="0" w:afterAutospacing="off" w:line="360" w:lineRule="auto"/>
        <w:jc w:val="both"/>
        <w:rPr>
          <w:rFonts w:ascii="Arial" w:hAnsi="Arial" w:eastAsia="Arial" w:cs="Arial"/>
          <w:noProof w:val="0"/>
          <w:color w:val="0E101A"/>
          <w:sz w:val="22"/>
          <w:szCs w:val="22"/>
          <w:lang w:val="en-GB"/>
        </w:rPr>
      </w:pPr>
      <w:r w:rsidRPr="4AF775A2" w:rsidR="1B644951">
        <w:rPr>
          <w:rFonts w:ascii="Arial" w:hAnsi="Arial" w:eastAsia="Arial" w:cs="Arial"/>
          <w:noProof w:val="0"/>
          <w:color w:val="0E101A"/>
          <w:sz w:val="22"/>
          <w:szCs w:val="22"/>
          <w:lang w:val="en-GB"/>
        </w:rPr>
        <w:t xml:space="preserve">This approach enables a systematic comparison between theoretical expectations and </w:t>
      </w:r>
      <w:r w:rsidRPr="4AF775A2" w:rsidR="1B644951">
        <w:rPr>
          <w:rFonts w:ascii="Arial" w:hAnsi="Arial" w:eastAsia="Arial" w:cs="Arial"/>
          <w:noProof w:val="0"/>
          <w:color w:val="0E101A"/>
          <w:sz w:val="22"/>
          <w:szCs w:val="22"/>
          <w:lang w:val="en-GB"/>
        </w:rPr>
        <w:t>observed</w:t>
      </w:r>
      <w:r w:rsidRPr="4AF775A2" w:rsidR="1B644951">
        <w:rPr>
          <w:rFonts w:ascii="Arial" w:hAnsi="Arial" w:eastAsia="Arial" w:cs="Arial"/>
          <w:noProof w:val="0"/>
          <w:color w:val="0E101A"/>
          <w:sz w:val="22"/>
          <w:szCs w:val="22"/>
          <w:lang w:val="en-GB"/>
        </w:rPr>
        <w:t xml:space="preserve"> organisational practices, allowing for the identification of consistencies, gaps, and contextual limitations</w:t>
      </w:r>
      <w:r w:rsidRPr="4AF775A2" w:rsidR="1B644951">
        <w:rPr>
          <w:rFonts w:ascii="Arial" w:hAnsi="Arial" w:eastAsia="Arial" w:cs="Arial"/>
          <w:noProof w:val="0"/>
          <w:color w:val="0E101A"/>
          <w:sz w:val="22"/>
          <w:szCs w:val="22"/>
          <w:lang w:val="en-GB"/>
        </w:rPr>
        <w:t xml:space="preserve">. For example, while theory may predict that investment in training and career development enhances retention, the analysis considers whether such practices are </w:t>
      </w:r>
      <w:r w:rsidRPr="4AF775A2" w:rsidR="1B644951">
        <w:rPr>
          <w:rFonts w:ascii="Arial" w:hAnsi="Arial" w:eastAsia="Arial" w:cs="Arial"/>
          <w:noProof w:val="0"/>
          <w:color w:val="0E101A"/>
          <w:sz w:val="22"/>
          <w:szCs w:val="22"/>
          <w:lang w:val="en-GB"/>
        </w:rPr>
        <w:t>feasible</w:t>
      </w:r>
      <w:r w:rsidRPr="4AF775A2" w:rsidR="1B644951">
        <w:rPr>
          <w:rFonts w:ascii="Arial" w:hAnsi="Arial" w:eastAsia="Arial" w:cs="Arial"/>
          <w:noProof w:val="0"/>
          <w:color w:val="0E101A"/>
          <w:sz w:val="22"/>
          <w:szCs w:val="22"/>
          <w:lang w:val="en-GB"/>
        </w:rPr>
        <w:t xml:space="preserve"> within cost-driven business models and how this affects their implementation and outcomes.</w:t>
      </w:r>
    </w:p>
    <w:p w:rsidR="034594A6" w:rsidP="4AF775A2" w:rsidRDefault="034594A6" w14:paraId="66776695" w14:textId="18A8AA7A">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4AF775A2" w:rsidRDefault="1B644951" w14:paraId="1A44C8F0" w14:textId="7AFF2EA5">
      <w:pPr>
        <w:bidi w:val="0"/>
        <w:spacing w:before="0" w:beforeAutospacing="off" w:after="0" w:afterAutospacing="off" w:line="360" w:lineRule="auto"/>
        <w:jc w:val="both"/>
        <w:rPr>
          <w:rFonts w:ascii="Arial" w:hAnsi="Arial" w:eastAsia="Arial" w:cs="Arial"/>
          <w:noProof w:val="0"/>
          <w:color w:val="0E101A"/>
          <w:sz w:val="22"/>
          <w:szCs w:val="22"/>
          <w:lang w:val="en-GB"/>
        </w:rPr>
      </w:pPr>
      <w:r w:rsidRPr="4AF775A2" w:rsidR="1B644951">
        <w:rPr>
          <w:rFonts w:ascii="Arial" w:hAnsi="Arial" w:eastAsia="Arial" w:cs="Arial"/>
          <w:noProof w:val="0"/>
          <w:color w:val="0E101A"/>
          <w:sz w:val="22"/>
          <w:szCs w:val="22"/>
          <w:lang w:val="en-GB"/>
        </w:rPr>
        <w:t>The use of a deductive approach is justified for several reasons. Firstly, the research is theory-driven, aiming to apply and evaluate established frameworks rather than generate entirely new theory</w:t>
      </w:r>
      <w:r w:rsidRPr="4AF775A2" w:rsidR="5455DE25">
        <w:rPr>
          <w:rFonts w:ascii="Arial" w:hAnsi="Arial" w:eastAsia="Arial" w:cs="Arial"/>
          <w:noProof w:val="0"/>
          <w:color w:val="0E101A"/>
          <w:sz w:val="22"/>
          <w:szCs w:val="22"/>
          <w:lang w:val="en-GB"/>
        </w:rPr>
        <w:t xml:space="preserve"> (Saunders</w:t>
      </w:r>
      <w:r w:rsidRPr="4AF775A2" w:rsidR="6A383E11">
        <w:rPr>
          <w:rFonts w:ascii="Arial" w:hAnsi="Arial" w:eastAsia="Arial" w:cs="Arial"/>
          <w:noProof w:val="0"/>
          <w:color w:val="0E101A"/>
          <w:sz w:val="22"/>
          <w:szCs w:val="22"/>
          <w:lang w:val="en-GB"/>
        </w:rPr>
        <w:t>, Lewis &amp; Thornhill</w:t>
      </w:r>
      <w:r w:rsidRPr="4AF775A2" w:rsidR="5455DE25">
        <w:rPr>
          <w:rFonts w:ascii="Arial" w:hAnsi="Arial" w:eastAsia="Arial" w:cs="Arial"/>
          <w:noProof w:val="0"/>
          <w:color w:val="0E101A"/>
          <w:sz w:val="22"/>
          <w:szCs w:val="22"/>
          <w:lang w:val="en-GB"/>
        </w:rPr>
        <w:t>, 2019)</w:t>
      </w:r>
      <w:r w:rsidRPr="4AF775A2" w:rsidR="1B644951">
        <w:rPr>
          <w:rFonts w:ascii="Arial" w:hAnsi="Arial" w:eastAsia="Arial" w:cs="Arial"/>
          <w:noProof w:val="0"/>
          <w:color w:val="0E101A"/>
          <w:sz w:val="22"/>
          <w:szCs w:val="22"/>
          <w:lang w:val="en-GB"/>
        </w:rPr>
        <w:t>. Secondly, it provides a clear and structured method for analysing complex relationships between HRM practices and employee outcomes. Thirdly, it enhances the analytical rigour of the study by grounding interpretations in well-established academic literature.</w:t>
      </w:r>
    </w:p>
    <w:p w:rsidR="034594A6" w:rsidP="4AF775A2" w:rsidRDefault="034594A6" w14:paraId="74D3C8E1" w14:textId="79485D33">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4AF775A2" w:rsidRDefault="1B644951" w14:paraId="13096511" w14:textId="61C80BFB">
      <w:pPr>
        <w:bidi w:val="0"/>
        <w:spacing w:before="0" w:beforeAutospacing="off" w:after="0" w:afterAutospacing="off" w:line="360" w:lineRule="auto"/>
        <w:jc w:val="both"/>
        <w:rPr>
          <w:rFonts w:ascii="Arial" w:hAnsi="Arial" w:eastAsia="Arial" w:cs="Arial"/>
          <w:noProof w:val="0"/>
          <w:color w:val="0E101A"/>
          <w:sz w:val="22"/>
          <w:szCs w:val="22"/>
          <w:lang w:val="en-GB"/>
        </w:rPr>
      </w:pPr>
      <w:r w:rsidRPr="4AF775A2" w:rsidR="1B644951">
        <w:rPr>
          <w:rFonts w:ascii="Arial" w:hAnsi="Arial" w:eastAsia="Arial" w:cs="Arial"/>
          <w:noProof w:val="0"/>
          <w:color w:val="0E101A"/>
          <w:sz w:val="22"/>
          <w:szCs w:val="22"/>
          <w:lang w:val="en-GB"/>
        </w:rPr>
        <w:t>However, the deductive approach is not without limitations. It may constrain the analysis by prioritising existing theoretical constructs, potentially overlooking novel or context-specific insights</w:t>
      </w:r>
      <w:r w:rsidRPr="4AF775A2" w:rsidR="52992C0A">
        <w:rPr>
          <w:rFonts w:ascii="Arial" w:hAnsi="Arial" w:eastAsia="Arial" w:cs="Arial"/>
          <w:noProof w:val="0"/>
          <w:color w:val="0E101A"/>
          <w:sz w:val="22"/>
          <w:szCs w:val="22"/>
          <w:lang w:val="en-GB"/>
        </w:rPr>
        <w:t xml:space="preserve"> (Mason et al., 2018)</w:t>
      </w:r>
      <w:r w:rsidRPr="4AF775A2" w:rsidR="1B644951">
        <w:rPr>
          <w:rFonts w:ascii="Arial" w:hAnsi="Arial" w:eastAsia="Arial" w:cs="Arial"/>
          <w:noProof w:val="0"/>
          <w:color w:val="0E101A"/>
          <w:sz w:val="22"/>
          <w:szCs w:val="22"/>
          <w:lang w:val="en-GB"/>
        </w:rPr>
        <w:t xml:space="preserve">. Additionally, the reliance on secondary data limits the ability to directly test causal relationships, meaning that conclusions are based on inferred rather than </w:t>
      </w:r>
      <w:r w:rsidRPr="4AF775A2" w:rsidR="1B644951">
        <w:rPr>
          <w:rFonts w:ascii="Arial" w:hAnsi="Arial" w:eastAsia="Arial" w:cs="Arial"/>
          <w:noProof w:val="0"/>
          <w:color w:val="0E101A"/>
          <w:sz w:val="22"/>
          <w:szCs w:val="22"/>
          <w:lang w:val="en-GB"/>
        </w:rPr>
        <w:t>observed</w:t>
      </w:r>
      <w:r w:rsidRPr="4AF775A2" w:rsidR="1B644951">
        <w:rPr>
          <w:rFonts w:ascii="Arial" w:hAnsi="Arial" w:eastAsia="Arial" w:cs="Arial"/>
          <w:noProof w:val="0"/>
          <w:color w:val="0E101A"/>
          <w:sz w:val="22"/>
          <w:szCs w:val="22"/>
          <w:lang w:val="en-GB"/>
        </w:rPr>
        <w:t xml:space="preserve"> employee experiences. Despite these limitations, the deductive approach remains </w:t>
      </w:r>
      <w:r w:rsidRPr="4AF775A2" w:rsidR="1B644951">
        <w:rPr>
          <w:rFonts w:ascii="Arial" w:hAnsi="Arial" w:eastAsia="Arial" w:cs="Arial"/>
          <w:noProof w:val="0"/>
          <w:color w:val="0E101A"/>
          <w:sz w:val="22"/>
          <w:szCs w:val="22"/>
          <w:lang w:val="en-GB"/>
        </w:rPr>
        <w:t>appropriate given</w:t>
      </w:r>
      <w:r w:rsidRPr="4AF775A2" w:rsidR="1B644951">
        <w:rPr>
          <w:rFonts w:ascii="Arial" w:hAnsi="Arial" w:eastAsia="Arial" w:cs="Arial"/>
          <w:noProof w:val="0"/>
          <w:color w:val="0E101A"/>
          <w:sz w:val="22"/>
          <w:szCs w:val="22"/>
          <w:lang w:val="en-GB"/>
        </w:rPr>
        <w:t xml:space="preserve"> the study’s </w:t>
      </w:r>
      <w:r w:rsidRPr="4AF775A2" w:rsidR="1B644951">
        <w:rPr>
          <w:rFonts w:ascii="Arial" w:hAnsi="Arial" w:eastAsia="Arial" w:cs="Arial"/>
          <w:noProof w:val="0"/>
          <w:color w:val="0E101A"/>
          <w:sz w:val="22"/>
          <w:szCs w:val="22"/>
          <w:lang w:val="en-GB"/>
        </w:rPr>
        <w:t>objectives</w:t>
      </w:r>
      <w:r w:rsidRPr="4AF775A2" w:rsidR="1B644951">
        <w:rPr>
          <w:rFonts w:ascii="Arial" w:hAnsi="Arial" w:eastAsia="Arial" w:cs="Arial"/>
          <w:noProof w:val="0"/>
          <w:color w:val="0E101A"/>
          <w:sz w:val="22"/>
          <w:szCs w:val="22"/>
          <w:lang w:val="en-GB"/>
        </w:rPr>
        <w:t xml:space="preserve"> and its focus on evaluating theory within a specific organisational context.</w:t>
      </w:r>
    </w:p>
    <w:p w:rsidR="034594A6" w:rsidP="4AF775A2" w:rsidRDefault="034594A6" w14:paraId="3485500E" w14:textId="683DA36E">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4AF775A2" w:rsidRDefault="1B644951" w14:paraId="0C918451" w14:textId="1F77287C">
      <w:pPr>
        <w:bidi w:val="0"/>
        <w:spacing w:before="0" w:beforeAutospacing="off" w:after="0" w:afterAutospacing="off" w:line="360" w:lineRule="auto"/>
        <w:jc w:val="both"/>
        <w:rPr>
          <w:rFonts w:ascii="Arial" w:hAnsi="Arial" w:eastAsia="Arial" w:cs="Arial"/>
          <w:noProof w:val="0"/>
          <w:color w:val="0E101A"/>
          <w:sz w:val="22"/>
          <w:szCs w:val="22"/>
          <w:lang w:val="en-GB"/>
        </w:rPr>
      </w:pPr>
      <w:r w:rsidRPr="4AF775A2" w:rsidR="1B644951">
        <w:rPr>
          <w:rFonts w:ascii="Arial" w:hAnsi="Arial" w:eastAsia="Arial" w:cs="Arial"/>
          <w:noProof w:val="0"/>
          <w:color w:val="0E101A"/>
          <w:sz w:val="22"/>
          <w:szCs w:val="22"/>
          <w:lang w:val="en-GB"/>
        </w:rPr>
        <w:t xml:space="preserve">Overall, the deductive research approach provides a coherent and theoretically grounded framework for analysing the relationship between HRM practices, pilot engagement, and retention, while enabling critical evaluation of how these relationships </w:t>
      </w:r>
      <w:r w:rsidRPr="4AF775A2" w:rsidR="1B644951">
        <w:rPr>
          <w:rFonts w:ascii="Arial" w:hAnsi="Arial" w:eastAsia="Arial" w:cs="Arial"/>
          <w:noProof w:val="0"/>
          <w:color w:val="0E101A"/>
          <w:sz w:val="22"/>
          <w:szCs w:val="22"/>
          <w:lang w:val="en-GB"/>
        </w:rPr>
        <w:t>operate</w:t>
      </w:r>
      <w:r w:rsidRPr="4AF775A2" w:rsidR="1B644951">
        <w:rPr>
          <w:rFonts w:ascii="Arial" w:hAnsi="Arial" w:eastAsia="Arial" w:cs="Arial"/>
          <w:noProof w:val="0"/>
          <w:color w:val="0E101A"/>
          <w:sz w:val="22"/>
          <w:szCs w:val="22"/>
          <w:lang w:val="en-GB"/>
        </w:rPr>
        <w:t xml:space="preserve"> within the constraints of the low-cost airline industry.</w:t>
      </w:r>
    </w:p>
    <w:p w:rsidR="034594A6" w:rsidP="4AF775A2" w:rsidRDefault="034594A6" w14:paraId="19B5B805" w14:textId="4729D318">
      <w:pPr>
        <w:bidi w:val="0"/>
        <w:spacing w:before="120" w:beforeAutospacing="off" w:after="120" w:afterAutospacing="off" w:line="360" w:lineRule="auto"/>
        <w:jc w:val="both"/>
        <w:rPr>
          <w:rFonts w:ascii="Arial" w:hAnsi="Arial" w:eastAsia="Arial" w:cs="Arial"/>
          <w:b w:val="0"/>
          <w:bCs w:val="0"/>
          <w:noProof w:val="0"/>
          <w:sz w:val="22"/>
          <w:szCs w:val="22"/>
          <w:lang w:val="en-GB"/>
        </w:rPr>
      </w:pPr>
    </w:p>
    <w:p w:rsidR="42274C1B" w:rsidP="4AF775A2" w:rsidRDefault="42274C1B" w14:paraId="5F0E6D50" w14:textId="15B2DAC3">
      <w:pPr>
        <w:pStyle w:val="Heading2"/>
        <w:bidi w:val="0"/>
        <w:spacing w:line="360" w:lineRule="auto"/>
        <w:jc w:val="both"/>
        <w:rPr>
          <w:rFonts w:ascii="Arial" w:hAnsi="Arial" w:eastAsia="Arial" w:cs="Arial"/>
          <w:b w:val="0"/>
          <w:bCs w:val="0"/>
          <w:noProof w:val="0"/>
          <w:sz w:val="22"/>
          <w:szCs w:val="22"/>
          <w:lang w:val="en-GB"/>
        </w:rPr>
      </w:pPr>
      <w:bookmarkStart w:name="_Toc1343744692" w:id="1884925412"/>
      <w:r w:rsidRPr="4AF775A2" w:rsidR="42274C1B">
        <w:rPr>
          <w:rFonts w:ascii="Arial" w:hAnsi="Arial" w:eastAsia="Arial" w:cs="Arial"/>
          <w:noProof w:val="0"/>
          <w:sz w:val="22"/>
          <w:szCs w:val="22"/>
          <w:lang w:val="en-GB"/>
        </w:rPr>
        <w:t>Data Collection Methods</w:t>
      </w:r>
      <w:bookmarkEnd w:id="1884925412"/>
    </w:p>
    <w:p w:rsidR="42274C1B" w:rsidP="4AF775A2" w:rsidRDefault="42274C1B" w14:paraId="77243BAE" w14:textId="4F04656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The research relies exclusively on secondary data, collected from two primary sources: academic literature and publicly available organisational data.</w:t>
      </w:r>
    </w:p>
    <w:p w:rsidR="42274C1B" w:rsidP="4AF775A2" w:rsidRDefault="42274C1B" w14:paraId="262E2434" w14:textId="540CC020">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Style w:val="Heading2Char"/>
          <w:rFonts w:ascii="Arial" w:hAnsi="Arial" w:eastAsia="Arial" w:cs="Arial"/>
          <w:noProof w:val="0"/>
          <w:sz w:val="22"/>
          <w:szCs w:val="22"/>
          <w:lang w:val="en-GB"/>
        </w:rPr>
        <w:t xml:space="preserve"> </w:t>
      </w:r>
      <w:bookmarkStart w:name="_Toc1401667942" w:id="489482364"/>
      <w:r w:rsidRPr="4AF775A2" w:rsidR="42274C1B">
        <w:rPr>
          <w:rStyle w:val="Heading2Char"/>
          <w:rFonts w:ascii="Arial" w:hAnsi="Arial" w:eastAsia="Arial" w:cs="Arial"/>
          <w:noProof w:val="0"/>
          <w:sz w:val="22"/>
          <w:szCs w:val="22"/>
          <w:lang w:val="en-GB"/>
        </w:rPr>
        <w:t>Academic and Industry Literature</w:t>
      </w:r>
      <w:bookmarkEnd w:id="489482364"/>
    </w:p>
    <w:p w:rsidR="42274C1B" w:rsidP="4AF775A2" w:rsidRDefault="42274C1B" w14:paraId="5FDC3708" w14:textId="49556140">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To address Research Question 1, a systematic search of academic repositories, including Google Scholar, Scopus, and Web of Science, was conducted. Keywords included “HRM practices,” “employee engagement,” “retention,” “aviation industry,”</w:t>
      </w:r>
      <w:r w:rsidRPr="4AF775A2" w:rsidR="089BD9A6">
        <w:rPr>
          <w:rFonts w:ascii="Arial" w:hAnsi="Arial" w:eastAsia="Arial" w:cs="Arial"/>
          <w:b w:val="0"/>
          <w:bCs w:val="0"/>
          <w:noProof w:val="0"/>
          <w:sz w:val="22"/>
          <w:szCs w:val="22"/>
          <w:lang w:val="en-GB"/>
        </w:rPr>
        <w:t xml:space="preserve"> “High-Performance work systems,”</w:t>
      </w:r>
      <w:r w:rsidRPr="4AF775A2" w:rsidR="42274C1B">
        <w:rPr>
          <w:rFonts w:ascii="Arial" w:hAnsi="Arial" w:eastAsia="Arial" w:cs="Arial"/>
          <w:b w:val="0"/>
          <w:bCs w:val="0"/>
          <w:noProof w:val="0"/>
          <w:sz w:val="22"/>
          <w:szCs w:val="22"/>
          <w:lang w:val="en-GB"/>
        </w:rPr>
        <w:t xml:space="preserve"> and “pilot shortage.” Inclusion criteria were applied to ensure relevance and quality, focusing on peer-reviewed journal articles and reputable sector reports published within the last </w:t>
      </w:r>
      <w:r w:rsidRPr="4AF775A2" w:rsidR="5CC2F7C3">
        <w:rPr>
          <w:rFonts w:ascii="Arial" w:hAnsi="Arial" w:eastAsia="Arial" w:cs="Arial"/>
          <w:b w:val="0"/>
          <w:bCs w:val="0"/>
          <w:noProof w:val="0"/>
          <w:sz w:val="22"/>
          <w:szCs w:val="22"/>
          <w:lang w:val="en-GB"/>
        </w:rPr>
        <w:t xml:space="preserve">15 </w:t>
      </w:r>
      <w:r w:rsidRPr="4AF775A2" w:rsidR="42274C1B">
        <w:rPr>
          <w:rFonts w:ascii="Arial" w:hAnsi="Arial" w:eastAsia="Arial" w:cs="Arial"/>
          <w:b w:val="0"/>
          <w:bCs w:val="0"/>
          <w:noProof w:val="0"/>
          <w:sz w:val="22"/>
          <w:szCs w:val="22"/>
          <w:lang w:val="en-GB"/>
        </w:rPr>
        <w:t>years.</w:t>
      </w:r>
    </w:p>
    <w:p w:rsidR="42274C1B" w:rsidP="4AF775A2" w:rsidRDefault="42274C1B" w14:paraId="70CACAAB" w14:textId="2BE2A20F">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The use of secondary literature is justified as it enables the synthesis of a wide spectrum of perspectives and empirical findings. However, conceivable biases, including publication bias and the overrepresentation of certain geographical contexts, must be recognised.</w:t>
      </w:r>
    </w:p>
    <w:p w:rsidR="42274C1B" w:rsidP="4AF775A2" w:rsidRDefault="42274C1B" w14:paraId="4503C83D" w14:textId="3D4F7042">
      <w:pPr>
        <w:pStyle w:val="Normal"/>
        <w:bidi w:val="0"/>
        <w:spacing w:line="360" w:lineRule="auto"/>
        <w:jc w:val="both"/>
        <w:rPr>
          <w:rFonts w:ascii="Arial" w:hAnsi="Arial" w:eastAsia="Arial" w:cs="Arial"/>
          <w:b w:val="0"/>
          <w:bCs w:val="0"/>
          <w:noProof w:val="0"/>
          <w:sz w:val="22"/>
          <w:szCs w:val="22"/>
          <w:lang w:val="en-GB"/>
        </w:rPr>
      </w:pPr>
      <w:r w:rsidRPr="4AF775A2" w:rsidR="42274C1B">
        <w:rPr>
          <w:rFonts w:ascii="Arial" w:hAnsi="Arial" w:eastAsia="Arial" w:cs="Arial"/>
          <w:noProof w:val="0"/>
          <w:sz w:val="22"/>
          <w:szCs w:val="22"/>
          <w:lang w:val="en-GB"/>
        </w:rPr>
        <w:t xml:space="preserve"> </w:t>
      </w:r>
      <w:r w:rsidRPr="4AF775A2" w:rsidR="42274C1B">
        <w:rPr>
          <w:rStyle w:val="Heading2Char"/>
          <w:rFonts w:ascii="Arial" w:hAnsi="Arial" w:eastAsia="Arial" w:cs="Arial"/>
          <w:noProof w:val="0"/>
          <w:sz w:val="22"/>
          <w:szCs w:val="22"/>
          <w:lang w:val="en-GB"/>
        </w:rPr>
        <w:t>Organisational Data (easyJet Case Study)</w:t>
      </w:r>
    </w:p>
    <w:p w:rsidR="034594A6" w:rsidP="4AF775A2" w:rsidRDefault="034594A6" w14:paraId="373CEBE6" w14:textId="632B7F2D">
      <w:pPr>
        <w:bidi w:val="0"/>
        <w:spacing w:before="120" w:beforeAutospacing="off" w:after="120" w:afterAutospacing="off" w:line="360" w:lineRule="auto"/>
        <w:jc w:val="both"/>
        <w:rPr>
          <w:rFonts w:ascii="Arial" w:hAnsi="Arial" w:eastAsia="Arial" w:cs="Arial"/>
          <w:noProof w:val="0"/>
          <w:sz w:val="22"/>
          <w:szCs w:val="22"/>
          <w:lang w:val="en-GB"/>
        </w:rPr>
      </w:pPr>
      <w:r w:rsidRPr="4AF775A2" w:rsidR="6B828EB4">
        <w:rPr>
          <w:rFonts w:ascii="Arial" w:hAnsi="Arial" w:eastAsia="Arial" w:cs="Arial"/>
          <w:noProof w:val="0"/>
          <w:sz w:val="22"/>
          <w:szCs w:val="22"/>
          <w:lang w:val="en-GB"/>
        </w:rPr>
        <w:t xml:space="preserve">To address Research Questions 2 and 3, data were systematically collected from a range of publicly available sources relating to easyJet, including annual reports, sustainability and ESG disclosures, corporate website content, industry analyses, media reports, and relevant academic literature. The use of multiple data sources enables </w:t>
      </w:r>
      <w:r w:rsidRPr="4AF775A2" w:rsidR="6B828EB4">
        <w:rPr>
          <w:rFonts w:ascii="Arial" w:hAnsi="Arial" w:eastAsia="Arial" w:cs="Arial"/>
          <w:noProof w:val="0"/>
          <w:sz w:val="22"/>
          <w:szCs w:val="22"/>
          <w:lang w:val="en-GB"/>
        </w:rPr>
        <w:t>a</w:t>
      </w:r>
      <w:r w:rsidRPr="4AF775A2" w:rsidR="6B828EB4">
        <w:rPr>
          <w:rFonts w:ascii="Arial" w:hAnsi="Arial" w:eastAsia="Arial" w:cs="Arial"/>
          <w:noProof w:val="0"/>
          <w:sz w:val="22"/>
          <w:szCs w:val="22"/>
          <w:lang w:val="en-GB"/>
        </w:rPr>
        <w:t xml:space="preserve"> in-depth understanding of the organisation’s HRM practices, strategic priorities, and operational restrictions, supporting a more holistic analysis of retention dynamics. Drawing on diverse sources is consistent with recommendations for narrative synthesis, which emphasise integrating heterogeneous evidence to recognise patterns and relationships within complicated organisational contexts (</w:t>
      </w:r>
      <w:r w:rsidRPr="4AF775A2" w:rsidR="37BF6EE0">
        <w:rPr>
          <w:rFonts w:ascii="Arial" w:hAnsi="Arial" w:eastAsia="Arial" w:cs="Arial"/>
          <w:noProof w:val="0"/>
          <w:sz w:val="22"/>
          <w:szCs w:val="22"/>
          <w:lang w:val="en-GB"/>
        </w:rPr>
        <w:t>Rogers</w:t>
      </w:r>
      <w:r w:rsidRPr="4AF775A2" w:rsidR="6B828EB4">
        <w:rPr>
          <w:rFonts w:ascii="Arial" w:hAnsi="Arial" w:eastAsia="Arial" w:cs="Arial"/>
          <w:noProof w:val="0"/>
          <w:sz w:val="22"/>
          <w:szCs w:val="22"/>
          <w:lang w:val="en-GB"/>
        </w:rPr>
        <w:t xml:space="preserve"> et al., 200</w:t>
      </w:r>
      <w:r w:rsidRPr="4AF775A2" w:rsidR="1CC0554E">
        <w:rPr>
          <w:rFonts w:ascii="Arial" w:hAnsi="Arial" w:eastAsia="Arial" w:cs="Arial"/>
          <w:noProof w:val="0"/>
          <w:sz w:val="22"/>
          <w:szCs w:val="22"/>
          <w:lang w:val="en-GB"/>
        </w:rPr>
        <w:t>9</w:t>
      </w:r>
      <w:r w:rsidRPr="4AF775A2" w:rsidR="6B828EB4">
        <w:rPr>
          <w:rFonts w:ascii="Arial" w:hAnsi="Arial" w:eastAsia="Arial" w:cs="Arial"/>
          <w:noProof w:val="0"/>
          <w:sz w:val="22"/>
          <w:szCs w:val="22"/>
          <w:lang w:val="en-GB"/>
        </w:rPr>
        <w:t>; Snyder, 2019).</w:t>
      </w:r>
    </w:p>
    <w:p w:rsidR="034594A6" w:rsidP="4AF775A2" w:rsidRDefault="034594A6" w14:paraId="57FFD40E" w14:textId="6C072E28">
      <w:pPr>
        <w:bidi w:val="0"/>
        <w:spacing w:before="120" w:beforeAutospacing="off" w:after="120" w:afterAutospacing="off" w:line="360" w:lineRule="auto"/>
        <w:jc w:val="both"/>
        <w:rPr>
          <w:rFonts w:ascii="Arial" w:hAnsi="Arial" w:eastAsia="Arial" w:cs="Arial"/>
          <w:noProof w:val="0"/>
          <w:sz w:val="22"/>
          <w:szCs w:val="22"/>
          <w:lang w:val="en-GB"/>
        </w:rPr>
      </w:pPr>
      <w:r w:rsidRPr="4AF775A2" w:rsidR="6B828EB4">
        <w:rPr>
          <w:rFonts w:ascii="Arial" w:hAnsi="Arial" w:eastAsia="Arial" w:cs="Arial"/>
          <w:noProof w:val="0"/>
          <w:sz w:val="22"/>
          <w:szCs w:val="22"/>
          <w:lang w:val="en-GB"/>
        </w:rPr>
        <w:t xml:space="preserve">The dependence on publicly available data increases transparency and replicability, as all sources can be independently accessed and verified. However, this approach also introduces limitations, as such materials are often curated for external stakeholders and may present a favourable or selective representation of organisational practices. This potential bias is widely acknowledged in secondary data research, where corporate disclosures may prioritise reputational considerations over critical reflection (Snyder, 2019). To reduce this limitation, the study triangulates organisational data with academic literature and industry analyses, allowing a more balanced and critical narrative synthesis. This approach strengthens analytical rigour by guaranteeing that interpretations are not exclusively reliant on organisational self-reporting but are contextualised within more extensive empirical and theoretical perspectives (Barry, </w:t>
      </w:r>
      <w:r w:rsidRPr="4AF775A2" w:rsidR="6B828EB4">
        <w:rPr>
          <w:rFonts w:ascii="Arial" w:hAnsi="Arial" w:eastAsia="Arial" w:cs="Arial"/>
          <w:noProof w:val="0"/>
          <w:sz w:val="22"/>
          <w:szCs w:val="22"/>
          <w:lang w:val="en-GB"/>
        </w:rPr>
        <w:t>Merkebu</w:t>
      </w:r>
      <w:r w:rsidRPr="4AF775A2" w:rsidR="6B828EB4">
        <w:rPr>
          <w:rFonts w:ascii="Arial" w:hAnsi="Arial" w:eastAsia="Arial" w:cs="Arial"/>
          <w:noProof w:val="0"/>
          <w:sz w:val="22"/>
          <w:szCs w:val="22"/>
          <w:lang w:val="en-GB"/>
        </w:rPr>
        <w:t xml:space="preserve"> and </w:t>
      </w:r>
      <w:r w:rsidRPr="4AF775A2" w:rsidR="6B828EB4">
        <w:rPr>
          <w:rFonts w:ascii="Arial" w:hAnsi="Arial" w:eastAsia="Arial" w:cs="Arial"/>
          <w:noProof w:val="0"/>
          <w:sz w:val="22"/>
          <w:szCs w:val="22"/>
          <w:lang w:val="en-GB"/>
        </w:rPr>
        <w:t>Varpio</w:t>
      </w:r>
      <w:r w:rsidRPr="4AF775A2" w:rsidR="6B828EB4">
        <w:rPr>
          <w:rFonts w:ascii="Arial" w:hAnsi="Arial" w:eastAsia="Arial" w:cs="Arial"/>
          <w:noProof w:val="0"/>
          <w:sz w:val="22"/>
          <w:szCs w:val="22"/>
          <w:lang w:val="en-GB"/>
        </w:rPr>
        <w:t>, 2022).</w:t>
      </w:r>
    </w:p>
    <w:p w:rsidR="42274C1B" w:rsidP="4AF775A2" w:rsidRDefault="42274C1B" w14:paraId="046C1FA7" w14:textId="1E23E0E7">
      <w:pPr>
        <w:pStyle w:val="Heading2"/>
        <w:bidi w:val="0"/>
        <w:spacing w:line="360" w:lineRule="auto"/>
        <w:jc w:val="both"/>
        <w:rPr>
          <w:rFonts w:ascii="Arial" w:hAnsi="Arial" w:eastAsia="Arial" w:cs="Arial"/>
          <w:b w:val="0"/>
          <w:bCs w:val="0"/>
          <w:noProof w:val="0"/>
          <w:sz w:val="22"/>
          <w:szCs w:val="22"/>
          <w:lang w:val="en-GB"/>
        </w:rPr>
      </w:pPr>
      <w:bookmarkStart w:name="_Toc1297709543" w:id="1355882432"/>
      <w:r w:rsidRPr="4AF775A2" w:rsidR="42274C1B">
        <w:rPr>
          <w:rFonts w:ascii="Arial" w:hAnsi="Arial" w:eastAsia="Arial" w:cs="Arial"/>
          <w:noProof w:val="0"/>
          <w:sz w:val="22"/>
          <w:szCs w:val="22"/>
          <w:lang w:val="en-GB"/>
        </w:rPr>
        <w:t>Data Analysis Methods</w:t>
      </w:r>
      <w:bookmarkEnd w:id="1355882432"/>
    </w:p>
    <w:p w:rsidR="2A46C741" w:rsidP="4AF775A2" w:rsidRDefault="2A46C741" w14:paraId="47726948" w14:textId="6F85ABC2">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2A46C741">
        <w:rPr>
          <w:rFonts w:ascii="Arial" w:hAnsi="Arial" w:eastAsia="Arial" w:cs="Arial"/>
          <w:b w:val="0"/>
          <w:bCs w:val="0"/>
          <w:noProof w:val="0"/>
          <w:sz w:val="22"/>
          <w:szCs w:val="22"/>
          <w:lang w:val="en-GB"/>
        </w:rPr>
        <w:t>The study selection process followed a structured screening approach consistent with systematic literature review guidelines (Snyder, 2019). An initial pool of 80 sources was identified across academic databases and industry publications. After duplicates and irrelevant records were removed, 50 studies were assessed for eligibility through full-text review. Of these, 45 were selected for inclusion in the thematic synthesis based on relevance to HRM practices, employee engagement, and retention within skill-intensive industries.</w:t>
      </w:r>
    </w:p>
    <w:p w:rsidR="2A46C741" w:rsidP="4AF775A2" w:rsidRDefault="2A46C741" w14:paraId="08322F70" w14:textId="5F75F584">
      <w:pPr>
        <w:pStyle w:val="Heading2"/>
        <w:bidi w:val="0"/>
        <w:rPr>
          <w:noProof w:val="0"/>
          <w:lang w:val="en-GB"/>
        </w:rPr>
      </w:pPr>
      <w:bookmarkStart w:name="_Toc1534331984" w:id="1273806719"/>
      <w:r w:rsidRPr="4AF775A2" w:rsidR="2A46C741">
        <w:rPr>
          <w:noProof w:val="0"/>
          <w:lang w:val="en-GB"/>
        </w:rPr>
        <w:t>Study Selection Process Overview</w:t>
      </w:r>
      <w:bookmarkEnd w:id="1273806719"/>
    </w:p>
    <w:p w:rsidR="2A46C741" w:rsidP="4AF775A2" w:rsidRDefault="2A46C741" w14:paraId="72A15C58" w14:textId="498F479C">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A methodical and transparent approach was adopted for the identification, screening, and selection of literature, consistent with best practice guidance for systematic and narrative literature reviews (Snyder, 2019). This process was implemented to ensure methodological rigour, minimise selection bias, and provide a clear audit trail of source inclusion in the final analysis.</w:t>
      </w:r>
    </w:p>
    <w:p w:rsidR="2A46C741" w:rsidP="4AF775A2" w:rsidRDefault="2A46C741" w14:paraId="4803046F" w14:textId="286F038A">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Figure 3 illustrates the selection process, which follows the PRISMA (Preferred Reporting Items for Systematic Reviews and Meta-Analyses) framework. This approach enhances the transparency and replicability of the research by documenting each stage of the review process.</w:t>
      </w:r>
    </w:p>
    <w:p w:rsidR="2A46C741" w:rsidP="4AF775A2" w:rsidRDefault="2A46C741" w14:paraId="54409422" w14:textId="6D15CC36">
      <w:pPr>
        <w:pStyle w:val="Heading2"/>
        <w:bidi w:val="0"/>
        <w:rPr>
          <w:noProof w:val="0"/>
          <w:lang w:val="en-GB"/>
        </w:rPr>
      </w:pPr>
      <w:bookmarkStart w:name="_Toc735942009" w:id="1901232292"/>
      <w:r w:rsidRPr="4AF775A2" w:rsidR="2A46C741">
        <w:rPr>
          <w:noProof w:val="0"/>
          <w:lang w:val="en-GB"/>
        </w:rPr>
        <w:t>Identification of Sources</w:t>
      </w:r>
      <w:bookmarkEnd w:id="1901232292"/>
    </w:p>
    <w:p w:rsidR="2A46C741" w:rsidP="4AF775A2" w:rsidRDefault="2A46C741" w14:paraId="29B559C6" w14:textId="3BB394F2">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An initial</w:t>
      </w:r>
      <w:r w:rsidRPr="4AF775A2" w:rsidR="2A46C741">
        <w:rPr>
          <w:rFonts w:ascii="Arial" w:hAnsi="Arial" w:eastAsia="Arial" w:cs="Arial"/>
          <w:b w:val="0"/>
          <w:bCs w:val="0"/>
          <w:noProof w:val="0"/>
          <w:sz w:val="22"/>
          <w:szCs w:val="22"/>
          <w:lang w:val="en-GB"/>
        </w:rPr>
        <w:t xml:space="preserve"> pool of </w:t>
      </w:r>
      <w:r w:rsidRPr="4AF775A2" w:rsidR="2C299ADD">
        <w:rPr>
          <w:rFonts w:ascii="Arial" w:hAnsi="Arial" w:eastAsia="Arial" w:cs="Arial"/>
          <w:b w:val="0"/>
          <w:bCs w:val="0"/>
          <w:noProof w:val="0"/>
          <w:sz w:val="22"/>
          <w:szCs w:val="22"/>
          <w:lang w:val="en-GB"/>
        </w:rPr>
        <w:t>85</w:t>
      </w:r>
      <w:r w:rsidRPr="4AF775A2" w:rsidR="2A46C741">
        <w:rPr>
          <w:rFonts w:ascii="Arial" w:hAnsi="Arial" w:eastAsia="Arial" w:cs="Arial"/>
          <w:b w:val="0"/>
          <w:bCs w:val="0"/>
          <w:noProof w:val="0"/>
          <w:sz w:val="22"/>
          <w:szCs w:val="22"/>
          <w:lang w:val="en-GB"/>
        </w:rPr>
        <w:t xml:space="preserve"> records was </w:t>
      </w:r>
      <w:r w:rsidRPr="4AF775A2" w:rsidR="2A46C741">
        <w:rPr>
          <w:rFonts w:ascii="Arial" w:hAnsi="Arial" w:eastAsia="Arial" w:cs="Arial"/>
          <w:b w:val="0"/>
          <w:bCs w:val="0"/>
          <w:noProof w:val="0"/>
          <w:sz w:val="22"/>
          <w:szCs w:val="22"/>
          <w:lang w:val="en-GB"/>
        </w:rPr>
        <w:t>identified</w:t>
      </w:r>
      <w:r w:rsidRPr="4AF775A2" w:rsidR="2A46C741">
        <w:rPr>
          <w:rFonts w:ascii="Arial" w:hAnsi="Arial" w:eastAsia="Arial" w:cs="Arial"/>
          <w:b w:val="0"/>
          <w:bCs w:val="0"/>
          <w:noProof w:val="0"/>
          <w:sz w:val="22"/>
          <w:szCs w:val="22"/>
          <w:lang w:val="en-GB"/>
        </w:rPr>
        <w:t xml:space="preserve"> through a combination of academic databases and industry sources:</w:t>
      </w:r>
    </w:p>
    <w:p w:rsidR="2A46C741" w:rsidP="4AF775A2" w:rsidRDefault="2A46C741" w14:paraId="2204AE61" w14:textId="3C451429">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 xml:space="preserve">Academic databases (n = </w:t>
      </w:r>
      <w:r w:rsidRPr="4AF775A2" w:rsidR="0F5A37AC">
        <w:rPr>
          <w:rFonts w:ascii="Arial" w:hAnsi="Arial" w:eastAsia="Arial" w:cs="Arial"/>
          <w:b w:val="0"/>
          <w:bCs w:val="0"/>
          <w:noProof w:val="0"/>
          <w:sz w:val="22"/>
          <w:szCs w:val="22"/>
          <w:lang w:val="en-GB"/>
        </w:rPr>
        <w:t>70</w:t>
      </w:r>
      <w:r w:rsidRPr="4AF775A2" w:rsidR="2A46C741">
        <w:rPr>
          <w:rFonts w:ascii="Arial" w:hAnsi="Arial" w:eastAsia="Arial" w:cs="Arial"/>
          <w:b w:val="0"/>
          <w:bCs w:val="0"/>
          <w:noProof w:val="0"/>
          <w:sz w:val="22"/>
          <w:szCs w:val="22"/>
          <w:lang w:val="en-GB"/>
        </w:rPr>
        <w:t>):</w:t>
      </w:r>
    </w:p>
    <w:p w:rsidR="2A46C741" w:rsidP="4AF775A2" w:rsidRDefault="2A46C741" w14:paraId="62040F54" w14:textId="3A414AB7">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 xml:space="preserve">   Scopus, Google Scholar, ScienceDirect</w:t>
      </w:r>
    </w:p>
    <w:p w:rsidR="2A46C741" w:rsidP="4AF775A2" w:rsidRDefault="2A46C741" w14:paraId="5452BC28" w14:textId="1D97BD40">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Industry and organisational sources (n = 15):</w:t>
      </w:r>
    </w:p>
    <w:p w:rsidR="2A46C741" w:rsidP="4AF775A2" w:rsidRDefault="2A46C741" w14:paraId="354CCAD3" w14:textId="584923EA">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 xml:space="preserve">   Aviation reports, company disclosures (including easyJet annual reports), and relevant industry publications</w:t>
      </w:r>
    </w:p>
    <w:p w:rsidR="2A46C741" w:rsidP="4AF775A2" w:rsidRDefault="2A46C741" w14:paraId="6CAFCFA0" w14:textId="01809B19">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The inclusion of both academic and industry sources reflects a mixed-methods design, enabling the integration of theoretical and practical insights.</w:t>
      </w:r>
    </w:p>
    <w:p w:rsidR="2A46C741" w:rsidP="4AF775A2" w:rsidRDefault="2A46C741" w14:paraId="311CBB41" w14:textId="7A72E196">
      <w:pPr>
        <w:pStyle w:val="Heading2"/>
        <w:bidi w:val="0"/>
        <w:rPr>
          <w:noProof w:val="0"/>
          <w:lang w:val="en-GB"/>
        </w:rPr>
      </w:pPr>
      <w:bookmarkStart w:name="_Toc2110431328" w:id="1323140738"/>
      <w:r w:rsidRPr="4AF775A2" w:rsidR="2A46C741">
        <w:rPr>
          <w:noProof w:val="0"/>
          <w:lang w:val="en-GB"/>
        </w:rPr>
        <w:t>Screening Process</w:t>
      </w:r>
      <w:bookmarkEnd w:id="1323140738"/>
    </w:p>
    <w:p w:rsidR="2A46C741" w:rsidP="4AF775A2" w:rsidRDefault="2A46C741" w14:paraId="5A5C53DC" w14:textId="6C68AC5D">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Following identification, duplicate and clearly irrelevant records were removed:</w:t>
      </w:r>
    </w:p>
    <w:p w:rsidR="2A46C741" w:rsidP="4AF775A2" w:rsidRDefault="2A46C741" w14:paraId="3C07B74C" w14:textId="53BFADB6">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Duplicate records removed: n = 18</w:t>
      </w:r>
    </w:p>
    <w:p w:rsidR="2A46C741" w:rsidP="4AF775A2" w:rsidRDefault="2A46C741" w14:paraId="7230E241" w14:textId="6FE1D74E">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Irrelevant records (based on title screening): n = 2</w:t>
      </w:r>
    </w:p>
    <w:p w:rsidR="2A46C741" w:rsidP="4AF775A2" w:rsidRDefault="2A46C741" w14:paraId="69D4A8CE" w14:textId="2C7EE4AB">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This resulted in 60 records progressing to the screening stage.</w:t>
      </w:r>
    </w:p>
    <w:p w:rsidR="2A46C741" w:rsidP="4AF775A2" w:rsidRDefault="2A46C741" w14:paraId="105739B1" w14:textId="3312CCBB">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Titles and abstracts were then reviewed against the inclusion criteria, leading to the exclusion of:</w:t>
      </w:r>
    </w:p>
    <w:p w:rsidR="2A46C741" w:rsidP="4AF775A2" w:rsidRDefault="2A46C741" w14:paraId="603E28B5" w14:textId="5E127972">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Records excluded: n = 10</w:t>
      </w:r>
    </w:p>
    <w:p w:rsidR="2A46C741" w:rsidP="4AF775A2" w:rsidRDefault="2A46C741" w14:paraId="58C7FE4C" w14:textId="5EFFD966">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These were removed due to a lack of relevance to:</w:t>
      </w:r>
    </w:p>
    <w:p w:rsidR="2A46C741" w:rsidP="4AF775A2" w:rsidRDefault="2A46C741" w14:paraId="022F39DC" w14:textId="15863477">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Human Resource Management</w:t>
      </w:r>
    </w:p>
    <w:p w:rsidR="2A46C741" w:rsidP="4AF775A2" w:rsidRDefault="2A46C741" w14:paraId="265431FC" w14:textId="4C43054A">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Employee engagement or retention</w:t>
      </w:r>
    </w:p>
    <w:p w:rsidR="2A46C741" w:rsidP="4AF775A2" w:rsidRDefault="2A46C741" w14:paraId="79787943" w14:textId="4758E88F">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Skill-intensive industries</w:t>
      </w:r>
    </w:p>
    <w:p w:rsidR="2A46C741" w:rsidP="4AF775A2" w:rsidRDefault="2A46C741" w14:paraId="63318F29" w14:textId="2A1F4421">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This stage resulted in 50 studies being retained for full-text review.</w:t>
      </w:r>
    </w:p>
    <w:p w:rsidR="2A46C741" w:rsidP="4AF775A2" w:rsidRDefault="2A46C741" w14:paraId="2104EBF8" w14:textId="113D28E2">
      <w:pPr>
        <w:pStyle w:val="Heading2"/>
        <w:bidi w:val="0"/>
        <w:rPr>
          <w:noProof w:val="0"/>
          <w:lang w:val="en-GB"/>
        </w:rPr>
      </w:pPr>
      <w:bookmarkStart w:name="_Toc1124420836" w:id="1422098495"/>
      <w:r w:rsidRPr="4AF775A2" w:rsidR="2A46C741">
        <w:rPr>
          <w:noProof w:val="0"/>
          <w:lang w:val="en-GB"/>
        </w:rPr>
        <w:t>Eligibility Assessment</w:t>
      </w:r>
      <w:bookmarkEnd w:id="1422098495"/>
    </w:p>
    <w:p w:rsidR="2A46C741" w:rsidP="4AF775A2" w:rsidRDefault="2A46C741" w14:paraId="6202E2A7" w14:textId="029C3B2B">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Full-text screening was conducted on the remaining 50 studies to assess their pertinence and methodological suitability.</w:t>
      </w:r>
    </w:p>
    <w:p w:rsidR="2A46C741" w:rsidP="4AF775A2" w:rsidRDefault="2A46C741" w14:paraId="28E448E8" w14:textId="2638B79A">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A total of 5 studies were excluded at this stage for the following reasons:</w:t>
      </w:r>
    </w:p>
    <w:p w:rsidR="2A46C741" w:rsidP="4AF775A2" w:rsidRDefault="2A46C741" w14:paraId="62D49E2B" w14:textId="38614276">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Not directly focused on employee retention (n = 2)</w:t>
      </w:r>
    </w:p>
    <w:p w:rsidR="2A46C741" w:rsidP="4AF775A2" w:rsidRDefault="2A46C741" w14:paraId="51FE9293" w14:textId="18992B52">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Not relevant to skill-intensive or comparable industries (n = 1)</w:t>
      </w:r>
    </w:p>
    <w:p w:rsidR="2A46C741" w:rsidP="4AF775A2" w:rsidRDefault="2A46C741" w14:paraId="3AF20782" w14:textId="78D641A1">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Conceptual discussion without empirical or applied relevance (n = 2)</w:t>
      </w:r>
    </w:p>
    <w:p w:rsidR="2A46C741" w:rsidP="4AF775A2" w:rsidRDefault="2A46C741" w14:paraId="2C53E504" w14:textId="044F91E9">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This process resulted in a final sample of 45 studies.</w:t>
      </w:r>
    </w:p>
    <w:p w:rsidR="2A46C741" w:rsidP="4AF775A2" w:rsidRDefault="2A46C741" w14:paraId="1D279470" w14:textId="4EB09DB3">
      <w:pPr>
        <w:pStyle w:val="Heading2"/>
        <w:bidi w:val="0"/>
        <w:rPr>
          <w:noProof w:val="0"/>
          <w:lang w:val="en-GB"/>
        </w:rPr>
      </w:pPr>
      <w:bookmarkStart w:name="_Toc8603090" w:id="1676976783"/>
      <w:r w:rsidRPr="4AF775A2" w:rsidR="2A46C741">
        <w:rPr>
          <w:noProof w:val="0"/>
          <w:lang w:val="en-GB"/>
        </w:rPr>
        <w:t>Included Studies</w:t>
      </w:r>
      <w:bookmarkEnd w:id="1676976783"/>
    </w:p>
    <w:p w:rsidR="2A46C741" w:rsidP="4AF775A2" w:rsidRDefault="2A46C741" w14:paraId="6957C924" w14:textId="2C80F7C9">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A total of 45 studies were included in the thematic synthesis. These studies formed the basis for addressing Research Question 1, supporting the identification of key HRM practices influencing employee engagement and retention.</w:t>
      </w:r>
    </w:p>
    <w:p w:rsidR="2A46C741" w:rsidP="4AF775A2" w:rsidRDefault="2A46C741" w14:paraId="582BB37F" w14:textId="5444C5C7">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The distinction between:</w:t>
      </w:r>
    </w:p>
    <w:p w:rsidR="2A46C741" w:rsidP="4AF775A2" w:rsidRDefault="2A46C741" w14:paraId="214C272D" w14:textId="228B2B7B">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50 studies in the literature review, and</w:t>
      </w:r>
    </w:p>
    <w:p w:rsidR="2A46C741" w:rsidP="4AF775A2" w:rsidRDefault="2A46C741" w14:paraId="4239BFE4" w14:textId="157EB89E">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45 studies in the thematic analysis</w:t>
      </w:r>
    </w:p>
    <w:p w:rsidR="2A46C741" w:rsidP="4AF775A2" w:rsidRDefault="2A46C741" w14:paraId="64822CDB" w14:textId="07BACBA8">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reflects the application of stricter inclusion criteria for analytical synthesis, making certain that only the most relevant and robust sources informed the findings.</w:t>
      </w:r>
    </w:p>
    <w:p w:rsidR="2A46C741" w:rsidP="4AF775A2" w:rsidRDefault="2A46C741" w14:paraId="1F2C9524" w14:textId="52393F5A">
      <w:pPr>
        <w:pStyle w:val="Heading2"/>
        <w:bidi w:val="0"/>
        <w:rPr>
          <w:noProof w:val="0"/>
          <w:lang w:val="en-GB"/>
        </w:rPr>
      </w:pPr>
      <w:bookmarkStart w:name="_Toc509803131" w:id="945565196"/>
      <w:r w:rsidRPr="4AF775A2" w:rsidR="2A46C741">
        <w:rPr>
          <w:noProof w:val="0"/>
          <w:lang w:val="en-GB"/>
        </w:rPr>
        <w:t>Integration with Case Study Data</w:t>
      </w:r>
      <w:bookmarkEnd w:id="945565196"/>
    </w:p>
    <w:p w:rsidR="2A46C741" w:rsidP="4AF775A2" w:rsidRDefault="2A46C741" w14:paraId="6D55C996" w14:textId="45FD786C">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In addition to academic literature, the study incorporated secondary organisational data for the narrative synthesis (Research Questions 2 and 3), including:</w:t>
      </w:r>
    </w:p>
    <w:p w:rsidR="2A46C741" w:rsidP="4AF775A2" w:rsidRDefault="2A46C741" w14:paraId="09A494E4" w14:textId="527904EB">
      <w:pPr>
        <w:pStyle w:val="ListParagraph"/>
        <w:numPr>
          <w:ilvl w:val="0"/>
          <w:numId w:val="10"/>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2A46C741">
        <w:rPr>
          <w:rFonts w:ascii="Arial" w:hAnsi="Arial" w:eastAsia="Arial" w:cs="Arial"/>
          <w:b w:val="0"/>
          <w:bCs w:val="0"/>
          <w:noProof w:val="0"/>
          <w:sz w:val="22"/>
          <w:szCs w:val="22"/>
          <w:lang w:val="en-GB"/>
        </w:rPr>
        <w:t>easyJet annual reports</w:t>
      </w:r>
    </w:p>
    <w:p w:rsidR="2A46C741" w:rsidP="4AF775A2" w:rsidRDefault="2A46C741" w14:paraId="77898472" w14:textId="62A61637">
      <w:pPr>
        <w:pStyle w:val="ListParagraph"/>
        <w:numPr>
          <w:ilvl w:val="0"/>
          <w:numId w:val="9"/>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2A46C741">
        <w:rPr>
          <w:rFonts w:ascii="Arial" w:hAnsi="Arial" w:eastAsia="Arial" w:cs="Arial"/>
          <w:b w:val="0"/>
          <w:bCs w:val="0"/>
          <w:noProof w:val="0"/>
          <w:sz w:val="22"/>
          <w:szCs w:val="22"/>
          <w:lang w:val="en-GB"/>
        </w:rPr>
        <w:t>Sustainability and ESG disclosures</w:t>
      </w:r>
    </w:p>
    <w:p w:rsidR="2A46C741" w:rsidP="4AF775A2" w:rsidRDefault="2A46C741" w14:paraId="547262BB" w14:textId="5CBBEAEA">
      <w:pPr>
        <w:pStyle w:val="ListParagraph"/>
        <w:numPr>
          <w:ilvl w:val="0"/>
          <w:numId w:val="11"/>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2A46C741">
        <w:rPr>
          <w:rFonts w:ascii="Arial" w:hAnsi="Arial" w:eastAsia="Arial" w:cs="Arial"/>
          <w:b w:val="0"/>
          <w:bCs w:val="0"/>
          <w:noProof w:val="0"/>
          <w:sz w:val="22"/>
          <w:szCs w:val="22"/>
          <w:lang w:val="en-GB"/>
        </w:rPr>
        <w:t>Corporate communications</w:t>
      </w:r>
    </w:p>
    <w:p w:rsidR="2A46C741" w:rsidP="4AF775A2" w:rsidRDefault="2A46C741" w14:paraId="08D77CB9" w14:textId="695A3308">
      <w:pPr>
        <w:pStyle w:val="ListParagraph"/>
        <w:numPr>
          <w:ilvl w:val="0"/>
          <w:numId w:val="12"/>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2A46C741">
        <w:rPr>
          <w:rFonts w:ascii="Arial" w:hAnsi="Arial" w:eastAsia="Arial" w:cs="Arial"/>
          <w:b w:val="0"/>
          <w:bCs w:val="0"/>
          <w:noProof w:val="0"/>
          <w:sz w:val="22"/>
          <w:szCs w:val="22"/>
          <w:lang w:val="en-GB"/>
        </w:rPr>
        <w:t>Industry analyses</w:t>
      </w:r>
    </w:p>
    <w:p w:rsidR="2A46C741" w:rsidP="4AF775A2" w:rsidRDefault="2A46C741" w14:paraId="5331EFD4" w14:textId="7152E937">
      <w:pPr>
        <w:pStyle w:val="ListParagraph"/>
        <w:numPr>
          <w:ilvl w:val="0"/>
          <w:numId w:val="13"/>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2A46C741">
        <w:rPr>
          <w:rFonts w:ascii="Arial" w:hAnsi="Arial" w:eastAsia="Arial" w:cs="Arial"/>
          <w:b w:val="0"/>
          <w:bCs w:val="0"/>
          <w:noProof w:val="0"/>
          <w:sz w:val="22"/>
          <w:szCs w:val="22"/>
          <w:lang w:val="en-GB"/>
        </w:rPr>
        <w:t>Supporting academic sources</w:t>
      </w:r>
    </w:p>
    <w:p w:rsidR="2A46C741" w:rsidP="4AF775A2" w:rsidRDefault="2A46C741" w14:paraId="20A88D23" w14:textId="507485A2">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This integration supports a mixed-methods approach, combining thematic synthesis with contextual case analysis to enhance both the breadth and depth of insight.</w:t>
      </w:r>
    </w:p>
    <w:p w:rsidR="4AF775A2" w:rsidP="4AF775A2" w:rsidRDefault="4AF775A2" w14:paraId="4E79029E" w14:textId="3715D319">
      <w:pPr>
        <w:pStyle w:val="Normal"/>
        <w:bidi w:val="0"/>
        <w:spacing w:before="120" w:beforeAutospacing="off" w:after="120" w:afterAutospacing="off" w:line="360" w:lineRule="auto"/>
        <w:jc w:val="both"/>
      </w:pPr>
    </w:p>
    <w:p w:rsidR="2A46C741" w:rsidP="4AF775A2" w:rsidRDefault="2A46C741" w14:paraId="65589537" w14:textId="07673520">
      <w:pPr>
        <w:pStyle w:val="Heading3"/>
        <w:bidi w:val="0"/>
        <w:rPr>
          <w:noProof w:val="0"/>
          <w:lang w:val="en-GB"/>
        </w:rPr>
      </w:pPr>
      <w:bookmarkStart w:name="_Toc1674756974" w:id="1284199486"/>
      <w:r w:rsidRPr="4AF775A2" w:rsidR="2A46C741">
        <w:rPr>
          <w:noProof w:val="0"/>
          <w:lang w:val="en-GB"/>
        </w:rPr>
        <w:t>Summary</w:t>
      </w:r>
      <w:bookmarkEnd w:id="1284199486"/>
    </w:p>
    <w:p w:rsidR="2A46C741" w:rsidP="4AF775A2" w:rsidRDefault="2A46C741" w14:paraId="50207159" w14:textId="705254AF">
      <w:pPr>
        <w:pStyle w:val="Normal"/>
        <w:bidi w:val="0"/>
        <w:spacing w:before="120" w:beforeAutospacing="off" w:after="120" w:afterAutospacing="off" w:line="360" w:lineRule="auto"/>
        <w:jc w:val="both"/>
      </w:pPr>
      <w:r w:rsidRPr="4AF775A2" w:rsidR="2A46C741">
        <w:rPr>
          <w:rFonts w:ascii="Arial" w:hAnsi="Arial" w:eastAsia="Arial" w:cs="Arial"/>
          <w:b w:val="0"/>
          <w:bCs w:val="0"/>
          <w:noProof w:val="0"/>
          <w:sz w:val="22"/>
          <w:szCs w:val="22"/>
          <w:lang w:val="en-GB"/>
        </w:rPr>
        <w:t>The structured selection process grounds the study in a systematic, transparent, and replicable methodology, thereby strengthening the credibility of the findings. The combination of rigorous screening and critical evaluation ensures that the final dataset provides a robust foundation for analysing HRM practices and their impact on pilot retention within the low-cost airline context.</w:t>
      </w:r>
    </w:p>
    <w:p w:rsidR="4AF775A2" w:rsidP="4AF775A2" w:rsidRDefault="4AF775A2" w14:paraId="707EFB02" w14:textId="59A20602">
      <w:pPr>
        <w:bidi w:val="0"/>
        <w:spacing w:before="120" w:beforeAutospacing="off" w:after="120" w:afterAutospacing="off" w:line="360" w:lineRule="auto"/>
        <w:jc w:val="both"/>
        <w:rPr>
          <w:rFonts w:ascii="Arial" w:hAnsi="Arial" w:eastAsia="Arial" w:cs="Arial"/>
          <w:b w:val="0"/>
          <w:bCs w:val="0"/>
          <w:noProof w:val="0"/>
          <w:sz w:val="22"/>
          <w:szCs w:val="22"/>
          <w:lang w:val="en-GB"/>
        </w:rPr>
      </w:pPr>
    </w:p>
    <w:p w:rsidR="42274C1B" w:rsidP="4AF775A2" w:rsidRDefault="42274C1B" w14:paraId="5B6CF493" w14:textId="112665F5">
      <w:pPr>
        <w:pStyle w:val="Heading2"/>
        <w:bidi w:val="0"/>
        <w:spacing w:line="360" w:lineRule="auto"/>
        <w:jc w:val="both"/>
        <w:rPr>
          <w:rFonts w:ascii="Arial" w:hAnsi="Arial" w:eastAsia="Arial" w:cs="Arial"/>
          <w:b w:val="0"/>
          <w:bCs w:val="0"/>
          <w:noProof w:val="0"/>
          <w:sz w:val="22"/>
          <w:szCs w:val="22"/>
          <w:lang w:val="en-GB"/>
        </w:rPr>
      </w:pPr>
      <w:bookmarkStart w:name="_Toc1265291876" w:id="1974192656"/>
      <w:r w:rsidRPr="4AF775A2" w:rsidR="42274C1B">
        <w:rPr>
          <w:rFonts w:ascii="Arial" w:hAnsi="Arial" w:eastAsia="Arial" w:cs="Arial"/>
          <w:noProof w:val="0"/>
          <w:sz w:val="22"/>
          <w:szCs w:val="22"/>
          <w:lang w:val="en-GB"/>
        </w:rPr>
        <w:t>Ethical Considerations</w:t>
      </w:r>
      <w:bookmarkEnd w:id="1974192656"/>
    </w:p>
    <w:p w:rsidR="42274C1B" w:rsidP="4AF775A2" w:rsidRDefault="42274C1B" w14:paraId="2ACA181E" w14:textId="55CBAB0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The research adheres to </w:t>
      </w:r>
      <w:r w:rsidRPr="4AF775A2" w:rsidR="42274C1B">
        <w:rPr>
          <w:rFonts w:ascii="Arial" w:hAnsi="Arial" w:eastAsia="Arial" w:cs="Arial"/>
          <w:b w:val="0"/>
          <w:bCs w:val="0"/>
          <w:noProof w:val="0"/>
          <w:sz w:val="22"/>
          <w:szCs w:val="22"/>
          <w:lang w:val="en-GB"/>
        </w:rPr>
        <w:t>established</w:t>
      </w:r>
      <w:r w:rsidRPr="4AF775A2" w:rsidR="42274C1B">
        <w:rPr>
          <w:rFonts w:ascii="Arial" w:hAnsi="Arial" w:eastAsia="Arial" w:cs="Arial"/>
          <w:b w:val="0"/>
          <w:bCs w:val="0"/>
          <w:noProof w:val="0"/>
          <w:sz w:val="22"/>
          <w:szCs w:val="22"/>
          <w:lang w:val="en-GB"/>
        </w:rPr>
        <w:t xml:space="preserve"> ethical standards in academic research, despite relying exclusively on secondary data. It is based entirely on peer-reviewed journal articles, sector reports, and publicly available organisational publications, with no primary data collection undertaken. Consequently, there are no direct human participants involved and no associated risks relating to informed consent, anonymity, confidentiality, or psychological harm. While this reduces certain ethical intricacies typically associated with empirical research, it does not </w:t>
      </w:r>
      <w:r w:rsidRPr="4AF775A2" w:rsidR="42274C1B">
        <w:rPr>
          <w:rFonts w:ascii="Arial" w:hAnsi="Arial" w:eastAsia="Arial" w:cs="Arial"/>
          <w:b w:val="0"/>
          <w:bCs w:val="0"/>
          <w:noProof w:val="0"/>
          <w:sz w:val="22"/>
          <w:szCs w:val="22"/>
          <w:lang w:val="en-GB"/>
        </w:rPr>
        <w:t>eliminate</w:t>
      </w:r>
      <w:r w:rsidRPr="4AF775A2" w:rsidR="42274C1B">
        <w:rPr>
          <w:rFonts w:ascii="Arial" w:hAnsi="Arial" w:eastAsia="Arial" w:cs="Arial"/>
          <w:b w:val="0"/>
          <w:bCs w:val="0"/>
          <w:noProof w:val="0"/>
          <w:sz w:val="22"/>
          <w:szCs w:val="22"/>
          <w:lang w:val="en-GB"/>
        </w:rPr>
        <w:t xml:space="preserve"> the responsibility to ensure integrity, transparency, and accuracy throughout the study.</w:t>
      </w:r>
    </w:p>
    <w:p w:rsidR="42274C1B" w:rsidP="4AF775A2" w:rsidRDefault="42274C1B" w14:paraId="749A9776" w14:textId="3371BD0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A primary ethical responsibility in this research is the </w:t>
      </w:r>
      <w:r w:rsidRPr="4AF775A2" w:rsidR="42274C1B">
        <w:rPr>
          <w:rFonts w:ascii="Arial" w:hAnsi="Arial" w:eastAsia="Arial" w:cs="Arial"/>
          <w:b w:val="0"/>
          <w:bCs w:val="0"/>
          <w:noProof w:val="0"/>
          <w:sz w:val="22"/>
          <w:szCs w:val="22"/>
          <w:lang w:val="en-GB"/>
        </w:rPr>
        <w:t>accurate</w:t>
      </w:r>
      <w:r w:rsidRPr="4AF775A2" w:rsidR="42274C1B">
        <w:rPr>
          <w:rFonts w:ascii="Arial" w:hAnsi="Arial" w:eastAsia="Arial" w:cs="Arial"/>
          <w:b w:val="0"/>
          <w:bCs w:val="0"/>
          <w:noProof w:val="0"/>
          <w:sz w:val="22"/>
          <w:szCs w:val="22"/>
          <w:lang w:val="en-GB"/>
        </w:rPr>
        <w:t xml:space="preserve"> representation of the original authors’ findings. Given the dependence upon existing literature, it is essential that arguments, interpretations, and conclusions drawn from sources are presented faithfully and without distortion. This includes avoiding selective citation or confirmation bias, whereby only evidence supporting the research argument is included. Instead, the study adopts a critical approach which incorporates both supporting and contradictory perspectives, guaranteeing a balanced and academically in-depth analysis.</w:t>
      </w:r>
    </w:p>
    <w:p w:rsidR="42274C1B" w:rsidP="4AF775A2" w:rsidRDefault="42274C1B" w14:paraId="26EC5054" w14:textId="13B356AA">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In addition, the research </w:t>
      </w:r>
      <w:r w:rsidRPr="4AF775A2" w:rsidR="42274C1B">
        <w:rPr>
          <w:rFonts w:ascii="Arial" w:hAnsi="Arial" w:eastAsia="Arial" w:cs="Arial"/>
          <w:b w:val="0"/>
          <w:bCs w:val="0"/>
          <w:noProof w:val="0"/>
          <w:sz w:val="22"/>
          <w:szCs w:val="22"/>
          <w:lang w:val="en-GB"/>
        </w:rPr>
        <w:t>maintains</w:t>
      </w:r>
      <w:r w:rsidRPr="4AF775A2" w:rsidR="42274C1B">
        <w:rPr>
          <w:rFonts w:ascii="Arial" w:hAnsi="Arial" w:eastAsia="Arial" w:cs="Arial"/>
          <w:b w:val="0"/>
          <w:bCs w:val="0"/>
          <w:noProof w:val="0"/>
          <w:sz w:val="22"/>
          <w:szCs w:val="22"/>
          <w:lang w:val="en-GB"/>
        </w:rPr>
        <w:t xml:space="preserve"> clarity in its source selection, explicitly outlining the inclusion and exclusion criteria for the literature reviewed. This guarantees that data collection is systematic rather than arbitrary, increasing the credibility and replicability of the study. All sources are fully and appropriately referenced </w:t>
      </w:r>
      <w:r w:rsidRPr="4AF775A2" w:rsidR="42274C1B">
        <w:rPr>
          <w:rFonts w:ascii="Arial" w:hAnsi="Arial" w:eastAsia="Arial" w:cs="Arial"/>
          <w:b w:val="0"/>
          <w:bCs w:val="0"/>
          <w:noProof w:val="0"/>
          <w:sz w:val="22"/>
          <w:szCs w:val="22"/>
          <w:lang w:val="en-GB"/>
        </w:rPr>
        <w:t>in accordance with</w:t>
      </w:r>
      <w:r w:rsidRPr="4AF775A2" w:rsidR="42274C1B">
        <w:rPr>
          <w:rFonts w:ascii="Arial" w:hAnsi="Arial" w:eastAsia="Arial" w:cs="Arial"/>
          <w:b w:val="0"/>
          <w:bCs w:val="0"/>
          <w:noProof w:val="0"/>
          <w:sz w:val="22"/>
          <w:szCs w:val="22"/>
          <w:lang w:val="en-GB"/>
        </w:rPr>
        <w:t xml:space="preserve"> academic conventions to prevent plagiarism and sustain standards of academic integrity.</w:t>
      </w:r>
    </w:p>
    <w:p w:rsidR="42274C1B" w:rsidP="4AF775A2" w:rsidRDefault="42274C1B" w14:paraId="5A482FB6" w14:textId="372EF10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Specific ethical matters also arise in relation to the case analysis of easyJet. As the study relies on publicly available information, it is important to recognise that such data may present a curated representation of organisational practices. The </w:t>
      </w:r>
      <w:r w:rsidRPr="4AF775A2" w:rsidR="65256694">
        <w:rPr>
          <w:rFonts w:ascii="Arial" w:hAnsi="Arial" w:eastAsia="Arial" w:cs="Arial"/>
          <w:b w:val="0"/>
          <w:bCs w:val="0"/>
          <w:noProof w:val="0"/>
          <w:sz w:val="22"/>
          <w:szCs w:val="22"/>
          <w:lang w:val="en-GB"/>
        </w:rPr>
        <w:t>research,</w:t>
      </w:r>
      <w:r w:rsidRPr="4AF775A2" w:rsidR="42274C1B">
        <w:rPr>
          <w:rFonts w:ascii="Arial" w:hAnsi="Arial" w:eastAsia="Arial" w:cs="Arial"/>
          <w:b w:val="0"/>
          <w:bCs w:val="0"/>
          <w:noProof w:val="0"/>
          <w:sz w:val="22"/>
          <w:szCs w:val="22"/>
          <w:lang w:val="en-GB"/>
        </w:rPr>
        <w:t xml:space="preserve"> therefore, avoids speculative claims about internal processes or unverified practices, guaranteeing that all analysis is grounded in verifiable evidence. Furthermore, a clear distinction is </w:t>
      </w:r>
      <w:r w:rsidRPr="4AF775A2" w:rsidR="42274C1B">
        <w:rPr>
          <w:rFonts w:ascii="Arial" w:hAnsi="Arial" w:eastAsia="Arial" w:cs="Arial"/>
          <w:b w:val="0"/>
          <w:bCs w:val="0"/>
          <w:noProof w:val="0"/>
          <w:sz w:val="22"/>
          <w:szCs w:val="22"/>
          <w:lang w:val="en-GB"/>
        </w:rPr>
        <w:t>maintained</w:t>
      </w:r>
      <w:r w:rsidRPr="4AF775A2" w:rsidR="42274C1B">
        <w:rPr>
          <w:rFonts w:ascii="Arial" w:hAnsi="Arial" w:eastAsia="Arial" w:cs="Arial"/>
          <w:b w:val="0"/>
          <w:bCs w:val="0"/>
          <w:noProof w:val="0"/>
          <w:sz w:val="22"/>
          <w:szCs w:val="22"/>
          <w:lang w:val="en-GB"/>
        </w:rPr>
        <w:t xml:space="preserve"> between empirical evidence and the researcher’s interpretation, </w:t>
      </w:r>
      <w:r w:rsidRPr="4AF775A2" w:rsidR="42274C1B">
        <w:rPr>
          <w:rFonts w:ascii="Arial" w:hAnsi="Arial" w:eastAsia="Arial" w:cs="Arial"/>
          <w:b w:val="0"/>
          <w:bCs w:val="0"/>
          <w:noProof w:val="0"/>
          <w:sz w:val="22"/>
          <w:szCs w:val="22"/>
          <w:lang w:val="en-GB"/>
        </w:rPr>
        <w:t>permitting</w:t>
      </w:r>
      <w:r w:rsidRPr="4AF775A2" w:rsidR="42274C1B">
        <w:rPr>
          <w:rFonts w:ascii="Arial" w:hAnsi="Arial" w:eastAsia="Arial" w:cs="Arial"/>
          <w:b w:val="0"/>
          <w:bCs w:val="0"/>
          <w:noProof w:val="0"/>
          <w:sz w:val="22"/>
          <w:szCs w:val="22"/>
          <w:lang w:val="en-GB"/>
        </w:rPr>
        <w:t xml:space="preserve"> readers to differentiate between verifiable reporting and analytical insight.</w:t>
      </w:r>
    </w:p>
    <w:p w:rsidR="42274C1B" w:rsidP="4AF775A2" w:rsidRDefault="42274C1B" w14:paraId="27FA262B" w14:textId="73751F6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To avoid possible reputational harm, the study avoids making unsupported or excessively critical assertions about the organisation. Instead, it adopts an analytical rather than judgmental tone, focusing on evaluating HRM practices within their wider strategic and operational context. This approach confirms that the research </w:t>
      </w:r>
      <w:r w:rsidRPr="4AF775A2" w:rsidR="42274C1B">
        <w:rPr>
          <w:rFonts w:ascii="Arial" w:hAnsi="Arial" w:eastAsia="Arial" w:cs="Arial"/>
          <w:b w:val="0"/>
          <w:bCs w:val="0"/>
          <w:noProof w:val="0"/>
          <w:sz w:val="22"/>
          <w:szCs w:val="22"/>
          <w:lang w:val="en-GB"/>
        </w:rPr>
        <w:t>remains</w:t>
      </w:r>
      <w:r w:rsidRPr="4AF775A2" w:rsidR="42274C1B">
        <w:rPr>
          <w:rFonts w:ascii="Arial" w:hAnsi="Arial" w:eastAsia="Arial" w:cs="Arial"/>
          <w:b w:val="0"/>
          <w:bCs w:val="0"/>
          <w:noProof w:val="0"/>
          <w:sz w:val="22"/>
          <w:szCs w:val="22"/>
          <w:lang w:val="en-GB"/>
        </w:rPr>
        <w:t xml:space="preserve"> unbiased, balanced, and respectful, while still providing meaningful critical analysis.</w:t>
      </w:r>
    </w:p>
    <w:p w:rsidR="42274C1B" w:rsidP="4AF775A2" w:rsidRDefault="42274C1B" w14:paraId="39DB5376" w14:textId="1029DBF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Overall, although the use of secondary data reduces certain ethical risks, the research shows a strong devotion to ethical research practice through accuracy, transparency, critical balance, and responsible interpretation.</w:t>
      </w:r>
    </w:p>
    <w:p w:rsidR="42274C1B" w:rsidP="4AF775A2" w:rsidRDefault="42274C1B" w14:paraId="4E5BB838" w14:textId="2F33A9B7">
      <w:pPr>
        <w:pStyle w:val="Heading2"/>
        <w:bidi w:val="0"/>
        <w:spacing w:line="360" w:lineRule="auto"/>
        <w:jc w:val="both"/>
        <w:rPr>
          <w:rFonts w:ascii="Arial" w:hAnsi="Arial" w:eastAsia="Arial" w:cs="Arial"/>
          <w:b w:val="0"/>
          <w:bCs w:val="0"/>
          <w:noProof w:val="0"/>
          <w:sz w:val="22"/>
          <w:szCs w:val="22"/>
          <w:lang w:val="en-GB"/>
        </w:rPr>
      </w:pPr>
      <w:bookmarkStart w:name="_Toc528748858" w:id="1383052332"/>
      <w:r w:rsidRPr="4AF775A2" w:rsidR="42274C1B">
        <w:rPr>
          <w:rFonts w:ascii="Arial" w:hAnsi="Arial" w:eastAsia="Arial" w:cs="Arial"/>
          <w:noProof w:val="0"/>
          <w:sz w:val="22"/>
          <w:szCs w:val="22"/>
          <w:lang w:val="en-GB"/>
        </w:rPr>
        <w:t>Conclusion</w:t>
      </w:r>
      <w:bookmarkEnd w:id="1383052332"/>
    </w:p>
    <w:p w:rsidR="42274C1B" w:rsidP="4AF775A2" w:rsidRDefault="42274C1B" w14:paraId="3E3CB637" w14:textId="3FF5F33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This </w:t>
      </w:r>
      <w:r w:rsidRPr="4AF775A2" w:rsidR="42274C1B">
        <w:rPr>
          <w:rFonts w:ascii="Arial" w:hAnsi="Arial" w:eastAsia="Arial" w:cs="Arial"/>
          <w:b w:val="0"/>
          <w:bCs w:val="0"/>
          <w:noProof w:val="0"/>
          <w:sz w:val="22"/>
          <w:szCs w:val="22"/>
          <w:lang w:val="en-GB"/>
        </w:rPr>
        <w:t>methodology</w:t>
      </w:r>
      <w:r w:rsidRPr="4AF775A2" w:rsidR="42274C1B">
        <w:rPr>
          <w:rFonts w:ascii="Arial" w:hAnsi="Arial" w:eastAsia="Arial" w:cs="Arial"/>
          <w:b w:val="0"/>
          <w:bCs w:val="0"/>
          <w:noProof w:val="0"/>
          <w:sz w:val="22"/>
          <w:szCs w:val="22"/>
          <w:lang w:val="en-GB"/>
        </w:rPr>
        <w:t xml:space="preserve"> outlines a rigorous and coherent approach to investigating the relationships among HRM practices, pilot engagement, and retention in low-cost airline contexts. By adopting a pragmatist philosophy, an integrated mixed-methods design, and a deductive</w:t>
      </w:r>
      <w:r w:rsidRPr="4AF775A2" w:rsidR="7A4F271E">
        <w:rPr>
          <w:rFonts w:ascii="Arial" w:hAnsi="Arial" w:eastAsia="Arial" w:cs="Arial"/>
          <w:b w:val="0"/>
          <w:bCs w:val="0"/>
          <w:noProof w:val="0"/>
          <w:sz w:val="22"/>
          <w:szCs w:val="22"/>
          <w:lang w:val="en-GB"/>
        </w:rPr>
        <w:t xml:space="preserve"> reasoning</w:t>
      </w:r>
      <w:r w:rsidRPr="4AF775A2" w:rsidR="42274C1B">
        <w:rPr>
          <w:rFonts w:ascii="Arial" w:hAnsi="Arial" w:eastAsia="Arial" w:cs="Arial"/>
          <w:b w:val="0"/>
          <w:bCs w:val="0"/>
          <w:noProof w:val="0"/>
          <w:sz w:val="22"/>
          <w:szCs w:val="22"/>
          <w:lang w:val="en-GB"/>
        </w:rPr>
        <w:t xml:space="preserve"> approach, the research is well-positioned to address its research questions.</w:t>
      </w:r>
    </w:p>
    <w:p w:rsidR="42274C1B" w:rsidP="4AF775A2" w:rsidRDefault="42274C1B" w14:paraId="71E66D12" w14:textId="3C86304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The use of thematic and narrative synthesis offers both analytic and contextual insights, while the case study of </w:t>
      </w:r>
      <w:r w:rsidRPr="4AF775A2" w:rsidR="42274C1B">
        <w:rPr>
          <w:rFonts w:ascii="Arial" w:hAnsi="Arial" w:eastAsia="Arial" w:cs="Arial"/>
          <w:b w:val="0"/>
          <w:bCs w:val="0"/>
          <w:i w:val="0"/>
          <w:iCs w:val="0"/>
          <w:noProof w:val="0"/>
          <w:sz w:val="22"/>
          <w:szCs w:val="22"/>
          <w:lang w:val="en-GB"/>
        </w:rPr>
        <w:t>easyJet</w:t>
      </w:r>
      <w:r w:rsidRPr="4AF775A2" w:rsidR="42274C1B">
        <w:rPr>
          <w:rFonts w:ascii="Arial" w:hAnsi="Arial" w:eastAsia="Arial" w:cs="Arial"/>
          <w:b w:val="0"/>
          <w:bCs w:val="0"/>
          <w:i w:val="0"/>
          <w:iCs w:val="0"/>
          <w:noProof w:val="0"/>
          <w:sz w:val="22"/>
          <w:szCs w:val="22"/>
          <w:lang w:val="en-GB"/>
        </w:rPr>
        <w:t xml:space="preserve"> </w:t>
      </w:r>
      <w:r w:rsidRPr="4AF775A2" w:rsidR="42274C1B">
        <w:rPr>
          <w:rFonts w:ascii="Arial" w:hAnsi="Arial" w:eastAsia="Arial" w:cs="Arial"/>
          <w:b w:val="0"/>
          <w:bCs w:val="0"/>
          <w:noProof w:val="0"/>
          <w:sz w:val="22"/>
          <w:szCs w:val="22"/>
          <w:lang w:val="en-GB"/>
        </w:rPr>
        <w:t>supplies practical relevance. However, limitations related to the use of secondary data and the lack of primary data collection are acknowledged.</w:t>
      </w:r>
    </w:p>
    <w:p w:rsidR="42274C1B" w:rsidP="4AF775A2" w:rsidRDefault="42274C1B" w14:paraId="4BD3A7A4" w14:textId="0BEA7921">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2274C1B">
        <w:rPr>
          <w:rFonts w:ascii="Arial" w:hAnsi="Arial" w:eastAsia="Arial" w:cs="Arial"/>
          <w:b w:val="0"/>
          <w:bCs w:val="0"/>
          <w:noProof w:val="0"/>
          <w:sz w:val="22"/>
          <w:szCs w:val="22"/>
          <w:lang w:val="en-GB"/>
        </w:rPr>
        <w:t xml:space="preserve">Overall, the methodological framework confirms that the research is both analytically robust and </w:t>
      </w:r>
      <w:r w:rsidRPr="4AF775A2" w:rsidR="42274C1B">
        <w:rPr>
          <w:rFonts w:ascii="Arial" w:hAnsi="Arial" w:eastAsia="Arial" w:cs="Arial"/>
          <w:b w:val="0"/>
          <w:bCs w:val="0"/>
          <w:noProof w:val="0"/>
          <w:sz w:val="22"/>
          <w:szCs w:val="22"/>
          <w:lang w:val="en-GB"/>
        </w:rPr>
        <w:t>practically relevant</w:t>
      </w:r>
      <w:r w:rsidRPr="4AF775A2" w:rsidR="42274C1B">
        <w:rPr>
          <w:rFonts w:ascii="Arial" w:hAnsi="Arial" w:eastAsia="Arial" w:cs="Arial"/>
          <w:b w:val="0"/>
          <w:bCs w:val="0"/>
          <w:noProof w:val="0"/>
          <w:sz w:val="22"/>
          <w:szCs w:val="22"/>
          <w:lang w:val="en-GB"/>
        </w:rPr>
        <w:t>, thereby helping develop evidence-based HRM strategies for sustainable pilot retention.</w:t>
      </w:r>
    </w:p>
    <w:p w:rsidR="4AF775A2" w:rsidP="4AF775A2" w:rsidRDefault="4AF775A2" w14:paraId="6DFB2233" w14:textId="55F4EF21">
      <w:pPr>
        <w:bidi w:val="0"/>
        <w:spacing w:before="120" w:beforeAutospacing="off" w:after="120" w:afterAutospacing="off" w:line="360" w:lineRule="auto"/>
        <w:jc w:val="both"/>
        <w:rPr>
          <w:rFonts w:ascii="Arial" w:hAnsi="Arial" w:eastAsia="Arial" w:cs="Arial"/>
          <w:b w:val="0"/>
          <w:bCs w:val="0"/>
          <w:noProof w:val="0"/>
          <w:sz w:val="22"/>
          <w:szCs w:val="22"/>
          <w:lang w:val="en-GB"/>
        </w:rPr>
      </w:pPr>
    </w:p>
    <w:p w:rsidR="4AF775A2" w:rsidP="4AF775A2" w:rsidRDefault="4AF775A2" w14:paraId="1DA6B1E5" w14:textId="7DEEA17C">
      <w:pPr>
        <w:bidi w:val="0"/>
        <w:spacing w:line="360" w:lineRule="auto"/>
        <w:jc w:val="both"/>
        <w:rPr>
          <w:rFonts w:ascii="Arial" w:hAnsi="Arial" w:eastAsia="Arial" w:cs="Arial"/>
          <w:sz w:val="22"/>
          <w:szCs w:val="22"/>
        </w:rPr>
      </w:pPr>
      <w:r w:rsidRPr="4AF775A2">
        <w:rPr>
          <w:rFonts w:ascii="Arial" w:hAnsi="Arial" w:eastAsia="Arial" w:cs="Arial"/>
          <w:sz w:val="22"/>
          <w:szCs w:val="22"/>
        </w:rPr>
        <w:br w:type="page"/>
      </w:r>
    </w:p>
    <w:p w:rsidR="2D1AE827" w:rsidP="4AF775A2" w:rsidRDefault="2D1AE827" w14:paraId="3DA2FC4B" w14:textId="588EC326">
      <w:pPr>
        <w:pStyle w:val="Heading1"/>
        <w:bidi w:val="0"/>
        <w:spacing w:before="120" w:beforeAutospacing="off" w:after="120" w:afterAutospacing="off" w:line="360" w:lineRule="auto"/>
        <w:jc w:val="both"/>
        <w:rPr>
          <w:rFonts w:ascii="Arial" w:hAnsi="Arial" w:eastAsia="Arial" w:cs="Arial"/>
          <w:noProof w:val="0"/>
          <w:sz w:val="22"/>
          <w:szCs w:val="22"/>
          <w:lang w:val="en-GB"/>
        </w:rPr>
      </w:pPr>
      <w:bookmarkStart w:name="_Toc2004521608" w:id="828698149"/>
      <w:r w:rsidRPr="4AF775A2" w:rsidR="2D1AE827">
        <w:rPr>
          <w:rFonts w:ascii="Arial" w:hAnsi="Arial" w:eastAsia="Arial" w:cs="Arial"/>
          <w:noProof w:val="0"/>
          <w:sz w:val="22"/>
          <w:szCs w:val="22"/>
          <w:lang w:val="en-GB"/>
        </w:rPr>
        <w:t>Findings</w:t>
      </w:r>
      <w:bookmarkEnd w:id="828698149"/>
    </w:p>
    <w:p w:rsidR="46D1F1A9" w:rsidP="4AF775A2" w:rsidRDefault="46D1F1A9" w14:paraId="60AB460A" w14:textId="64F8150C">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This chapter presents the findings derived from a thematic synthesis of the literature (RQ1) and a narrative synthesis of organisational evidence from easyJet (RQ2–RQ3). The findings are structured around four interconnected themes: HRM practices, retention mechanisms, organisational constraints, and external labour-market forces. This structure enables a critical interrogation of both the theoretical and practical dimensions of pilot retention in the low-cost airline sector. By stressing the relationship between organisational and external factors, the discussion transcends a narrow attention on internal HRM levers and instead positions retention as a multi-layered phenomenon shaped by broader institutional forces. In doing so, the chapter aims to advance a more subtle understanding of why conventional retention strategies </w:t>
      </w:r>
      <w:r w:rsidRPr="4AF775A2" w:rsidR="46D1F1A9">
        <w:rPr>
          <w:rFonts w:ascii="Arial" w:hAnsi="Arial" w:eastAsia="Arial" w:cs="Arial"/>
          <w:noProof w:val="0"/>
          <w:sz w:val="22"/>
          <w:szCs w:val="22"/>
          <w:lang w:val="en-GB"/>
        </w:rPr>
        <w:t>frequently</w:t>
      </w:r>
      <w:r w:rsidRPr="4AF775A2" w:rsidR="46D1F1A9">
        <w:rPr>
          <w:rFonts w:ascii="Arial" w:hAnsi="Arial" w:eastAsia="Arial" w:cs="Arial"/>
          <w:noProof w:val="0"/>
          <w:sz w:val="22"/>
          <w:szCs w:val="22"/>
          <w:lang w:val="en-GB"/>
        </w:rPr>
        <w:t xml:space="preserve"> yield limited results in contexts such as aviation, where labour employment market dynamics and organisational imperatives are in constant tension.</w:t>
      </w:r>
    </w:p>
    <w:p w:rsidR="46D1F1A9" w:rsidP="4AF775A2" w:rsidRDefault="46D1F1A9" w14:paraId="0BD2C0B6" w14:textId="4CE26F2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4AF775A2" w:rsidR="46D1F1A9">
        <w:rPr>
          <w:rFonts w:ascii="Arial" w:hAnsi="Arial" w:eastAsia="Arial" w:cs="Arial"/>
          <w:noProof w:val="0"/>
          <w:sz w:val="22"/>
          <w:szCs w:val="22"/>
          <w:lang w:val="en-GB"/>
        </w:rPr>
        <w:t>Instead of dealing with these themes in isolation, the analysis foregrounds their interdependence, particularly in developing pilot retention in the low-cost airline sector. The evidence reveals that the boundaries between internal HRM practices and external labour market forces are porous and constantly negotiated</w:t>
      </w:r>
      <w:r w:rsidRPr="4AF775A2" w:rsidR="53DE9789">
        <w:rPr>
          <w:rFonts w:ascii="Arial" w:hAnsi="Arial" w:eastAsia="Arial" w:cs="Arial"/>
          <w:noProof w:val="0"/>
          <w:sz w:val="22"/>
          <w:szCs w:val="22"/>
          <w:lang w:val="en-GB"/>
        </w:rPr>
        <w:t xml:space="preserve"> (</w:t>
      </w:r>
      <w:r w:rsidRPr="4AF775A2" w:rsidR="53DE9789">
        <w:rPr>
          <w:rFonts w:ascii="Arial" w:hAnsi="Arial" w:eastAsia="Arial" w:cs="Arial"/>
          <w:noProof w:val="0"/>
          <w:sz w:val="22"/>
          <w:szCs w:val="22"/>
          <w:lang w:val="en-GB"/>
        </w:rPr>
        <w:t>Peyrat</w:t>
      </w:r>
      <w:r w:rsidRPr="4AF775A2" w:rsidR="53DE9789">
        <w:rPr>
          <w:rFonts w:ascii="Arial" w:hAnsi="Arial" w:eastAsia="Arial" w:cs="Arial"/>
          <w:noProof w:val="0"/>
          <w:sz w:val="22"/>
          <w:szCs w:val="22"/>
          <w:lang w:val="en-GB"/>
        </w:rPr>
        <w:t xml:space="preserve">-Guillard, Grefe &amp; </w:t>
      </w:r>
      <w:r w:rsidRPr="4AF775A2" w:rsidR="53DE9789">
        <w:rPr>
          <w:rFonts w:ascii="Arial" w:hAnsi="Arial" w:eastAsia="Arial" w:cs="Arial"/>
          <w:noProof w:val="0"/>
          <w:sz w:val="22"/>
          <w:szCs w:val="22"/>
          <w:lang w:val="en-GB"/>
        </w:rPr>
        <w:t>Subramian</w:t>
      </w:r>
      <w:r w:rsidRPr="4AF775A2" w:rsidR="53DE9789">
        <w:rPr>
          <w:rFonts w:ascii="Arial" w:hAnsi="Arial" w:eastAsia="Arial" w:cs="Arial"/>
          <w:noProof w:val="0"/>
          <w:sz w:val="22"/>
          <w:szCs w:val="22"/>
          <w:lang w:val="en-GB"/>
        </w:rPr>
        <w:t>, 2022)</w:t>
      </w:r>
      <w:r w:rsidRPr="4AF775A2" w:rsidR="46D1F1A9">
        <w:rPr>
          <w:rFonts w:ascii="Arial" w:hAnsi="Arial" w:eastAsia="Arial" w:cs="Arial"/>
          <w:noProof w:val="0"/>
          <w:sz w:val="22"/>
          <w:szCs w:val="22"/>
          <w:lang w:val="en-GB"/>
        </w:rPr>
        <w:t xml:space="preserve">. For example, improvements in compensation or engagement may be undermined by industry-wide pilot shortages or more attractive opportunities abroad. Thus, the analysis not only </w:t>
      </w:r>
      <w:r w:rsidRPr="4AF775A2" w:rsidR="46D1F1A9">
        <w:rPr>
          <w:rFonts w:ascii="Arial" w:hAnsi="Arial" w:eastAsia="Arial" w:cs="Arial"/>
          <w:noProof w:val="0"/>
          <w:sz w:val="22"/>
          <w:szCs w:val="22"/>
          <w:lang w:val="en-GB"/>
        </w:rPr>
        <w:t>identifies</w:t>
      </w:r>
      <w:r w:rsidRPr="4AF775A2" w:rsidR="46D1F1A9">
        <w:rPr>
          <w:rFonts w:ascii="Arial" w:hAnsi="Arial" w:eastAsia="Arial" w:cs="Arial"/>
          <w:noProof w:val="0"/>
          <w:sz w:val="22"/>
          <w:szCs w:val="22"/>
          <w:lang w:val="en-GB"/>
        </w:rPr>
        <w:t xml:space="preserve"> the mutual influence of these themes but also highlights the limitations of interventions that target a single domain. The results presented in this chapter underpin the critical interpretati</w:t>
      </w:r>
      <w:r w:rsidRPr="4AF775A2" w:rsidR="35A2EDC6">
        <w:rPr>
          <w:rFonts w:ascii="Arial" w:hAnsi="Arial" w:eastAsia="Arial" w:cs="Arial"/>
          <w:noProof w:val="0"/>
          <w:sz w:val="22"/>
          <w:szCs w:val="22"/>
          <w:lang w:val="en-GB"/>
        </w:rPr>
        <w:t>on</w:t>
      </w:r>
      <w:r w:rsidRPr="4AF775A2" w:rsidR="46D1F1A9">
        <w:rPr>
          <w:rFonts w:ascii="Arial" w:hAnsi="Arial" w:eastAsia="Arial" w:cs="Arial"/>
          <w:noProof w:val="0"/>
          <w:sz w:val="22"/>
          <w:szCs w:val="22"/>
          <w:lang w:val="en-GB"/>
        </w:rPr>
        <w:t xml:space="preserve"> where the effects on HR theory and practice are rigorously evaluated.</w:t>
      </w:r>
      <w:r w:rsidRPr="4AF775A2" w:rsidR="42255568">
        <w:rPr>
          <w:rFonts w:ascii="Arial" w:hAnsi="Arial" w:eastAsia="Arial" w:cs="Arial"/>
          <w:noProof w:val="0"/>
          <w:sz w:val="22"/>
          <w:szCs w:val="22"/>
          <w:lang w:val="en-GB"/>
        </w:rPr>
        <w:t xml:space="preserve"> A full thematic synthesis table is included in appendix 1 with the coding frequencies displayed in figure 1.</w:t>
      </w:r>
    </w:p>
    <w:p w:rsidR="4AF775A2" w:rsidP="4AF775A2" w:rsidRDefault="4AF775A2" w14:paraId="3331074E" w14:textId="3D08C995">
      <w:pPr>
        <w:bidi w:val="0"/>
        <w:spacing w:before="120" w:beforeAutospacing="off" w:after="120" w:afterAutospacing="off" w:line="360" w:lineRule="auto"/>
        <w:jc w:val="both"/>
        <w:rPr>
          <w:rFonts w:ascii="Arial" w:hAnsi="Arial" w:eastAsia="Arial" w:cs="Arial"/>
          <w:noProof w:val="0"/>
          <w:sz w:val="22"/>
          <w:szCs w:val="22"/>
          <w:lang w:val="en-GB"/>
        </w:rPr>
      </w:pPr>
    </w:p>
    <w:p w:rsidR="4AF775A2" w:rsidP="4AF775A2" w:rsidRDefault="4AF775A2" w14:paraId="6CE9E4CC" w14:textId="7A52A967">
      <w:pPr>
        <w:bidi w:val="0"/>
        <w:spacing w:before="120" w:beforeAutospacing="off" w:after="120" w:afterAutospacing="off" w:line="360" w:lineRule="auto"/>
        <w:jc w:val="both"/>
        <w:rPr>
          <w:rFonts w:ascii="Arial" w:hAnsi="Arial" w:eastAsia="Arial" w:cs="Arial"/>
          <w:sz w:val="22"/>
          <w:szCs w:val="22"/>
        </w:rPr>
      </w:pPr>
    </w:p>
    <w:p w:rsidR="4AF775A2" w:rsidP="4AF775A2" w:rsidRDefault="4AF775A2" w14:paraId="361F1A80" w14:textId="2C94DA31">
      <w:pPr>
        <w:pStyle w:val="Normal"/>
        <w:bidi w:val="0"/>
        <w:spacing w:line="360" w:lineRule="auto"/>
        <w:jc w:val="both"/>
        <w:rPr>
          <w:rFonts w:ascii="Arial" w:hAnsi="Arial" w:eastAsia="Arial" w:cs="Arial"/>
          <w:sz w:val="22"/>
          <w:szCs w:val="22"/>
        </w:rPr>
      </w:pPr>
    </w:p>
    <w:p w:rsidR="4AF775A2" w:rsidP="4AF775A2" w:rsidRDefault="4AF775A2" w14:paraId="4CE9E31F" w14:textId="1997BA07">
      <w:pPr>
        <w:bidi w:val="0"/>
        <w:spacing w:line="360" w:lineRule="auto"/>
        <w:jc w:val="both"/>
        <w:rPr>
          <w:rFonts w:ascii="Arial" w:hAnsi="Arial" w:eastAsia="Arial" w:cs="Arial"/>
          <w:sz w:val="22"/>
          <w:szCs w:val="22"/>
        </w:rPr>
      </w:pPr>
      <w:r w:rsidRPr="4AF775A2">
        <w:rPr>
          <w:rFonts w:ascii="Arial" w:hAnsi="Arial" w:eastAsia="Arial" w:cs="Arial"/>
          <w:sz w:val="22"/>
          <w:szCs w:val="22"/>
        </w:rPr>
        <w:br w:type="page"/>
      </w:r>
    </w:p>
    <w:p w:rsidR="4AF775A2" w:rsidP="4AF775A2" w:rsidRDefault="4AF775A2" w14:paraId="19726C91" w14:textId="55D24A73">
      <w:pPr>
        <w:pStyle w:val="Normal"/>
        <w:bidi w:val="0"/>
        <w:spacing w:line="360" w:lineRule="auto"/>
        <w:jc w:val="both"/>
        <w:rPr>
          <w:rFonts w:ascii="Arial" w:hAnsi="Arial" w:eastAsia="Arial" w:cs="Arial"/>
          <w:sz w:val="22"/>
          <w:szCs w:val="22"/>
        </w:rPr>
      </w:pPr>
    </w:p>
    <w:p w:rsidR="46D1F1A9" w:rsidP="4AF775A2" w:rsidRDefault="46D1F1A9" w14:paraId="6A3D2871" w14:textId="54DEF36F">
      <w:pPr>
        <w:pStyle w:val="Heading1"/>
        <w:bidi w:val="0"/>
        <w:spacing w:line="360" w:lineRule="auto"/>
        <w:jc w:val="both"/>
        <w:rPr>
          <w:rFonts w:ascii="Arial" w:hAnsi="Arial" w:eastAsia="Arial" w:cs="Arial"/>
          <w:noProof w:val="0"/>
          <w:sz w:val="22"/>
          <w:szCs w:val="22"/>
          <w:lang w:val="en-GB"/>
        </w:rPr>
      </w:pPr>
      <w:bookmarkStart w:name="_Toc881644297" w:id="1381179"/>
      <w:r w:rsidRPr="4AF775A2" w:rsidR="46D1F1A9">
        <w:rPr>
          <w:rFonts w:ascii="Arial" w:hAnsi="Arial" w:eastAsia="Arial" w:cs="Arial"/>
          <w:noProof w:val="0"/>
          <w:sz w:val="22"/>
          <w:szCs w:val="22"/>
          <w:lang w:val="en-GB"/>
        </w:rPr>
        <w:t>RQ1: HRM Practices Influencing Retention</w:t>
      </w:r>
      <w:bookmarkEnd w:id="1381179"/>
    </w:p>
    <w:p w:rsidR="3180AB45" w:rsidP="4AF775A2" w:rsidRDefault="3180AB45" w14:paraId="58AD5CDF" w14:textId="5DED7F66">
      <w:pPr>
        <w:bidi w:val="0"/>
        <w:spacing w:before="120" w:beforeAutospacing="off" w:after="120" w:afterAutospacing="off" w:line="360" w:lineRule="auto"/>
        <w:jc w:val="both"/>
        <w:rPr>
          <w:rFonts w:ascii="Arial" w:hAnsi="Arial" w:eastAsia="Arial" w:cs="Arial"/>
          <w:noProof w:val="0"/>
          <w:sz w:val="22"/>
          <w:szCs w:val="22"/>
          <w:lang w:val="en-GB"/>
        </w:rPr>
      </w:pPr>
      <w:r w:rsidRPr="4AF775A2" w:rsidR="3180AB45">
        <w:rPr>
          <w:rFonts w:ascii="Arial" w:hAnsi="Arial" w:eastAsia="Arial" w:cs="Arial"/>
          <w:noProof w:val="0"/>
          <w:sz w:val="22"/>
          <w:szCs w:val="22"/>
          <w:lang w:val="en-GB"/>
        </w:rPr>
        <w:t>The thematic analysis was conducted on a refined sample of 45 studies selected from the initial 50 articles, enabling a focused and systematic examination of the factors influencing employee retention. This approach corresponds with established literature review methodologies, which emphasise the importance of purposeful selection and structured analysis to generate important insights (Snyder, 2019; Barry, Merkebu and Varpio, 2022). Within the selected studies, initial codes were developed to capture key concepts related to retention, consistent with thematic synthesis techniques that observe patterns throughout diverse sources (Rodgers et al., 2009). These codes were then systematically grouped into higher-order categories reflecting core HRM strategies, including financial motivation, training and development, organisational support, and working schedule and conditions.</w:t>
      </w:r>
    </w:p>
    <w:p w:rsidR="4AF775A2" w:rsidP="4AF775A2" w:rsidRDefault="4AF775A2" w14:paraId="0744EC83" w14:textId="189854EF">
      <w:pPr>
        <w:bidi w:val="0"/>
        <w:spacing w:before="120" w:beforeAutospacing="off" w:after="120" w:afterAutospacing="off" w:line="360" w:lineRule="auto"/>
        <w:jc w:val="both"/>
        <w:rPr>
          <w:rFonts w:ascii="Arial" w:hAnsi="Arial" w:eastAsia="Arial" w:cs="Arial"/>
          <w:noProof w:val="0"/>
          <w:sz w:val="22"/>
          <w:szCs w:val="22"/>
          <w:lang w:val="en-GB"/>
        </w:rPr>
      </w:pPr>
    </w:p>
    <w:p w:rsidR="766592D3" w:rsidP="4AF775A2" w:rsidRDefault="766592D3" w14:paraId="03785180" w14:textId="0773797A">
      <w:pPr>
        <w:bidi w:val="0"/>
        <w:spacing w:before="120" w:beforeAutospacing="off" w:after="120" w:afterAutospacing="off" w:line="360" w:lineRule="auto"/>
        <w:jc w:val="both"/>
        <w:rPr>
          <w:rFonts w:ascii="Arial" w:hAnsi="Arial" w:eastAsia="Arial" w:cs="Arial"/>
          <w:noProof w:val="0"/>
          <w:sz w:val="22"/>
          <w:szCs w:val="22"/>
          <w:lang w:val="en-GB"/>
        </w:rPr>
      </w:pPr>
      <w:r w:rsidR="766592D3">
        <w:drawing>
          <wp:inline wp14:editId="729B8C06" wp14:anchorId="6CC1FB1A">
            <wp:extent cx="4985006" cy="3930852"/>
            <wp:effectExtent l="0" t="0" r="0" b="0"/>
            <wp:docPr id="611652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1652184" name="Picture 611652184"/>
                    <pic:cNvPicPr/>
                  </pic:nvPicPr>
                  <pic:blipFill>
                    <a:blip xmlns:r="http://schemas.openxmlformats.org/officeDocument/2006/relationships" r:embed="rId877509154">
                      <a:extLst>
                        <a:ext uri="{28A0092B-C50C-407E-A947-70E740481C1C}">
                          <a14:useLocalDpi xmlns:a14="http://schemas.microsoft.com/office/drawing/2010/main"/>
                        </a:ext>
                      </a:extLst>
                    </a:blip>
                    <a:stretch>
                      <a:fillRect/>
                    </a:stretch>
                  </pic:blipFill>
                  <pic:spPr>
                    <a:xfrm>
                      <a:off x="0" y="0"/>
                      <a:ext cx="4985006" cy="3930852"/>
                    </a:xfrm>
                    <a:prstGeom prst="rect">
                      <a:avLst/>
                    </a:prstGeom>
                  </pic:spPr>
                </pic:pic>
              </a:graphicData>
            </a:graphic>
          </wp:inline>
        </w:drawing>
      </w:r>
    </w:p>
    <w:p w:rsidR="3D5A10F2" w:rsidP="4AF775A2" w:rsidRDefault="3D5A10F2" w14:paraId="5DB25825" w14:textId="51045D11">
      <w:pPr>
        <w:bidi w:val="0"/>
        <w:spacing w:before="120" w:beforeAutospacing="off" w:after="120" w:afterAutospacing="off" w:line="360" w:lineRule="auto"/>
        <w:jc w:val="both"/>
        <w:rPr>
          <w:rFonts w:ascii="Arial" w:hAnsi="Arial" w:eastAsia="Arial" w:cs="Arial"/>
          <w:noProof w:val="0"/>
          <w:sz w:val="22"/>
          <w:szCs w:val="22"/>
          <w:lang w:val="en-GB"/>
        </w:rPr>
      </w:pPr>
      <w:r w:rsidRPr="4AF775A2" w:rsidR="3D5A10F2">
        <w:rPr>
          <w:rFonts w:ascii="Arial" w:hAnsi="Arial" w:eastAsia="Arial" w:cs="Arial"/>
          <w:noProof w:val="0"/>
          <w:sz w:val="22"/>
          <w:szCs w:val="22"/>
          <w:lang w:val="en-GB"/>
        </w:rPr>
        <w:t>Figure 1 – Thematic coding Table results- Source Author</w:t>
      </w:r>
    </w:p>
    <w:p w:rsidR="3180AB45" w:rsidP="4AF775A2" w:rsidRDefault="3180AB45" w14:paraId="773EE244" w14:textId="44F45CFC">
      <w:pPr>
        <w:bidi w:val="0"/>
        <w:spacing w:before="120" w:beforeAutospacing="off" w:after="120" w:afterAutospacing="off" w:line="360" w:lineRule="auto"/>
        <w:jc w:val="both"/>
        <w:rPr>
          <w:rFonts w:ascii="Arial" w:hAnsi="Arial" w:eastAsia="Arial" w:cs="Arial"/>
          <w:noProof w:val="0"/>
          <w:sz w:val="22"/>
          <w:szCs w:val="22"/>
          <w:lang w:val="en-GB"/>
        </w:rPr>
      </w:pPr>
      <w:r w:rsidRPr="4AF775A2" w:rsidR="3180AB45">
        <w:rPr>
          <w:rFonts w:ascii="Arial" w:hAnsi="Arial" w:eastAsia="Arial" w:cs="Arial"/>
          <w:noProof w:val="0"/>
          <w:sz w:val="22"/>
          <w:szCs w:val="22"/>
          <w:lang w:val="en-GB"/>
        </w:rPr>
        <w:t xml:space="preserve">This categorisation is supported by the wider HRM literature, which </w:t>
      </w:r>
      <w:r w:rsidRPr="4AF775A2" w:rsidR="3180AB45">
        <w:rPr>
          <w:rFonts w:ascii="Arial" w:hAnsi="Arial" w:eastAsia="Arial" w:cs="Arial"/>
          <w:noProof w:val="0"/>
          <w:sz w:val="22"/>
          <w:szCs w:val="22"/>
          <w:lang w:val="en-GB"/>
        </w:rPr>
        <w:t>identifies</w:t>
      </w:r>
      <w:r w:rsidRPr="4AF775A2" w:rsidR="3180AB45">
        <w:rPr>
          <w:rFonts w:ascii="Arial" w:hAnsi="Arial" w:eastAsia="Arial" w:cs="Arial"/>
          <w:noProof w:val="0"/>
          <w:sz w:val="22"/>
          <w:szCs w:val="22"/>
          <w:lang w:val="en-GB"/>
        </w:rPr>
        <w:t xml:space="preserve"> these domains as central drivers of employee engagement and retention in skill-intensive contexts (Guest, 2017; Tej et al., 2021). For example, financial motivation captures the role of compensation and rewards in forming employee turnover intentions (</w:t>
      </w:r>
      <w:r w:rsidRPr="4AF775A2" w:rsidR="3180AB45">
        <w:rPr>
          <w:rFonts w:ascii="Arial" w:hAnsi="Arial" w:eastAsia="Arial" w:cs="Arial"/>
          <w:noProof w:val="0"/>
          <w:sz w:val="22"/>
          <w:szCs w:val="22"/>
          <w:lang w:val="en-GB"/>
        </w:rPr>
        <w:t>Muofhe</w:t>
      </w:r>
      <w:r w:rsidRPr="4AF775A2" w:rsidR="3180AB45">
        <w:rPr>
          <w:rFonts w:ascii="Arial" w:hAnsi="Arial" w:eastAsia="Arial" w:cs="Arial"/>
          <w:noProof w:val="0"/>
          <w:sz w:val="22"/>
          <w:szCs w:val="22"/>
          <w:lang w:val="en-GB"/>
        </w:rPr>
        <w:t>, 2021), while training and development reflect the importance of skill enhancement and career progression (Renaud et al., 2015). Similarly, organisational support encompasses communication, leadership, and perceived organisational investment (Ogbonnaya and Messersmith, 2019), and working conditions show the impact of workload, fatigue, and operational pressures on employee outcomes (Jackson and Earl, 2006). Consequently, the structured coding process not only enhances analytical clarity but also ensures alignment between the thematic analysis and recognised theoretical frameworks, supporting a strong and coherent interpretation of the literature.</w:t>
      </w:r>
    </w:p>
    <w:p w:rsidR="46D1F1A9" w:rsidP="4AF775A2" w:rsidRDefault="46D1F1A9" w14:paraId="0250E91C" w14:textId="03ED30ED">
      <w:pPr>
        <w:pStyle w:val="Heading2"/>
        <w:bidi w:val="0"/>
        <w:spacing w:before="120" w:beforeAutospacing="off" w:after="120" w:afterAutospacing="off" w:line="360" w:lineRule="auto"/>
        <w:jc w:val="both"/>
        <w:rPr>
          <w:rFonts w:ascii="Arial" w:hAnsi="Arial" w:eastAsia="Arial" w:cs="Arial"/>
          <w:noProof w:val="0"/>
          <w:sz w:val="22"/>
          <w:szCs w:val="22"/>
          <w:lang w:val="en-GB"/>
        </w:rPr>
      </w:pPr>
      <w:bookmarkStart w:name="_Toc958192933" w:id="1187526692"/>
      <w:r w:rsidRPr="4AF775A2" w:rsidR="46D1F1A9">
        <w:rPr>
          <w:rFonts w:ascii="Arial" w:hAnsi="Arial" w:eastAsia="Arial" w:cs="Arial"/>
          <w:noProof w:val="0"/>
          <w:sz w:val="22"/>
          <w:szCs w:val="22"/>
          <w:lang w:val="en-GB"/>
        </w:rPr>
        <w:t>Communication and Organisational Support</w:t>
      </w:r>
      <w:bookmarkEnd w:id="1187526692"/>
    </w:p>
    <w:p w:rsidR="30D79E45" w:rsidP="4AF775A2" w:rsidRDefault="30D79E45" w14:paraId="458F2FF7" w14:textId="7ACFAFC8">
      <w:pPr>
        <w:bidi w:val="0"/>
        <w:spacing w:before="120" w:beforeAutospacing="off" w:after="120" w:afterAutospacing="off" w:line="360" w:lineRule="auto"/>
        <w:jc w:val="both"/>
        <w:rPr>
          <w:rFonts w:ascii="Arial" w:hAnsi="Arial" w:eastAsia="Arial" w:cs="Arial"/>
          <w:noProof w:val="0"/>
          <w:sz w:val="22"/>
          <w:szCs w:val="22"/>
          <w:lang w:val="en-GB"/>
        </w:rPr>
      </w:pPr>
      <w:r w:rsidRPr="4AF775A2" w:rsidR="30D79E45">
        <w:rPr>
          <w:rFonts w:ascii="Arial" w:hAnsi="Arial" w:eastAsia="Arial" w:cs="Arial"/>
          <w:noProof w:val="0"/>
          <w:sz w:val="22"/>
          <w:szCs w:val="22"/>
          <w:lang w:val="en-GB"/>
        </w:rPr>
        <w:t>Communication and organisational support are identified as the most prominent engagement mechanisms in the thematic synthesis, with multiple studies linking these practices to better employee attitudes and workplace experiences. Evidence regularly demonstrates that HRM practices involving explicit communication, supportive management, and organisational openness are associated with higher levels of engagement, job satisfaction, and perceived well-being (Guest, 2017; Ogbonnaya and Messersmith, 2019). Furthermore, practices such as mentoring, feedback systems, and participative leadership enhance employees’ perceptions of organisational support, consequently reinforcing psychological attachment and commitment (Wikström, 2023; Fatoki, 2023). According to Social Exchange Theory, these mechanisms are projected to foster reciprocal behaviours, whereby employees respond to supportive environments with heightened loyalty and engagement (Gould-Williams and Davies, 2005).</w:t>
      </w:r>
    </w:p>
    <w:p w:rsidR="30D79E45" w:rsidP="4AF775A2" w:rsidRDefault="30D79E45" w14:paraId="1567EE81" w14:textId="73114480">
      <w:pPr>
        <w:bidi w:val="0"/>
        <w:spacing w:before="120" w:beforeAutospacing="off" w:after="120" w:afterAutospacing="off" w:line="360" w:lineRule="auto"/>
        <w:jc w:val="both"/>
        <w:rPr>
          <w:rFonts w:ascii="Arial" w:hAnsi="Arial" w:eastAsia="Arial" w:cs="Arial"/>
          <w:noProof w:val="0"/>
          <w:sz w:val="22"/>
          <w:szCs w:val="22"/>
          <w:lang w:val="en-GB"/>
        </w:rPr>
      </w:pPr>
      <w:r w:rsidRPr="4AF775A2" w:rsidR="30D79E45">
        <w:rPr>
          <w:rFonts w:ascii="Arial" w:hAnsi="Arial" w:eastAsia="Arial" w:cs="Arial"/>
          <w:noProof w:val="0"/>
          <w:sz w:val="22"/>
          <w:szCs w:val="22"/>
          <w:lang w:val="en-GB"/>
        </w:rPr>
        <w:t xml:space="preserve">However, the effectiveness of these practices in securing long-term retention is more limited than </w:t>
      </w:r>
      <w:r w:rsidRPr="4AF775A2" w:rsidR="30D79E45">
        <w:rPr>
          <w:rFonts w:ascii="Arial" w:hAnsi="Arial" w:eastAsia="Arial" w:cs="Arial"/>
          <w:noProof w:val="0"/>
          <w:sz w:val="22"/>
          <w:szCs w:val="22"/>
          <w:lang w:val="en-GB"/>
        </w:rPr>
        <w:t>frequently</w:t>
      </w:r>
      <w:r w:rsidRPr="4AF775A2" w:rsidR="30D79E45">
        <w:rPr>
          <w:rFonts w:ascii="Arial" w:hAnsi="Arial" w:eastAsia="Arial" w:cs="Arial"/>
          <w:noProof w:val="0"/>
          <w:sz w:val="22"/>
          <w:szCs w:val="22"/>
          <w:lang w:val="en-GB"/>
        </w:rPr>
        <w:t xml:space="preserve"> assumed. While organisational support can generate positive </w:t>
      </w:r>
      <w:r w:rsidRPr="4AF775A2" w:rsidR="30D79E45">
        <w:rPr>
          <w:rFonts w:ascii="Arial" w:hAnsi="Arial" w:eastAsia="Arial" w:cs="Arial"/>
          <w:noProof w:val="0"/>
          <w:sz w:val="22"/>
          <w:szCs w:val="22"/>
          <w:lang w:val="en-GB"/>
        </w:rPr>
        <w:t>perceptions</w:t>
      </w:r>
      <w:r w:rsidRPr="4AF775A2" w:rsidR="30D79E45">
        <w:rPr>
          <w:rFonts w:ascii="Arial" w:hAnsi="Arial" w:eastAsia="Arial" w:cs="Arial"/>
          <w:noProof w:val="0"/>
          <w:sz w:val="22"/>
          <w:szCs w:val="22"/>
          <w:lang w:val="en-GB"/>
        </w:rPr>
        <w:t xml:space="preserve"> and short-term commitment, evidence </w:t>
      </w:r>
      <w:r w:rsidRPr="4AF775A2" w:rsidR="30D79E45">
        <w:rPr>
          <w:rFonts w:ascii="Arial" w:hAnsi="Arial" w:eastAsia="Arial" w:cs="Arial"/>
          <w:noProof w:val="0"/>
          <w:sz w:val="22"/>
          <w:szCs w:val="22"/>
          <w:lang w:val="en-GB"/>
        </w:rPr>
        <w:t>indicates</w:t>
      </w:r>
      <w:r w:rsidRPr="4AF775A2" w:rsidR="30D79E45">
        <w:rPr>
          <w:rFonts w:ascii="Arial" w:hAnsi="Arial" w:eastAsia="Arial" w:cs="Arial"/>
          <w:noProof w:val="0"/>
          <w:sz w:val="22"/>
          <w:szCs w:val="22"/>
          <w:lang w:val="en-GB"/>
        </w:rPr>
        <w:t xml:space="preserve"> that it does not necessarily prevent turnover, notably in volatile and highly competitive labour markets (Guest, 2017; Memon et al., 2021). In skill-scarce industries such as aviation, employees may appreciate supportive environments but still pursue external opportunities that offer superior financial or career prospects. This reveals </w:t>
      </w:r>
      <w:r w:rsidRPr="4AF775A2" w:rsidR="77852C03">
        <w:rPr>
          <w:rFonts w:ascii="Arial" w:hAnsi="Arial" w:eastAsia="Arial" w:cs="Arial"/>
          <w:noProof w:val="0"/>
          <w:sz w:val="22"/>
          <w:szCs w:val="22"/>
          <w:lang w:val="en-GB"/>
        </w:rPr>
        <w:t>an</w:t>
      </w:r>
      <w:r w:rsidRPr="4AF775A2" w:rsidR="30D79E45">
        <w:rPr>
          <w:rFonts w:ascii="Arial" w:hAnsi="Arial" w:eastAsia="Arial" w:cs="Arial"/>
          <w:noProof w:val="0"/>
          <w:sz w:val="22"/>
          <w:szCs w:val="22"/>
          <w:lang w:val="en-GB"/>
        </w:rPr>
        <w:t xml:space="preserve"> important limitation of “soft” HRM approaches, which often presuppose stable employment relationships that are increasingly unrealistic in globalised labour markets</w:t>
      </w:r>
      <w:r w:rsidRPr="4AF775A2" w:rsidR="6A35A1A9">
        <w:rPr>
          <w:rFonts w:ascii="Arial" w:hAnsi="Arial" w:eastAsia="Arial" w:cs="Arial"/>
          <w:noProof w:val="0"/>
          <w:sz w:val="22"/>
          <w:szCs w:val="22"/>
          <w:lang w:val="en-GB"/>
        </w:rPr>
        <w:t xml:space="preserve"> (Thompson, 2011)</w:t>
      </w:r>
      <w:r w:rsidRPr="4AF775A2" w:rsidR="30D79E45">
        <w:rPr>
          <w:rFonts w:ascii="Arial" w:hAnsi="Arial" w:eastAsia="Arial" w:cs="Arial"/>
          <w:noProof w:val="0"/>
          <w:sz w:val="22"/>
          <w:szCs w:val="22"/>
          <w:lang w:val="en-GB"/>
        </w:rPr>
        <w:t xml:space="preserve">. As a result, a gap exists between the rhetoric of engagement and the reality of employee mobility. These outcomes suggest that although organisational support mechanisms are important for enhancing employee experience, they are limited as standalone retention tools. This stresses the demand for a more critical and integrated approach to HRM, combining communication plus support with structural and market-aware strategies to </w:t>
      </w:r>
      <w:r w:rsidRPr="4AF775A2" w:rsidR="30D79E45">
        <w:rPr>
          <w:rFonts w:ascii="Arial" w:hAnsi="Arial" w:eastAsia="Arial" w:cs="Arial"/>
          <w:noProof w:val="0"/>
          <w:sz w:val="22"/>
          <w:szCs w:val="22"/>
          <w:lang w:val="en-GB"/>
        </w:rPr>
        <w:t>more effectively influence retention outcomes</w:t>
      </w:r>
      <w:r w:rsidRPr="4AF775A2" w:rsidR="30D79E45">
        <w:rPr>
          <w:rFonts w:ascii="Arial" w:hAnsi="Arial" w:eastAsia="Arial" w:cs="Arial"/>
          <w:noProof w:val="0"/>
          <w:sz w:val="22"/>
          <w:szCs w:val="22"/>
          <w:lang w:val="en-GB"/>
        </w:rPr>
        <w:t>.</w:t>
      </w:r>
    </w:p>
    <w:p w:rsidR="054C2A8F" w:rsidP="4AF775A2" w:rsidRDefault="054C2A8F" w14:paraId="716E02D6" w14:textId="167755B0">
      <w:pPr>
        <w:pStyle w:val="Heading2"/>
        <w:bidi w:val="0"/>
        <w:spacing w:line="360" w:lineRule="auto"/>
        <w:jc w:val="both"/>
        <w:rPr>
          <w:rFonts w:ascii="Arial" w:hAnsi="Arial" w:eastAsia="Arial" w:cs="Arial"/>
          <w:noProof w:val="0"/>
          <w:sz w:val="22"/>
          <w:szCs w:val="22"/>
          <w:lang w:val="en-GB"/>
        </w:rPr>
      </w:pPr>
      <w:bookmarkStart w:name="_Toc1577617760" w:id="1035626539"/>
      <w:r w:rsidRPr="4AF775A2" w:rsidR="054C2A8F">
        <w:rPr>
          <w:rFonts w:ascii="Arial" w:hAnsi="Arial" w:eastAsia="Arial" w:cs="Arial"/>
          <w:noProof w:val="0"/>
          <w:sz w:val="22"/>
          <w:szCs w:val="22"/>
          <w:lang w:val="en-GB"/>
        </w:rPr>
        <w:t>Financial Motivation</w:t>
      </w:r>
      <w:bookmarkEnd w:id="1035626539"/>
    </w:p>
    <w:p w:rsidR="054C2A8F" w:rsidP="4AF775A2" w:rsidRDefault="054C2A8F" w14:paraId="12DAA689" w14:textId="62698EE8">
      <w:pPr>
        <w:bidi w:val="0"/>
        <w:spacing w:before="120" w:beforeAutospacing="off" w:after="120" w:afterAutospacing="off" w:line="360" w:lineRule="auto"/>
        <w:jc w:val="both"/>
        <w:rPr>
          <w:rFonts w:ascii="Arial" w:hAnsi="Arial" w:eastAsia="Arial" w:cs="Arial"/>
          <w:noProof w:val="0"/>
          <w:sz w:val="22"/>
          <w:szCs w:val="22"/>
          <w:lang w:val="en-GB"/>
        </w:rPr>
      </w:pPr>
      <w:r w:rsidRPr="4AF775A2" w:rsidR="054C2A8F">
        <w:rPr>
          <w:rFonts w:ascii="Arial" w:hAnsi="Arial" w:eastAsia="Arial" w:cs="Arial"/>
          <w:noProof w:val="0"/>
          <w:sz w:val="22"/>
          <w:szCs w:val="22"/>
          <w:lang w:val="en-GB"/>
        </w:rPr>
        <w:t>Compensation and reward systems are consistently identified as critical determinants of employee retention, particularly in skill-intensive industries where talent is highly mobile. Empirical evidence suggests that competitive pay is associated with reduced turnover intentions and higher job satisfaction (Muofhe, 2021; Auer et al., 2021). Furthermore, performance-related pay structures and incentive-based rewards can enhance motivation and commitment by linking effort to tangible outcomes (Adom, 2018). However, the literature emphasises that employees do not assess compensation in isolation; rather, they evaluate it relative to external labour market opportunities and internal perceptions of fairness (Belderbos et al., 2025; Aksoy, 2024). Studies on pay transparency and organisational justice further highlight that perceived fairness and clarity of reward systems significantly influence retention, often more than absolute pay levels (Mabaso, 2026; Cragun et al., 2025). This indicates that compensation effectiveness is shaped not only by financial value but also by how it is communicated and understood within the organisational context.</w:t>
      </w:r>
    </w:p>
    <w:p w:rsidR="054C2A8F" w:rsidP="4AF775A2" w:rsidRDefault="054C2A8F" w14:paraId="3FB9D0B3" w14:textId="5369101D">
      <w:pPr>
        <w:bidi w:val="0"/>
        <w:spacing w:before="120" w:beforeAutospacing="off" w:after="120" w:afterAutospacing="off" w:line="360" w:lineRule="auto"/>
        <w:jc w:val="both"/>
        <w:rPr>
          <w:rFonts w:ascii="Arial" w:hAnsi="Arial" w:eastAsia="Arial" w:cs="Arial"/>
          <w:noProof w:val="0"/>
          <w:sz w:val="22"/>
          <w:szCs w:val="22"/>
          <w:lang w:val="en-GB"/>
        </w:rPr>
      </w:pPr>
      <w:r w:rsidRPr="4AF775A2" w:rsidR="054C2A8F">
        <w:rPr>
          <w:rFonts w:ascii="Arial" w:hAnsi="Arial" w:eastAsia="Arial" w:cs="Arial"/>
          <w:noProof w:val="0"/>
          <w:sz w:val="22"/>
          <w:szCs w:val="22"/>
          <w:lang w:val="en-GB"/>
        </w:rPr>
        <w:t xml:space="preserve">Moreover, the interaction between pay and broader organisational factors complicates its role as a retention mechanism. For instance, Lee et al. (2025) demonstrate that the impact of compensation on retention depends on organisational culture, suggesting that financial rewards alone are insufficient in the absence of supportive working environments. In highly competitive sectors such as aviation, this limitation is further intensified by strong external labour demand, which allows employees to readily compare and access alternative opportunities. </w:t>
      </w:r>
      <w:r>
        <w:br/>
      </w:r>
      <w:r w:rsidRPr="4AF775A2" w:rsidR="054C2A8F">
        <w:rPr>
          <w:rFonts w:ascii="Arial" w:hAnsi="Arial" w:eastAsia="Arial" w:cs="Arial"/>
          <w:noProof w:val="0"/>
          <w:sz w:val="22"/>
          <w:szCs w:val="22"/>
          <w:lang w:val="en-GB"/>
        </w:rPr>
        <w:t>As a result, even well-structured compensation systems may be insufficient to retain employees if competitors provide more attractive packages or clearer career advancement opportunities. This supports the view that compensation, while essential, cannot function as an isolated retention strategy and must be integrated with comprehensive human resource management approaches. The literature ultimately demonstrates that reward systems are constrained by external labour market conditions, underscoring the limited capacity of organisations to rely solely on pay to achieve long-term employee retention.</w:t>
      </w:r>
      <w:r w:rsidRPr="4AF775A2" w:rsidR="054C2A8F">
        <w:rPr>
          <w:rFonts w:ascii="Arial" w:hAnsi="Arial" w:eastAsia="Arial" w:cs="Arial"/>
          <w:noProof w:val="0"/>
          <w:sz w:val="22"/>
          <w:szCs w:val="22"/>
          <w:lang w:val="en-GB"/>
        </w:rPr>
        <w:t xml:space="preserve"> </w:t>
      </w:r>
    </w:p>
    <w:p w:rsidR="054C2A8F" w:rsidP="4AF775A2" w:rsidRDefault="054C2A8F" w14:paraId="1D410428" w14:textId="4DFFBE92">
      <w:pPr>
        <w:pStyle w:val="Heading2"/>
        <w:bidi w:val="0"/>
        <w:spacing w:line="360" w:lineRule="auto"/>
        <w:jc w:val="both"/>
        <w:rPr>
          <w:rFonts w:ascii="Arial" w:hAnsi="Arial" w:eastAsia="Arial" w:cs="Arial"/>
          <w:noProof w:val="0"/>
          <w:sz w:val="22"/>
          <w:szCs w:val="22"/>
          <w:lang w:val="en-GB"/>
        </w:rPr>
      </w:pPr>
      <w:bookmarkStart w:name="_Toc1541782008" w:id="977740856"/>
      <w:r w:rsidRPr="4AF775A2" w:rsidR="054C2A8F">
        <w:rPr>
          <w:rFonts w:ascii="Arial" w:hAnsi="Arial" w:eastAsia="Arial" w:cs="Arial"/>
          <w:noProof w:val="0"/>
          <w:sz w:val="22"/>
          <w:szCs w:val="22"/>
          <w:lang w:val="en-GB"/>
        </w:rPr>
        <w:t>Training and Development</w:t>
      </w:r>
      <w:bookmarkEnd w:id="977740856"/>
    </w:p>
    <w:p w:rsidR="054C2A8F" w:rsidP="4AF775A2" w:rsidRDefault="054C2A8F" w14:paraId="6FD710A3" w14:textId="3A9594B5">
      <w:pPr>
        <w:bidi w:val="0"/>
        <w:spacing w:before="120" w:beforeAutospacing="off" w:after="120" w:afterAutospacing="off" w:line="360" w:lineRule="auto"/>
        <w:jc w:val="both"/>
        <w:rPr>
          <w:rFonts w:ascii="Arial" w:hAnsi="Arial" w:eastAsia="Arial" w:cs="Arial"/>
          <w:noProof w:val="0"/>
          <w:sz w:val="22"/>
          <w:szCs w:val="22"/>
          <w:lang w:val="en-GB"/>
        </w:rPr>
      </w:pPr>
      <w:r w:rsidRPr="4AF775A2" w:rsidR="054C2A8F">
        <w:rPr>
          <w:rFonts w:ascii="Arial" w:hAnsi="Arial" w:eastAsia="Arial" w:cs="Arial"/>
          <w:noProof w:val="0"/>
          <w:sz w:val="22"/>
          <w:szCs w:val="22"/>
          <w:lang w:val="en-GB"/>
        </w:rPr>
        <w:t>Training and development are widely recognised as central Human Resource Management (HRM) practices in skill-intensive industries, particularly for strengthening employee capability, engagement, and organisational commitment. Empirical studies consistently prove that structured training initiatives make a positive contribution to employee performance and organisational attachment (Renaud et al., 2015; Tej et al., 2021). Career development opportunities are also associated with higher levels of commitment and retention, since they indicate long-term investment in employees and deliver clear pathways for progression (Tej et al., 2021; Shanker, 2019; Efthymiou et al., 2021). However, the effectiveness of these policies depends on the credibility and transparency of progression pathways. In sectors such as aviation, where employees possess highly transferable skills and are aware of alternative career opportunities, limited or ambiguous progression routes has the potential to undermine the retention benefits of development programmes. This questions the assumption that career development alone ensures retention and draws attention to the need to align formal HRM policies with employees’ actual career experiences.</w:t>
      </w:r>
    </w:p>
    <w:p w:rsidR="4AF775A2" w:rsidP="4AF775A2" w:rsidRDefault="4AF775A2" w14:paraId="66691586" w14:textId="0DC073EF">
      <w:pPr>
        <w:bidi w:val="0"/>
        <w:spacing w:before="120" w:beforeAutospacing="off" w:after="120" w:afterAutospacing="off" w:line="360" w:lineRule="auto"/>
        <w:jc w:val="both"/>
        <w:rPr>
          <w:rFonts w:ascii="Arial" w:hAnsi="Arial" w:eastAsia="Arial" w:cs="Arial"/>
          <w:sz w:val="22"/>
          <w:szCs w:val="22"/>
        </w:rPr>
      </w:pPr>
    </w:p>
    <w:p w:rsidR="054C2A8F" w:rsidP="4AF775A2" w:rsidRDefault="054C2A8F" w14:paraId="20A49C59" w14:textId="2F5AD89D">
      <w:pPr>
        <w:bidi w:val="0"/>
        <w:spacing w:before="120" w:beforeAutospacing="off" w:after="120" w:afterAutospacing="off" w:line="360" w:lineRule="auto"/>
        <w:jc w:val="both"/>
        <w:rPr>
          <w:rFonts w:ascii="Arial" w:hAnsi="Arial" w:eastAsia="Arial" w:cs="Arial"/>
          <w:noProof w:val="0"/>
          <w:sz w:val="22"/>
          <w:szCs w:val="22"/>
          <w:lang w:val="en-GB"/>
        </w:rPr>
      </w:pPr>
      <w:r w:rsidRPr="4AF775A2" w:rsidR="054C2A8F">
        <w:rPr>
          <w:rFonts w:ascii="Arial" w:hAnsi="Arial" w:eastAsia="Arial" w:cs="Arial"/>
          <w:noProof w:val="0"/>
          <w:sz w:val="22"/>
          <w:szCs w:val="22"/>
          <w:lang w:val="en-GB"/>
        </w:rPr>
        <w:t>The literature recognises a crucial paradox: while training enhances internal capability, it also increases employees’ external employability. This effect is especially evident in aviation, where the international standardisation of pilot qualifications enables mobility across organisations and countries. Consequently, investment in training may improve organisational performance in the short term but can also increase turnover risk by making employees more attractive to competitors (Gyensare, 2025). This tension reveals an essential limitation within HRM strategies, indicating that training and development, although essential, are insufficient as standalone retention mechanisms and must be supported employing broader organisational and contextual measures.</w:t>
      </w:r>
    </w:p>
    <w:p w:rsidR="4AF775A2" w:rsidP="4AF775A2" w:rsidRDefault="4AF775A2" w14:paraId="69A0191C" w14:textId="03A65DD1">
      <w:pPr>
        <w:bidi w:val="0"/>
        <w:spacing w:before="120" w:beforeAutospacing="off" w:after="120" w:afterAutospacing="off" w:line="360" w:lineRule="auto"/>
        <w:jc w:val="both"/>
        <w:rPr>
          <w:rFonts w:ascii="Arial" w:hAnsi="Arial" w:eastAsia="Arial" w:cs="Arial"/>
          <w:sz w:val="22"/>
          <w:szCs w:val="22"/>
        </w:rPr>
      </w:pPr>
    </w:p>
    <w:p w:rsidR="054C2A8F" w:rsidP="4AF775A2" w:rsidRDefault="054C2A8F" w14:paraId="547BCD47" w14:textId="13247FB1">
      <w:pPr>
        <w:bidi w:val="0"/>
        <w:spacing w:before="120" w:beforeAutospacing="off" w:after="120" w:afterAutospacing="off" w:line="360" w:lineRule="auto"/>
        <w:jc w:val="both"/>
        <w:rPr>
          <w:rFonts w:ascii="Arial" w:hAnsi="Arial" w:eastAsia="Arial" w:cs="Arial"/>
          <w:noProof w:val="0"/>
          <w:sz w:val="22"/>
          <w:szCs w:val="22"/>
          <w:lang w:val="en-GB"/>
        </w:rPr>
      </w:pPr>
      <w:r w:rsidRPr="4AF775A2" w:rsidR="054C2A8F">
        <w:rPr>
          <w:rFonts w:ascii="Arial" w:hAnsi="Arial" w:eastAsia="Arial" w:cs="Arial"/>
          <w:noProof w:val="0"/>
          <w:sz w:val="22"/>
          <w:szCs w:val="22"/>
          <w:lang w:val="en-GB"/>
        </w:rPr>
        <w:t>Training and development</w:t>
      </w:r>
      <w:r w:rsidRPr="4AF775A2" w:rsidR="054C2A8F">
        <w:rPr>
          <w:rFonts w:ascii="Arial" w:hAnsi="Arial" w:eastAsia="Arial" w:cs="Arial"/>
          <w:noProof w:val="0"/>
          <w:sz w:val="22"/>
          <w:szCs w:val="22"/>
          <w:lang w:val="en-GB"/>
        </w:rPr>
        <w:t xml:space="preserve"> practices, including mentoring, management of employee expectations, and visible organisational investment, </w:t>
      </w:r>
      <w:r w:rsidRPr="4AF775A2" w:rsidR="054C2A8F">
        <w:rPr>
          <w:rFonts w:ascii="Arial" w:hAnsi="Arial" w:eastAsia="Arial" w:cs="Arial"/>
          <w:noProof w:val="0"/>
          <w:sz w:val="22"/>
          <w:szCs w:val="22"/>
          <w:lang w:val="en-GB"/>
        </w:rPr>
        <w:t>emerge</w:t>
      </w:r>
      <w:r w:rsidRPr="4AF775A2" w:rsidR="054C2A8F">
        <w:rPr>
          <w:rFonts w:ascii="Arial" w:hAnsi="Arial" w:eastAsia="Arial" w:cs="Arial"/>
          <w:noProof w:val="0"/>
          <w:sz w:val="22"/>
          <w:szCs w:val="22"/>
          <w:lang w:val="en-GB"/>
        </w:rPr>
        <w:t xml:space="preserve"> as critical drivers of engagement and retention in skill-intensive sectors. The literature points out that structured development initiatives such as mentoring programmes strengthen learning, integration, and long-term commitment by strengthening employees’ skills and career confidence (</w:t>
      </w:r>
      <w:r w:rsidRPr="4AF775A2" w:rsidR="0F0DABBC">
        <w:rPr>
          <w:rFonts w:ascii="Arial" w:hAnsi="Arial" w:eastAsia="Arial" w:cs="Arial"/>
          <w:noProof w:val="0"/>
          <w:sz w:val="22"/>
          <w:szCs w:val="22"/>
          <w:lang w:val="en-GB"/>
        </w:rPr>
        <w:t xml:space="preserve">Brune, Chyn &amp; Kerwin, 2020; </w:t>
      </w:r>
      <w:r w:rsidRPr="4AF775A2" w:rsidR="054C2A8F">
        <w:rPr>
          <w:rFonts w:ascii="Arial" w:hAnsi="Arial" w:eastAsia="Arial" w:cs="Arial"/>
          <w:noProof w:val="0"/>
          <w:sz w:val="22"/>
          <w:szCs w:val="22"/>
          <w:lang w:val="en-GB"/>
        </w:rPr>
        <w:t xml:space="preserve">Wikström, 2023; Guest, 2017). In addition, managing employee expectations—particularly during recruitment and early career stages—is integral to development processes, as inconsistency between </w:t>
      </w:r>
      <w:r w:rsidRPr="4AF775A2" w:rsidR="054C2A8F">
        <w:rPr>
          <w:rFonts w:ascii="Arial" w:hAnsi="Arial" w:eastAsia="Arial" w:cs="Arial"/>
          <w:noProof w:val="0"/>
          <w:sz w:val="22"/>
          <w:szCs w:val="22"/>
          <w:lang w:val="en-GB"/>
        </w:rPr>
        <w:t>anticipated</w:t>
      </w:r>
      <w:r w:rsidRPr="4AF775A2" w:rsidR="054C2A8F">
        <w:rPr>
          <w:rFonts w:ascii="Arial" w:hAnsi="Arial" w:eastAsia="Arial" w:cs="Arial"/>
          <w:noProof w:val="0"/>
          <w:sz w:val="22"/>
          <w:szCs w:val="22"/>
          <w:lang w:val="en-GB"/>
        </w:rPr>
        <w:t xml:space="preserve"> and actual training or progression opportunities can lead to early turnover (Shanker, 2019). Engagement mechanisms embedded within training, such as continuous feedback, learning opportunities, and career-focused development pathways, additionally strengthen this relationship by enhancing </w:t>
      </w:r>
      <w:r w:rsidRPr="4AF775A2" w:rsidR="054C2A8F">
        <w:rPr>
          <w:rFonts w:ascii="Arial" w:hAnsi="Arial" w:eastAsia="Arial" w:cs="Arial"/>
          <w:noProof w:val="0"/>
          <w:sz w:val="22"/>
          <w:szCs w:val="22"/>
          <w:lang w:val="en-GB"/>
        </w:rPr>
        <w:t>perceptions</w:t>
      </w:r>
      <w:r w:rsidRPr="4AF775A2" w:rsidR="054C2A8F">
        <w:rPr>
          <w:rFonts w:ascii="Arial" w:hAnsi="Arial" w:eastAsia="Arial" w:cs="Arial"/>
          <w:noProof w:val="0"/>
          <w:sz w:val="22"/>
          <w:szCs w:val="22"/>
          <w:lang w:val="en-GB"/>
        </w:rPr>
        <w:t xml:space="preserve"> of organisational investment and support (Ogbonnaya and Messersmith, 2019). However, the effectiveness of these practices depends on the extent to which organisations express sincere and sustained commitment toward employee development. Where employee training initiatives are perceived as limited, inaccessible, or symbolic, their impact on engagement and retention is significantly reduced. This suggests that </w:t>
      </w:r>
      <w:r w:rsidRPr="4AF775A2" w:rsidR="054C2A8F">
        <w:rPr>
          <w:rFonts w:ascii="Arial" w:hAnsi="Arial" w:eastAsia="Arial" w:cs="Arial"/>
          <w:noProof w:val="0"/>
          <w:sz w:val="22"/>
          <w:szCs w:val="22"/>
          <w:lang w:val="en-GB"/>
        </w:rPr>
        <w:t>training and development</w:t>
      </w:r>
      <w:r w:rsidRPr="4AF775A2" w:rsidR="054C2A8F">
        <w:rPr>
          <w:rFonts w:ascii="Arial" w:hAnsi="Arial" w:eastAsia="Arial" w:cs="Arial"/>
          <w:noProof w:val="0"/>
          <w:sz w:val="22"/>
          <w:szCs w:val="22"/>
          <w:lang w:val="en-GB"/>
        </w:rPr>
        <w:t xml:space="preserve"> must be experienced as meaningful and consistent with employees’ job aspirations rather than delivered as isolated HR interventions. Consequently, while development systems play </w:t>
      </w:r>
      <w:r w:rsidRPr="4AF775A2" w:rsidR="054C2A8F">
        <w:rPr>
          <w:rFonts w:ascii="Arial" w:hAnsi="Arial" w:eastAsia="Arial" w:cs="Arial"/>
          <w:noProof w:val="0"/>
          <w:sz w:val="22"/>
          <w:szCs w:val="22"/>
          <w:lang w:val="en-GB"/>
        </w:rPr>
        <w:t>a central role</w:t>
      </w:r>
      <w:r w:rsidRPr="4AF775A2" w:rsidR="054C2A8F">
        <w:rPr>
          <w:rFonts w:ascii="Arial" w:hAnsi="Arial" w:eastAsia="Arial" w:cs="Arial"/>
          <w:noProof w:val="0"/>
          <w:sz w:val="22"/>
          <w:szCs w:val="22"/>
          <w:lang w:val="en-GB"/>
        </w:rPr>
        <w:t xml:space="preserve"> in supporting engagement and retention, their effectiveness depends on alignment between organisational investment and employee expectations, strengthening the argument that training alone does not guarantee retention outcomes.</w:t>
      </w:r>
    </w:p>
    <w:p w:rsidR="71F3B898" w:rsidP="4AF775A2" w:rsidRDefault="71F3B898" w14:paraId="046C1D58" w14:textId="0322FED0">
      <w:pPr>
        <w:pStyle w:val="Heading2"/>
        <w:bidi w:val="0"/>
        <w:spacing w:line="360" w:lineRule="auto"/>
        <w:jc w:val="both"/>
        <w:rPr>
          <w:rFonts w:ascii="Arial" w:hAnsi="Arial" w:eastAsia="Arial" w:cs="Arial"/>
          <w:noProof w:val="0"/>
          <w:sz w:val="22"/>
          <w:szCs w:val="22"/>
          <w:lang w:val="en-GB"/>
        </w:rPr>
      </w:pPr>
      <w:bookmarkStart w:name="_Toc231607201" w:id="897829876"/>
      <w:r w:rsidRPr="4AF775A2" w:rsidR="71F3B898">
        <w:rPr>
          <w:rFonts w:ascii="Arial" w:hAnsi="Arial" w:eastAsia="Arial" w:cs="Arial"/>
          <w:noProof w:val="0"/>
          <w:sz w:val="22"/>
          <w:szCs w:val="22"/>
          <w:lang w:val="en-GB"/>
        </w:rPr>
        <w:t>Work Schedule &amp; Conditions</w:t>
      </w:r>
      <w:bookmarkEnd w:id="897829876"/>
    </w:p>
    <w:p w:rsidR="46381C1C" w:rsidP="4AF775A2" w:rsidRDefault="46381C1C" w14:paraId="0C436ED3" w14:textId="082C2F77">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381C1C">
        <w:rPr>
          <w:rFonts w:ascii="Arial" w:hAnsi="Arial" w:eastAsia="Arial" w:cs="Arial"/>
          <w:noProof w:val="0"/>
          <w:sz w:val="22"/>
          <w:szCs w:val="22"/>
          <w:lang w:val="en-GB"/>
        </w:rPr>
        <w:t>Work schedules and broader working conditions are widely recognised as critical determinants of employee engagement and retention, particularly within high-demand, safety-critical sectors such as aviation. Existing literature demonstrates that workload intensity, fatigue, irregular hours, and roster predictability substantially affect employee well-being and job satisfaction (Jackson and Earl, 2006; Harvey and Turnbull, 2012; Steen et al., 2024). In these settings, HRM practices that facilitate manageable schedules, sufficient rest periods, and work-life balance are linked to higher engagement and lower turnover intentions (Guest, 2017; Steen et al., 2024). These considerations are particularly relevant for pilots, whose roles entail significant responsibility and operational pressure, positioning working conditions as a central aspect of the employment experience.</w:t>
      </w:r>
    </w:p>
    <w:p w:rsidR="46381C1C" w:rsidP="4AF775A2" w:rsidRDefault="46381C1C" w14:paraId="3DF5C2B1" w14:textId="530D8226">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381C1C">
        <w:rPr>
          <w:rFonts w:ascii="Arial" w:hAnsi="Arial" w:eastAsia="Arial" w:cs="Arial"/>
          <w:noProof w:val="0"/>
          <w:sz w:val="22"/>
          <w:szCs w:val="22"/>
          <w:lang w:val="en-GB"/>
        </w:rPr>
        <w:t xml:space="preserve">Nevertheless, efforts to improve working conditions are </w:t>
      </w:r>
      <w:r w:rsidRPr="4AF775A2" w:rsidR="46381C1C">
        <w:rPr>
          <w:rFonts w:ascii="Arial" w:hAnsi="Arial" w:eastAsia="Arial" w:cs="Arial"/>
          <w:noProof w:val="0"/>
          <w:sz w:val="22"/>
          <w:szCs w:val="22"/>
          <w:lang w:val="en-GB"/>
        </w:rPr>
        <w:t>frequently</w:t>
      </w:r>
      <w:r w:rsidRPr="4AF775A2" w:rsidR="46381C1C">
        <w:rPr>
          <w:rFonts w:ascii="Arial" w:hAnsi="Arial" w:eastAsia="Arial" w:cs="Arial"/>
          <w:noProof w:val="0"/>
          <w:sz w:val="22"/>
          <w:szCs w:val="22"/>
          <w:lang w:val="en-GB"/>
        </w:rPr>
        <w:t xml:space="preserve"> limited by organisational and industry-specific constraints. For instance, low-cost airline models prioritise high utilisation rates and cost-efficiency, which can increase workloads and restrict scheduling flexibility (Harvey and Turnbull, 2012; </w:t>
      </w:r>
      <w:r w:rsidRPr="4AF775A2" w:rsidR="46381C1C">
        <w:rPr>
          <w:rFonts w:ascii="Arial" w:hAnsi="Arial" w:eastAsia="Arial" w:cs="Arial"/>
          <w:noProof w:val="0"/>
          <w:sz w:val="22"/>
          <w:szCs w:val="22"/>
          <w:lang w:val="en-GB"/>
        </w:rPr>
        <w:t>Habiyaremye</w:t>
      </w:r>
      <w:r w:rsidRPr="4AF775A2" w:rsidR="46381C1C">
        <w:rPr>
          <w:rFonts w:ascii="Arial" w:hAnsi="Arial" w:eastAsia="Arial" w:cs="Arial"/>
          <w:noProof w:val="0"/>
          <w:sz w:val="22"/>
          <w:szCs w:val="22"/>
          <w:lang w:val="en-GB"/>
        </w:rPr>
        <w:t xml:space="preserve"> &amp; Monaco, 2026). This dynamic creates structural tension, as HRM initiatives designed to enhance well-being may be compromised by operational requirements. Research on precarious employment and professional status </w:t>
      </w:r>
      <w:r w:rsidRPr="4AF775A2" w:rsidR="46381C1C">
        <w:rPr>
          <w:rFonts w:ascii="Arial" w:hAnsi="Arial" w:eastAsia="Arial" w:cs="Arial"/>
          <w:noProof w:val="0"/>
          <w:sz w:val="22"/>
          <w:szCs w:val="22"/>
          <w:lang w:val="en-GB"/>
        </w:rPr>
        <w:t>indicates</w:t>
      </w:r>
      <w:r w:rsidRPr="4AF775A2" w:rsidR="46381C1C">
        <w:rPr>
          <w:rFonts w:ascii="Arial" w:hAnsi="Arial" w:eastAsia="Arial" w:cs="Arial"/>
          <w:noProof w:val="0"/>
          <w:sz w:val="22"/>
          <w:szCs w:val="22"/>
          <w:lang w:val="en-GB"/>
        </w:rPr>
        <w:t xml:space="preserve"> that deteriorating working conditions can erode long-term commitment, even when other HRM practices are robust (</w:t>
      </w:r>
      <w:r w:rsidRPr="4AF775A2" w:rsidR="5EC1B82B">
        <w:rPr>
          <w:rFonts w:ascii="Arial" w:hAnsi="Arial" w:eastAsia="Arial" w:cs="Arial"/>
          <w:noProof w:val="0"/>
          <w:sz w:val="22"/>
          <w:szCs w:val="22"/>
          <w:lang w:val="en-GB"/>
        </w:rPr>
        <w:t>Maxwell &amp; Grant</w:t>
      </w:r>
      <w:r w:rsidRPr="4AF775A2" w:rsidR="46381C1C">
        <w:rPr>
          <w:rFonts w:ascii="Arial" w:hAnsi="Arial" w:eastAsia="Arial" w:cs="Arial"/>
          <w:noProof w:val="0"/>
          <w:sz w:val="22"/>
          <w:szCs w:val="22"/>
          <w:lang w:val="en-GB"/>
        </w:rPr>
        <w:t xml:space="preserve">, 2021). Therefore, while positive working conditions are vital for engagement, they are inherently influenced by organisational limitations. This perspective reinforces the view that retention is </w:t>
      </w:r>
      <w:r w:rsidRPr="4AF775A2" w:rsidR="46381C1C">
        <w:rPr>
          <w:rFonts w:ascii="Arial" w:hAnsi="Arial" w:eastAsia="Arial" w:cs="Arial"/>
          <w:noProof w:val="0"/>
          <w:sz w:val="22"/>
          <w:szCs w:val="22"/>
          <w:lang w:val="en-GB"/>
        </w:rPr>
        <w:t>determined</w:t>
      </w:r>
      <w:r w:rsidRPr="4AF775A2" w:rsidR="46381C1C">
        <w:rPr>
          <w:rFonts w:ascii="Arial" w:hAnsi="Arial" w:eastAsia="Arial" w:cs="Arial"/>
          <w:noProof w:val="0"/>
          <w:sz w:val="22"/>
          <w:szCs w:val="22"/>
          <w:lang w:val="en-GB"/>
        </w:rPr>
        <w:t xml:space="preserve"> not only by internal HRM strategies but also by the structural realities of the business model, underscoring the need for a more integrated, context-sensitive approach to workforce sustainability.</w:t>
      </w:r>
    </w:p>
    <w:p w:rsidR="46D1F1A9" w:rsidP="4AF775A2" w:rsidRDefault="46D1F1A9" w14:paraId="7C33248B" w14:textId="034ECBAE">
      <w:pPr>
        <w:pStyle w:val="Heading3"/>
        <w:bidi w:val="0"/>
        <w:spacing w:line="360" w:lineRule="auto"/>
        <w:jc w:val="both"/>
        <w:rPr>
          <w:rFonts w:ascii="Arial" w:hAnsi="Arial" w:eastAsia="Arial" w:cs="Arial"/>
          <w:noProof w:val="0"/>
          <w:sz w:val="22"/>
          <w:szCs w:val="22"/>
          <w:lang w:val="en-GB"/>
        </w:rPr>
      </w:pPr>
      <w:bookmarkStart w:name="_Toc1417912740" w:id="92382221"/>
      <w:r w:rsidRPr="4AF775A2" w:rsidR="46D1F1A9">
        <w:rPr>
          <w:rFonts w:ascii="Arial" w:hAnsi="Arial" w:eastAsia="Arial" w:cs="Arial"/>
          <w:noProof w:val="0"/>
          <w:sz w:val="22"/>
          <w:szCs w:val="22"/>
          <w:lang w:val="en-GB"/>
        </w:rPr>
        <w:t>Summary of RQ1</w:t>
      </w:r>
      <w:bookmarkEnd w:id="92382221"/>
    </w:p>
    <w:p w:rsidR="46D1F1A9" w:rsidP="4AF775A2" w:rsidRDefault="46D1F1A9" w14:paraId="0DC01C96" w14:textId="33872E7E">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Overall, the findings show that HRM practices influence retention only indirectly, primarily by shaping employee attitudes and </w:t>
      </w:r>
      <w:r w:rsidRPr="4AF775A2" w:rsidR="46D1F1A9">
        <w:rPr>
          <w:rFonts w:ascii="Arial" w:hAnsi="Arial" w:eastAsia="Arial" w:cs="Arial"/>
          <w:noProof w:val="0"/>
          <w:sz w:val="22"/>
          <w:szCs w:val="22"/>
          <w:lang w:val="en-GB"/>
        </w:rPr>
        <w:t>perceptions</w:t>
      </w:r>
      <w:r w:rsidRPr="4AF775A2" w:rsidR="46D1F1A9">
        <w:rPr>
          <w:rFonts w:ascii="Arial" w:hAnsi="Arial" w:eastAsia="Arial" w:cs="Arial"/>
          <w:noProof w:val="0"/>
          <w:sz w:val="22"/>
          <w:szCs w:val="22"/>
          <w:lang w:val="en-GB"/>
        </w:rPr>
        <w:t xml:space="preserve"> rather than by exerting direct control over turnover. Their effectiveness is fundamentally mediated by broader contextual factors, such as labour market conditions, career mobility, and the organisation's strategic priorities. This calls into question the adequacy of firm-centric HRM models and endorses a more critical, context-sensitive strategy for understanding and managing retention.</w:t>
      </w:r>
    </w:p>
    <w:p w:rsidR="4AF775A2" w:rsidP="4AF775A2" w:rsidRDefault="4AF775A2" w14:paraId="46093B0F" w14:textId="1E965EC1">
      <w:pPr>
        <w:bidi w:val="0"/>
        <w:spacing w:before="120" w:beforeAutospacing="off" w:after="120" w:afterAutospacing="off" w:line="360" w:lineRule="auto"/>
        <w:jc w:val="both"/>
        <w:rPr>
          <w:rFonts w:ascii="Arial" w:hAnsi="Arial" w:eastAsia="Arial" w:cs="Arial"/>
          <w:noProof w:val="0"/>
          <w:sz w:val="22"/>
          <w:szCs w:val="22"/>
          <w:lang w:val="en-GB"/>
        </w:rPr>
      </w:pPr>
    </w:p>
    <w:p w:rsidR="48411DFA" w:rsidP="4AF775A2" w:rsidRDefault="48411DFA" w14:paraId="5857B26F" w14:textId="7D82FF6D">
      <w:pPr>
        <w:pStyle w:val="Heading1"/>
        <w:bidi w:val="0"/>
        <w:spacing w:line="360" w:lineRule="auto"/>
        <w:jc w:val="both"/>
        <w:rPr>
          <w:rFonts w:ascii="Arial" w:hAnsi="Arial" w:eastAsia="Arial" w:cs="Arial"/>
          <w:sz w:val="22"/>
          <w:szCs w:val="22"/>
        </w:rPr>
      </w:pPr>
      <w:bookmarkStart w:name="_Toc255306170" w:id="711003710"/>
      <w:r w:rsidRPr="4AF775A2" w:rsidR="48411DFA">
        <w:rPr>
          <w:rFonts w:ascii="Arial" w:hAnsi="Arial" w:eastAsia="Arial" w:cs="Arial"/>
          <w:sz w:val="22"/>
          <w:szCs w:val="22"/>
        </w:rPr>
        <w:t>Narrative synthesis of RQ2</w:t>
      </w:r>
      <w:bookmarkEnd w:id="711003710"/>
    </w:p>
    <w:p w:rsidR="77AE1605" w:rsidP="4AF775A2" w:rsidRDefault="77AE1605" w14:paraId="72BC753C" w14:textId="69E397C5">
      <w:pPr>
        <w:bidi w:val="0"/>
        <w:spacing w:before="120" w:beforeAutospacing="off" w:after="120" w:afterAutospacing="off" w:line="360" w:lineRule="auto"/>
        <w:jc w:val="both"/>
        <w:rPr>
          <w:rFonts w:ascii="Arial" w:hAnsi="Arial" w:eastAsia="Arial" w:cs="Arial"/>
          <w:noProof w:val="0"/>
          <w:sz w:val="22"/>
          <w:szCs w:val="22"/>
          <w:lang w:val="en-GB"/>
        </w:rPr>
      </w:pPr>
      <w:r w:rsidRPr="4AF775A2" w:rsidR="77AE1605">
        <w:rPr>
          <w:rFonts w:ascii="Arial" w:hAnsi="Arial" w:eastAsia="Arial" w:cs="Arial"/>
          <w:noProof w:val="0"/>
          <w:sz w:val="22"/>
          <w:szCs w:val="22"/>
          <w:lang w:val="en-GB"/>
        </w:rPr>
        <w:t xml:space="preserve">Training and development at easyJet are positioned as central human resource management (HRM) practices; however, their primary function is operational rather than </w:t>
      </w:r>
      <w:r w:rsidRPr="4AF775A2" w:rsidR="77AE1605">
        <w:rPr>
          <w:rFonts w:ascii="Arial" w:hAnsi="Arial" w:eastAsia="Arial" w:cs="Arial"/>
          <w:noProof w:val="0"/>
          <w:sz w:val="22"/>
          <w:szCs w:val="22"/>
          <w:lang w:val="en-GB"/>
        </w:rPr>
        <w:t>retention-focused</w:t>
      </w:r>
      <w:r w:rsidRPr="4AF775A2" w:rsidR="77AE1605">
        <w:rPr>
          <w:rFonts w:ascii="Arial" w:hAnsi="Arial" w:eastAsia="Arial" w:cs="Arial"/>
          <w:noProof w:val="0"/>
          <w:sz w:val="22"/>
          <w:szCs w:val="22"/>
          <w:lang w:val="en-GB"/>
        </w:rPr>
        <w:t xml:space="preserve">. Publicly available evidence </w:t>
      </w:r>
      <w:r w:rsidRPr="4AF775A2" w:rsidR="77AE1605">
        <w:rPr>
          <w:rFonts w:ascii="Arial" w:hAnsi="Arial" w:eastAsia="Arial" w:cs="Arial"/>
          <w:noProof w:val="0"/>
          <w:sz w:val="22"/>
          <w:szCs w:val="22"/>
          <w:lang w:val="en-GB"/>
        </w:rPr>
        <w:t>demonstrates</w:t>
      </w:r>
      <w:r w:rsidRPr="4AF775A2" w:rsidR="77AE1605">
        <w:rPr>
          <w:rFonts w:ascii="Arial" w:hAnsi="Arial" w:eastAsia="Arial" w:cs="Arial"/>
          <w:noProof w:val="0"/>
          <w:sz w:val="22"/>
          <w:szCs w:val="22"/>
          <w:lang w:val="en-GB"/>
        </w:rPr>
        <w:t xml:space="preserve"> substantial investment in pilot training programmes, including structured cadet pathways, mentoring initiatives, and targeted development schemes such as the “Accelerate: Women’s Development Programme” (easyJet plc, 2023; easyJet plc, 2024). These initiatives align with broader HRM literature, which </w:t>
      </w:r>
      <w:r w:rsidRPr="4AF775A2" w:rsidR="77AE1605">
        <w:rPr>
          <w:rFonts w:ascii="Arial" w:hAnsi="Arial" w:eastAsia="Arial" w:cs="Arial"/>
          <w:noProof w:val="0"/>
          <w:sz w:val="22"/>
          <w:szCs w:val="22"/>
          <w:lang w:val="en-GB"/>
        </w:rPr>
        <w:t>identifies</w:t>
      </w:r>
      <w:r w:rsidRPr="4AF775A2" w:rsidR="77AE1605">
        <w:rPr>
          <w:rFonts w:ascii="Arial" w:hAnsi="Arial" w:eastAsia="Arial" w:cs="Arial"/>
          <w:noProof w:val="0"/>
          <w:sz w:val="22"/>
          <w:szCs w:val="22"/>
          <w:lang w:val="en-GB"/>
        </w:rPr>
        <w:t xml:space="preserve"> training and development as critical mechanisms for enhancing employee capability and organisational performance (Renaud et al., 2015; Tej et al., 2021). Within the aviation sector, competency-based training frameworks are widely implemented to ensure workforce readiness and </w:t>
      </w:r>
      <w:r w:rsidRPr="4AF775A2" w:rsidR="77AE1605">
        <w:rPr>
          <w:rFonts w:ascii="Arial" w:hAnsi="Arial" w:eastAsia="Arial" w:cs="Arial"/>
          <w:noProof w:val="0"/>
          <w:sz w:val="22"/>
          <w:szCs w:val="22"/>
          <w:lang w:val="en-GB"/>
        </w:rPr>
        <w:t>maintain</w:t>
      </w:r>
      <w:r w:rsidRPr="4AF775A2" w:rsidR="77AE1605">
        <w:rPr>
          <w:rFonts w:ascii="Arial" w:hAnsi="Arial" w:eastAsia="Arial" w:cs="Arial"/>
          <w:noProof w:val="0"/>
          <w:sz w:val="22"/>
          <w:szCs w:val="22"/>
          <w:lang w:val="en-GB"/>
        </w:rPr>
        <w:t xml:space="preserve"> operational standards (</w:t>
      </w:r>
      <w:r w:rsidRPr="4AF775A2" w:rsidR="70466BE5">
        <w:rPr>
          <w:rFonts w:ascii="Arial" w:hAnsi="Arial" w:eastAsia="Arial" w:cs="Arial"/>
          <w:noProof w:val="0"/>
          <w:sz w:val="22"/>
          <w:szCs w:val="22"/>
          <w:lang w:val="en-GB"/>
        </w:rPr>
        <w:t>Ziakkas, Michael and Pechlivanis,</w:t>
      </w:r>
      <w:r w:rsidRPr="4AF775A2" w:rsidR="77AE1605">
        <w:rPr>
          <w:rFonts w:ascii="Arial" w:hAnsi="Arial" w:eastAsia="Arial" w:cs="Arial"/>
          <w:noProof w:val="0"/>
          <w:sz w:val="22"/>
          <w:szCs w:val="22"/>
          <w:lang w:val="en-GB"/>
        </w:rPr>
        <w:t xml:space="preserve"> 2022), while mentoring programmes </w:t>
      </w:r>
      <w:r w:rsidRPr="4AF775A2" w:rsidR="77AE1605">
        <w:rPr>
          <w:rFonts w:ascii="Arial" w:hAnsi="Arial" w:eastAsia="Arial" w:cs="Arial"/>
          <w:noProof w:val="0"/>
          <w:sz w:val="22"/>
          <w:szCs w:val="22"/>
          <w:lang w:val="en-GB"/>
        </w:rPr>
        <w:t>facilitate</w:t>
      </w:r>
      <w:r w:rsidRPr="4AF775A2" w:rsidR="77AE1605">
        <w:rPr>
          <w:rFonts w:ascii="Arial" w:hAnsi="Arial" w:eastAsia="Arial" w:cs="Arial"/>
          <w:noProof w:val="0"/>
          <w:sz w:val="22"/>
          <w:szCs w:val="22"/>
          <w:lang w:val="en-GB"/>
        </w:rPr>
        <w:t xml:space="preserve"> improved knowledge transfer and employee engagement (Wikström et al., 2023). Despite these investments, the evidence suggests that training at easyJet is primarily used to sustain workforce supply and operational continuity, rather than to explicitly promote long-term retention. </w:t>
      </w:r>
    </w:p>
    <w:p w:rsidR="77AE1605" w:rsidP="4AF775A2" w:rsidRDefault="77AE1605" w14:paraId="0A6D8630" w14:textId="00ECC4F8">
      <w:pPr>
        <w:pStyle w:val="Normal"/>
        <w:bidi w:val="0"/>
        <w:spacing w:before="120" w:beforeAutospacing="off" w:after="120" w:afterAutospacing="off" w:line="360" w:lineRule="auto"/>
        <w:jc w:val="both"/>
      </w:pPr>
      <w:r w:rsidRPr="4AF775A2" w:rsidR="77AE1605">
        <w:rPr>
          <w:rFonts w:ascii="Arial" w:hAnsi="Arial" w:eastAsia="Arial" w:cs="Arial"/>
          <w:noProof w:val="0"/>
          <w:sz w:val="22"/>
          <w:szCs w:val="22"/>
          <w:lang w:val="en-GB"/>
        </w:rPr>
        <w:t>This pattern reflects a broader trend in the literature, where development initiatives are aligned with immediate organisational requirements rather than fostering employee attachment (</w:t>
      </w:r>
      <w:r w:rsidRPr="4AF775A2" w:rsidR="77AE1605">
        <w:rPr>
          <w:rFonts w:ascii="Arial" w:hAnsi="Arial" w:eastAsia="Arial" w:cs="Arial"/>
          <w:noProof w:val="0"/>
          <w:sz w:val="22"/>
          <w:szCs w:val="22"/>
          <w:lang w:val="en-GB"/>
        </w:rPr>
        <w:t>Gyensare</w:t>
      </w:r>
      <w:r w:rsidRPr="4AF775A2" w:rsidR="77AE1605">
        <w:rPr>
          <w:rFonts w:ascii="Arial" w:hAnsi="Arial" w:eastAsia="Arial" w:cs="Arial"/>
          <w:noProof w:val="0"/>
          <w:sz w:val="22"/>
          <w:szCs w:val="22"/>
          <w:lang w:val="en-GB"/>
        </w:rPr>
        <w:t xml:space="preserve"> et al., 2025). Additionally, in highly skilled and mobile labour markets such as aviation, training may inadvertently increase employees’ external employability, thereby elevating turnover risk (</w:t>
      </w:r>
      <w:r w:rsidRPr="4AF775A2" w:rsidR="77AE1605">
        <w:rPr>
          <w:rFonts w:ascii="Arial" w:hAnsi="Arial" w:eastAsia="Arial" w:cs="Arial"/>
          <w:noProof w:val="0"/>
          <w:sz w:val="22"/>
          <w:szCs w:val="22"/>
          <w:lang w:val="en-GB"/>
        </w:rPr>
        <w:t>Belderbos</w:t>
      </w:r>
      <w:r w:rsidRPr="4AF775A2" w:rsidR="77AE1605">
        <w:rPr>
          <w:rFonts w:ascii="Arial" w:hAnsi="Arial" w:eastAsia="Arial" w:cs="Arial"/>
          <w:noProof w:val="0"/>
          <w:sz w:val="22"/>
          <w:szCs w:val="22"/>
          <w:lang w:val="en-GB"/>
        </w:rPr>
        <w:t xml:space="preserve"> et al., 2025). This dynamic creates a structural tension, as practices intended to enhance capability may simultaneously undermine retention outcomes. Therefore, while easyJet’s training strategy supports short-term operational capability, its effectiveness as a retention mechanism is limited by both the low-cost airline model and broader labour market dynamics. This underscores the necessity of evaluating HRM practices within the wider strategic and industry context, a theme further examined in relation to organisational constraints (RQ3).</w:t>
      </w:r>
    </w:p>
    <w:p w:rsidR="46D1F1A9" w:rsidP="4AF775A2" w:rsidRDefault="46D1F1A9" w14:paraId="090D2C16" w14:textId="62A5C6AF">
      <w:pPr>
        <w:pStyle w:val="Heading2"/>
        <w:bidi w:val="0"/>
        <w:spacing w:line="360" w:lineRule="auto"/>
        <w:jc w:val="both"/>
        <w:rPr>
          <w:rFonts w:ascii="Arial" w:hAnsi="Arial" w:eastAsia="Arial" w:cs="Arial"/>
          <w:noProof w:val="0"/>
          <w:sz w:val="22"/>
          <w:szCs w:val="22"/>
          <w:lang w:val="en-GB"/>
        </w:rPr>
      </w:pPr>
      <w:bookmarkStart w:name="_Toc702423903" w:id="13794821"/>
      <w:r w:rsidRPr="4AF775A2" w:rsidR="46D1F1A9">
        <w:rPr>
          <w:rFonts w:ascii="Arial" w:hAnsi="Arial" w:eastAsia="Arial" w:cs="Arial"/>
          <w:noProof w:val="0"/>
          <w:sz w:val="22"/>
          <w:szCs w:val="22"/>
          <w:lang w:val="en-GB"/>
        </w:rPr>
        <w:t>Retention and Turnover Trends</w:t>
      </w:r>
      <w:bookmarkEnd w:id="13794821"/>
    </w:p>
    <w:p w:rsidR="17D76364" w:rsidP="4AF775A2" w:rsidRDefault="17D76364" w14:paraId="1C88A0E2" w14:textId="4F4427B7">
      <w:pPr>
        <w:bidi w:val="0"/>
        <w:spacing w:before="120" w:beforeAutospacing="off" w:after="120" w:afterAutospacing="off" w:line="360" w:lineRule="auto"/>
        <w:jc w:val="both"/>
      </w:pPr>
      <w:r w:rsidRPr="4AF775A2" w:rsidR="17D76364">
        <w:rPr>
          <w:rFonts w:ascii="Arial" w:hAnsi="Arial" w:eastAsia="Arial" w:cs="Arial"/>
          <w:noProof w:val="0"/>
          <w:sz w:val="22"/>
          <w:szCs w:val="22"/>
          <w:lang w:val="en-GB"/>
        </w:rPr>
        <w:t>Retention outcomes at easyJet result from the complex interplay between internal human resource management (HRM) practices and external labour market conditions, rather than being exclusively shaped by organisational strategies.</w:t>
      </w:r>
    </w:p>
    <w:p w:rsidR="17D76364" w:rsidP="4AF775A2" w:rsidRDefault="17D76364" w14:paraId="212B292B" w14:textId="3592B53F">
      <w:pPr>
        <w:bidi w:val="0"/>
        <w:spacing w:before="120" w:beforeAutospacing="off" w:after="120" w:afterAutospacing="off" w:line="360" w:lineRule="auto"/>
        <w:jc w:val="both"/>
      </w:pPr>
      <w:r w:rsidRPr="4AF775A2" w:rsidR="17D76364">
        <w:rPr>
          <w:rFonts w:ascii="Arial" w:hAnsi="Arial" w:eastAsia="Arial" w:cs="Arial"/>
          <w:noProof w:val="0"/>
          <w:sz w:val="22"/>
          <w:szCs w:val="22"/>
          <w:lang w:val="en-GB"/>
        </w:rPr>
        <w:t xml:space="preserve">Prior to the COVID-19 pandemic, pilot turnover rates at easyJet remained </w:t>
      </w:r>
      <w:r w:rsidRPr="4AF775A2" w:rsidR="17D76364">
        <w:rPr>
          <w:rFonts w:ascii="Arial" w:hAnsi="Arial" w:eastAsia="Arial" w:cs="Arial"/>
          <w:noProof w:val="0"/>
          <w:sz w:val="22"/>
          <w:szCs w:val="22"/>
          <w:lang w:val="en-GB"/>
        </w:rPr>
        <w:t>relatively stable</w:t>
      </w:r>
      <w:r w:rsidRPr="4AF775A2" w:rsidR="17D76364">
        <w:rPr>
          <w:rFonts w:ascii="Arial" w:hAnsi="Arial" w:eastAsia="Arial" w:cs="Arial"/>
          <w:noProof w:val="0"/>
          <w:sz w:val="22"/>
          <w:szCs w:val="22"/>
          <w:lang w:val="en-GB"/>
        </w:rPr>
        <w:t xml:space="preserve"> at </w:t>
      </w:r>
      <w:r w:rsidRPr="4AF775A2" w:rsidR="17D76364">
        <w:rPr>
          <w:rFonts w:ascii="Arial" w:hAnsi="Arial" w:eastAsia="Arial" w:cs="Arial"/>
          <w:noProof w:val="0"/>
          <w:sz w:val="22"/>
          <w:szCs w:val="22"/>
          <w:lang w:val="en-GB"/>
        </w:rPr>
        <w:t>approximately 5</w:t>
      </w:r>
      <w:r w:rsidRPr="4AF775A2" w:rsidR="17D76364">
        <w:rPr>
          <w:rFonts w:ascii="Arial" w:hAnsi="Arial" w:eastAsia="Arial" w:cs="Arial"/>
          <w:noProof w:val="0"/>
          <w:sz w:val="22"/>
          <w:szCs w:val="22"/>
          <w:lang w:val="en-GB"/>
        </w:rPr>
        <w:t xml:space="preserve">–7%, </w:t>
      </w:r>
      <w:r w:rsidRPr="4AF775A2" w:rsidR="17D76364">
        <w:rPr>
          <w:rFonts w:ascii="Arial" w:hAnsi="Arial" w:eastAsia="Arial" w:cs="Arial"/>
          <w:noProof w:val="0"/>
          <w:sz w:val="22"/>
          <w:szCs w:val="22"/>
          <w:lang w:val="en-GB"/>
        </w:rPr>
        <w:t>indicating</w:t>
      </w:r>
      <w:r w:rsidRPr="4AF775A2" w:rsidR="17D76364">
        <w:rPr>
          <w:rFonts w:ascii="Arial" w:hAnsi="Arial" w:eastAsia="Arial" w:cs="Arial"/>
          <w:noProof w:val="0"/>
          <w:sz w:val="22"/>
          <w:szCs w:val="22"/>
          <w:lang w:val="en-GB"/>
        </w:rPr>
        <w:t xml:space="preserve"> workforce stability within the organisation (easyJet plc, 2019). In contrast, recent data reveal a 163.9% increase in pilot hiring between September 2022 and September 2023, which reflects intensified attrition pressures and increased competition for skilled personnel (easyJet plc, 2023). These developments are consistent with broader industry trends, as global pilot shortages and greater labour mobility have </w:t>
      </w:r>
      <w:r w:rsidRPr="4AF775A2" w:rsidR="17D76364">
        <w:rPr>
          <w:rFonts w:ascii="Arial" w:hAnsi="Arial" w:eastAsia="Arial" w:cs="Arial"/>
          <w:noProof w:val="0"/>
          <w:sz w:val="22"/>
          <w:szCs w:val="22"/>
          <w:lang w:val="en-GB"/>
        </w:rPr>
        <w:t>substantially transformed</w:t>
      </w:r>
      <w:r w:rsidRPr="4AF775A2" w:rsidR="17D76364">
        <w:rPr>
          <w:rFonts w:ascii="Arial" w:hAnsi="Arial" w:eastAsia="Arial" w:cs="Arial"/>
          <w:noProof w:val="0"/>
          <w:sz w:val="22"/>
          <w:szCs w:val="22"/>
          <w:lang w:val="en-GB"/>
        </w:rPr>
        <w:t xml:space="preserve"> workforce dynamics (Leroux-Parra, 2019; </w:t>
      </w:r>
      <w:r w:rsidRPr="4AF775A2" w:rsidR="5FD02165">
        <w:rPr>
          <w:rFonts w:ascii="Arial" w:hAnsi="Arial" w:eastAsia="Arial" w:cs="Arial"/>
          <w:noProof w:val="0"/>
          <w:sz w:val="22"/>
          <w:szCs w:val="22"/>
          <w:lang w:val="en-GB"/>
        </w:rPr>
        <w:t>Klapper &amp; Ruff-Stahl</w:t>
      </w:r>
      <w:r w:rsidRPr="4AF775A2" w:rsidR="17D76364">
        <w:rPr>
          <w:rFonts w:ascii="Arial" w:hAnsi="Arial" w:eastAsia="Arial" w:cs="Arial"/>
          <w:noProof w:val="0"/>
          <w:sz w:val="22"/>
          <w:szCs w:val="22"/>
          <w:lang w:val="en-GB"/>
        </w:rPr>
        <w:t>, 2019).</w:t>
      </w:r>
    </w:p>
    <w:p w:rsidR="17D76364" w:rsidP="4AF775A2" w:rsidRDefault="17D76364" w14:paraId="2FB98E2D" w14:textId="5D689682">
      <w:pPr>
        <w:bidi w:val="0"/>
        <w:spacing w:before="120" w:beforeAutospacing="off" w:after="120" w:afterAutospacing="off" w:line="360" w:lineRule="auto"/>
        <w:jc w:val="both"/>
      </w:pPr>
      <w:r w:rsidRPr="4AF775A2" w:rsidR="17D76364">
        <w:rPr>
          <w:rFonts w:ascii="Arial" w:hAnsi="Arial" w:eastAsia="Arial" w:cs="Arial"/>
          <w:noProof w:val="0"/>
          <w:sz w:val="22"/>
          <w:szCs w:val="22"/>
          <w:lang w:val="en-GB"/>
        </w:rPr>
        <w:t>These findings indicate that retention is influenced not only by internal HRM practices but also by external labour market forces. In highly skilled sectors such as aviation, employees possess transferable qualifications and can pursue competitive opportunities across organisations and regions (Belderbos et al., 2025). As a result, even robust HRM strategies may have limited effectiveness when external demand is high. In response, easyJet’s adoption of predictive modelling to identify attrition drivers demonstrates a strategic, data-driven approach to workforce management, aligning with contemporary HRM practices that prioritise analytics in decision-making (Pahos and Galanaki, 2022).</w:t>
      </w:r>
    </w:p>
    <w:p w:rsidR="17D76364" w:rsidP="4AF775A2" w:rsidRDefault="17D76364" w14:paraId="1C38BD55" w14:textId="459CD92B">
      <w:pPr>
        <w:bidi w:val="0"/>
        <w:spacing w:before="120" w:beforeAutospacing="off" w:after="120" w:afterAutospacing="off" w:line="360" w:lineRule="auto"/>
        <w:jc w:val="both"/>
      </w:pPr>
      <w:r w:rsidRPr="4AF775A2" w:rsidR="17D76364">
        <w:rPr>
          <w:rFonts w:ascii="Arial" w:hAnsi="Arial" w:eastAsia="Arial" w:cs="Arial"/>
          <w:noProof w:val="0"/>
          <w:sz w:val="22"/>
          <w:szCs w:val="22"/>
          <w:lang w:val="en-GB"/>
        </w:rPr>
        <w:t>Collectively, this evidence supports the argument that retention in the low-cost airline sector is shaped by both organisational initiatives and structural labour-market constraints, underscoring the limitations of relying exclusively on internal HRM practices to achieve long-term workforce stability. The interaction between these factors is further examined in relation to the strategic constraints of the low-cost model (RQ3).</w:t>
      </w:r>
    </w:p>
    <w:p w:rsidR="46D1F1A9" w:rsidP="4AF775A2" w:rsidRDefault="46D1F1A9" w14:paraId="5FF6D437" w14:textId="40CE40AC">
      <w:pPr>
        <w:pStyle w:val="Heading2"/>
        <w:bidi w:val="0"/>
        <w:spacing w:line="360" w:lineRule="auto"/>
        <w:jc w:val="both"/>
        <w:rPr>
          <w:rFonts w:ascii="Arial" w:hAnsi="Arial" w:eastAsia="Arial" w:cs="Arial"/>
          <w:noProof w:val="0"/>
          <w:sz w:val="22"/>
          <w:szCs w:val="22"/>
          <w:lang w:val="en-GB"/>
        </w:rPr>
      </w:pPr>
      <w:bookmarkStart w:name="_Toc311820441" w:id="565618080"/>
      <w:r w:rsidRPr="4AF775A2" w:rsidR="46D1F1A9">
        <w:rPr>
          <w:rFonts w:ascii="Arial" w:hAnsi="Arial" w:eastAsia="Arial" w:cs="Arial"/>
          <w:noProof w:val="0"/>
          <w:sz w:val="22"/>
          <w:szCs w:val="22"/>
          <w:lang w:val="en-GB"/>
        </w:rPr>
        <w:t>Engagement and Employee Experience</w:t>
      </w:r>
      <w:bookmarkEnd w:id="565618080"/>
    </w:p>
    <w:p w:rsidR="7A3C02D3" w:rsidP="4AF775A2" w:rsidRDefault="7A3C02D3" w14:paraId="43A8DE79" w14:textId="7F1A0539">
      <w:pPr>
        <w:bidi w:val="0"/>
        <w:spacing w:before="120" w:beforeAutospacing="off" w:after="120" w:afterAutospacing="off" w:line="360" w:lineRule="auto"/>
        <w:jc w:val="both"/>
        <w:rPr>
          <w:rFonts w:ascii="Arial" w:hAnsi="Arial" w:eastAsia="Arial" w:cs="Arial"/>
          <w:noProof w:val="0"/>
          <w:sz w:val="22"/>
          <w:szCs w:val="22"/>
          <w:lang w:val="en-GB"/>
        </w:rPr>
      </w:pPr>
      <w:r w:rsidRPr="4AF775A2" w:rsidR="7A3C02D3">
        <w:rPr>
          <w:rFonts w:ascii="Arial" w:hAnsi="Arial" w:eastAsia="Arial" w:cs="Arial"/>
          <w:noProof w:val="0"/>
          <w:sz w:val="22"/>
          <w:szCs w:val="22"/>
          <w:lang w:val="en-GB"/>
        </w:rPr>
        <w:t xml:space="preserve">Employee engagement and experience at easyJet are reported as strong, yet these factors do not consistently result in sustained employee retention. Organisational disclosures and external sources </w:t>
      </w:r>
      <w:r w:rsidRPr="4AF775A2" w:rsidR="7A3C02D3">
        <w:rPr>
          <w:rFonts w:ascii="Arial" w:hAnsi="Arial" w:eastAsia="Arial" w:cs="Arial"/>
          <w:noProof w:val="0"/>
          <w:sz w:val="22"/>
          <w:szCs w:val="22"/>
          <w:lang w:val="en-GB"/>
        </w:rPr>
        <w:t>indicate</w:t>
      </w:r>
      <w:r w:rsidRPr="4AF775A2" w:rsidR="7A3C02D3">
        <w:rPr>
          <w:rFonts w:ascii="Arial" w:hAnsi="Arial" w:eastAsia="Arial" w:cs="Arial"/>
          <w:noProof w:val="0"/>
          <w:sz w:val="22"/>
          <w:szCs w:val="22"/>
          <w:lang w:val="en-GB"/>
        </w:rPr>
        <w:t xml:space="preserve"> </w:t>
      </w:r>
      <w:r w:rsidRPr="4AF775A2" w:rsidR="7A3C02D3">
        <w:rPr>
          <w:rFonts w:ascii="Arial" w:hAnsi="Arial" w:eastAsia="Arial" w:cs="Arial"/>
          <w:noProof w:val="0"/>
          <w:sz w:val="22"/>
          <w:szCs w:val="22"/>
          <w:lang w:val="en-GB"/>
        </w:rPr>
        <w:t>relatively high</w:t>
      </w:r>
      <w:r w:rsidRPr="4AF775A2" w:rsidR="7A3C02D3">
        <w:rPr>
          <w:rFonts w:ascii="Arial" w:hAnsi="Arial" w:eastAsia="Arial" w:cs="Arial"/>
          <w:noProof w:val="0"/>
          <w:sz w:val="22"/>
          <w:szCs w:val="22"/>
          <w:lang w:val="en-GB"/>
        </w:rPr>
        <w:t xml:space="preserve"> employee satisfaction, with engagement reflected in a 4.2 rating (Glassdoor, 2025; easyJet plc, 2025). This suggests that human resource manageme3333333nt (HRM) practices such as communication, development opportunities, and organisational support positively influence employee attitudes. This evidence is consistent with the extensive literature, which </w:t>
      </w:r>
      <w:r w:rsidRPr="4AF775A2" w:rsidR="7A3C02D3">
        <w:rPr>
          <w:rFonts w:ascii="Arial" w:hAnsi="Arial" w:eastAsia="Arial" w:cs="Arial"/>
          <w:noProof w:val="0"/>
          <w:sz w:val="22"/>
          <w:szCs w:val="22"/>
          <w:lang w:val="en-GB"/>
        </w:rPr>
        <w:t>identifies</w:t>
      </w:r>
      <w:r w:rsidRPr="4AF775A2" w:rsidR="7A3C02D3">
        <w:rPr>
          <w:rFonts w:ascii="Arial" w:hAnsi="Arial" w:eastAsia="Arial" w:cs="Arial"/>
          <w:noProof w:val="0"/>
          <w:sz w:val="22"/>
          <w:szCs w:val="22"/>
          <w:lang w:val="en-GB"/>
        </w:rPr>
        <w:t xml:space="preserve"> engagement as a key outcome of effective HRM systems and a driver of job satisfaction and commitment (Guest, 2017; Memon et al., 2021). </w:t>
      </w:r>
    </w:p>
    <w:p w:rsidR="7A3C02D3" w:rsidP="4AF775A2" w:rsidRDefault="7A3C02D3" w14:paraId="1E65479F" w14:textId="0A2CD1FF">
      <w:pPr>
        <w:pStyle w:val="Normal"/>
        <w:bidi w:val="0"/>
        <w:spacing w:before="120" w:beforeAutospacing="off" w:after="120" w:afterAutospacing="off" w:line="360" w:lineRule="auto"/>
        <w:jc w:val="both"/>
      </w:pPr>
      <w:r w:rsidRPr="4AF775A2" w:rsidR="7A3C02D3">
        <w:rPr>
          <w:rFonts w:ascii="Arial" w:hAnsi="Arial" w:eastAsia="Arial" w:cs="Arial"/>
          <w:noProof w:val="0"/>
          <w:sz w:val="22"/>
          <w:szCs w:val="22"/>
          <w:lang w:val="en-GB"/>
        </w:rPr>
        <w:t xml:space="preserve">Nevertheless, ongoing turnover pressures throughout easyJet and the wider aviation sector </w:t>
      </w:r>
      <w:r w:rsidRPr="4AF775A2" w:rsidR="7A3C02D3">
        <w:rPr>
          <w:rFonts w:ascii="Arial" w:hAnsi="Arial" w:eastAsia="Arial" w:cs="Arial"/>
          <w:noProof w:val="0"/>
          <w:sz w:val="22"/>
          <w:szCs w:val="22"/>
          <w:lang w:val="en-GB"/>
        </w:rPr>
        <w:t>demonstrate</w:t>
      </w:r>
      <w:r w:rsidRPr="4AF775A2" w:rsidR="7A3C02D3">
        <w:rPr>
          <w:rFonts w:ascii="Arial" w:hAnsi="Arial" w:eastAsia="Arial" w:cs="Arial"/>
          <w:noProof w:val="0"/>
          <w:sz w:val="22"/>
          <w:szCs w:val="22"/>
          <w:lang w:val="en-GB"/>
        </w:rPr>
        <w:t xml:space="preserve"> that engagement does not always lead to long-term retention. This observation supports research that distinguishes between engagement and retention, particularly in highly mobile and skill-scarce labour markets, where employees may remain satisfied but still seek external opportunities (</w:t>
      </w:r>
      <w:r w:rsidRPr="4AF775A2" w:rsidR="7A3C02D3">
        <w:rPr>
          <w:rFonts w:ascii="Arial" w:hAnsi="Arial" w:eastAsia="Arial" w:cs="Arial"/>
          <w:noProof w:val="0"/>
          <w:sz w:val="22"/>
          <w:szCs w:val="22"/>
          <w:lang w:val="en-GB"/>
        </w:rPr>
        <w:t>Muofhe</w:t>
      </w:r>
      <w:r w:rsidRPr="4AF775A2" w:rsidR="7A3C02D3">
        <w:rPr>
          <w:rFonts w:ascii="Arial" w:hAnsi="Arial" w:eastAsia="Arial" w:cs="Arial"/>
          <w:noProof w:val="0"/>
          <w:sz w:val="22"/>
          <w:szCs w:val="22"/>
          <w:lang w:val="en-GB"/>
        </w:rPr>
        <w:t xml:space="preserve">, 2021; </w:t>
      </w:r>
      <w:r w:rsidRPr="4AF775A2" w:rsidR="7A3C02D3">
        <w:rPr>
          <w:rFonts w:ascii="Arial" w:hAnsi="Arial" w:eastAsia="Arial" w:cs="Arial"/>
          <w:noProof w:val="0"/>
          <w:sz w:val="22"/>
          <w:szCs w:val="22"/>
          <w:lang w:val="en-GB"/>
        </w:rPr>
        <w:t>Belderbos</w:t>
      </w:r>
      <w:r w:rsidRPr="4AF775A2" w:rsidR="7A3C02D3">
        <w:rPr>
          <w:rFonts w:ascii="Arial" w:hAnsi="Arial" w:eastAsia="Arial" w:cs="Arial"/>
          <w:noProof w:val="0"/>
          <w:sz w:val="22"/>
          <w:szCs w:val="22"/>
          <w:lang w:val="en-GB"/>
        </w:rPr>
        <w:t xml:space="preserve"> et al., 2025). Therefore, the easyJet case illustrates a significant disconnect between attitudinal indicators of engagement and actual employee retention, stressing the importance of evaluating HRM effectiveness in relation to both internal satisfaction metrics and external labour market conditions.</w:t>
      </w:r>
    </w:p>
    <w:p w:rsidR="46D1F1A9" w:rsidP="4AF775A2" w:rsidRDefault="46D1F1A9" w14:paraId="25FA9A99" w14:textId="43B41833">
      <w:pPr>
        <w:pStyle w:val="Heading3"/>
        <w:bidi w:val="0"/>
        <w:spacing w:line="360" w:lineRule="auto"/>
        <w:jc w:val="both"/>
        <w:rPr>
          <w:rFonts w:ascii="Arial" w:hAnsi="Arial" w:eastAsia="Arial" w:cs="Arial"/>
          <w:noProof w:val="0"/>
          <w:sz w:val="22"/>
          <w:szCs w:val="22"/>
          <w:lang w:val="en-GB"/>
        </w:rPr>
      </w:pPr>
      <w:bookmarkStart w:name="_Toc2060131495" w:id="1205171229"/>
      <w:r w:rsidRPr="4AF775A2" w:rsidR="46D1F1A9">
        <w:rPr>
          <w:rFonts w:ascii="Arial" w:hAnsi="Arial" w:eastAsia="Arial" w:cs="Arial"/>
          <w:noProof w:val="0"/>
          <w:sz w:val="22"/>
          <w:szCs w:val="22"/>
          <w:lang w:val="en-GB"/>
        </w:rPr>
        <w:t>Summary of RQ2</w:t>
      </w:r>
      <w:bookmarkEnd w:id="1205171229"/>
    </w:p>
    <w:p w:rsidR="46D1F1A9" w:rsidP="4AF775A2" w:rsidRDefault="46D1F1A9" w14:paraId="70D25D09" w14:textId="2650466B">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The findings show that although easyJet implements HRM practices broadly compatible with theoretical best practices, their impact on retention is significantly moderated—if not overwhelmed—by external factors and prevailing labour market conditions. This reality problematises the notion that internal HRM reform alone can deliver substantive improvements in retention, highlighting the organisational limitations imposed by the business model and the wider industry context.</w:t>
      </w:r>
    </w:p>
    <w:p w:rsidR="64C065FD" w:rsidP="4AF775A2" w:rsidRDefault="64C065FD" w14:paraId="7B6EA4BD" w14:textId="612D22E1">
      <w:pPr>
        <w:pStyle w:val="Heading1"/>
        <w:bidi w:val="0"/>
        <w:rPr>
          <w:noProof w:val="0"/>
          <w:lang w:val="en-GB"/>
        </w:rPr>
      </w:pPr>
      <w:bookmarkStart w:name="_Toc1307483" w:id="315401035"/>
      <w:r w:rsidRPr="4AF775A2" w:rsidR="64C065FD">
        <w:rPr>
          <w:noProof w:val="0"/>
          <w:lang w:val="en-GB"/>
        </w:rPr>
        <w:t>Organisational Constraints: Cost Efficiency and Structural Limitations in Retention Strategies (RQ3)</w:t>
      </w:r>
      <w:bookmarkEnd w:id="315401035"/>
    </w:p>
    <w:p w:rsidR="64C065FD" w:rsidP="4AF775A2" w:rsidRDefault="64C065FD" w14:paraId="4E4BE846" w14:textId="47B5ECD7">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Extending the analysis of easyJet’s HRM practices, the findings for RQ3 indicate that the effectiveness of retention strategies is fundamentally limited due to the structural priorities of the low-cost carrier (LCC) model—specifically, its focus on cost efficiency and operational productivity.</w:t>
      </w:r>
    </w:p>
    <w:p w:rsidR="64C065FD" w:rsidP="4AF775A2" w:rsidRDefault="64C065FD" w14:paraId="6A4B9AC3" w14:textId="7A776B50">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The LCC model prioritises lean operations, high aircraft utilisation, and strict cost control, which limits investment in workforce-related initiatives (Harvey and Turnbull, 2010). As a result, precarious employment conditions and cost-driven labour strategies reduce long-term organisational commitment (Maxwell and Grant, 2021). Furthermore, structural barriers in the aviation industry, such as gender-based constraints in pilot career access, undermine workforce stability and diversity (Yaşar Dinçer and Yirmibeşoğlu, 2024). In addition, industry-level factors like pilot shortages and competition in the labour market heighten retention challenges that organisations cannot fully control (Leroux-Parra, 2019; Klapper and Ruff-Stahl, 2019).</w:t>
      </w:r>
    </w:p>
    <w:p w:rsidR="64C065FD" w:rsidP="4AF775A2" w:rsidRDefault="64C065FD" w14:paraId="389B14CB" w14:textId="2533D944">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Collectively, this evidence shows that HRM practices operate within organisational systems constrained by factors beyond their control. These practices, such as training, engagement programmes, and communication strategies, may improve short-term employee satisfaction, but their long-term influence on retention remains limited. Because organisations cannot solve external market conditions or structural inefficiencies with HRM alone, the long-term impact is restricted. This interpretation is consistent with broader HRM literature, which challenges the belief that 'best practice' HRM always produces positive results regardless of context (Thompson, 2011; Pahos and Galanaki, 2022).</w:t>
      </w:r>
    </w:p>
    <w:p w:rsidR="64C065FD" w:rsidP="4AF775A2" w:rsidRDefault="64C065FD" w14:paraId="42178CA5" w14:textId="51364692">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Therefore, the findings show that the effectiveness of HRM retention strategies at easyJet is shaped not only by their design but also by the LCC model’s structural realities. This highlights the need for a more integrated, system-level approach to workforce sustainability.</w:t>
      </w:r>
    </w:p>
    <w:p w:rsidR="64C065FD" w:rsidP="4AF775A2" w:rsidRDefault="64C065FD" w14:paraId="1E624E52" w14:textId="4A021AB6">
      <w:pPr>
        <w:pStyle w:val="Heading2"/>
        <w:bidi w:val="0"/>
        <w:rPr>
          <w:noProof w:val="0"/>
          <w:lang w:val="en-GB"/>
        </w:rPr>
      </w:pPr>
      <w:bookmarkStart w:name="_Toc830182720" w:id="784715168"/>
      <w:r w:rsidRPr="4AF775A2" w:rsidR="64C065FD">
        <w:rPr>
          <w:noProof w:val="0"/>
          <w:lang w:val="en-GB"/>
        </w:rPr>
        <w:t>Working Conditions and Operational Demands</w:t>
      </w:r>
      <w:bookmarkEnd w:id="784715168"/>
    </w:p>
    <w:p w:rsidR="64C065FD" w:rsidP="4AF775A2" w:rsidRDefault="64C065FD" w14:paraId="60983DA4" w14:textId="00240201">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A second key constraint is the challenging working conditions inherent to aviation, especially for pilots. These operational demands directly influence retention outcomes.</w:t>
      </w:r>
    </w:p>
    <w:p w:rsidR="64C065FD" w:rsidP="4AF775A2" w:rsidRDefault="64C065FD" w14:paraId="119EFD07" w14:textId="59376212">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Empirical evidence indicates that fatigue, irregular schedules, and high workload intensity are primary factors that reduce well-being and increase turnover intentions among pilots (Jackson and Earl, 2006). Recent research shows that these pressures are heightened within cost-focused airline models. The result is a decline in professional standing and job satisfaction (Maxwell and Grant, 2021). Further studies emphasise that adverse working environments and structural barriers, such as gender inequality and limited flexibility, also undermine retention (Douglas and Pittenger, 2020; Yaşar Dinçer and Yirmibeşoğlu, 2024).</w:t>
      </w:r>
    </w:p>
    <w:p w:rsidR="64C065FD" w:rsidP="4AF775A2" w:rsidRDefault="64C065FD" w14:paraId="01C30C73" w14:textId="28259C67">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These findings reveal a fundamental tension between operational efficiency and employee well-being. HRM practices such as training, mentoring, and organisational support are intended to enhance engagement. However, their effectiveness is often reduced by the realities of daily working conditions. This supports the argument that HRM interventions alone are insufficient when the underlying job design is highly demanding (Padmavathi, 2023; Steen et al., 2024). In this context, retention is more influenced by the role's structural characteristics than by organisational initiatives.</w:t>
      </w:r>
    </w:p>
    <w:p w:rsidR="64C065FD" w:rsidP="4AF775A2" w:rsidRDefault="64C065FD" w14:paraId="227AFF32" w14:textId="70F58C54">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Consequently, improving pilot retention requires two main actions: enhancements in HRM practices and substantive changes to working conditions. Implementing these changes is challenging within cost-constrained operational models.</w:t>
      </w:r>
    </w:p>
    <w:p w:rsidR="64C065FD" w:rsidP="4AF775A2" w:rsidRDefault="64C065FD" w14:paraId="337DEFF0" w14:textId="5244826F">
      <w:pPr>
        <w:pStyle w:val="Heading3"/>
        <w:bidi w:val="0"/>
        <w:rPr>
          <w:noProof w:val="0"/>
          <w:lang w:val="en-GB"/>
        </w:rPr>
      </w:pPr>
      <w:bookmarkStart w:name="_Toc1162769968" w:id="437820666"/>
      <w:r w:rsidRPr="4AF775A2" w:rsidR="64C065FD">
        <w:rPr>
          <w:noProof w:val="0"/>
          <w:lang w:val="en-GB"/>
        </w:rPr>
        <w:t>Summary of Findings for RQ3</w:t>
      </w:r>
      <w:bookmarkEnd w:id="437820666"/>
    </w:p>
    <w:p w:rsidR="64C065FD" w:rsidP="4AF775A2" w:rsidRDefault="64C065FD" w14:paraId="7B1143C5" w14:textId="547637D6">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In summary, the findings for RQ3 show that organisational and strategic constraints heavily limit the effectiveness of HRM retention practices in low-cost airlines.</w:t>
      </w:r>
    </w:p>
    <w:p w:rsidR="64C065FD" w:rsidP="4AF775A2" w:rsidRDefault="64C065FD" w14:paraId="4FCD279B" w14:textId="779BF232">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Both the literature and the case analysis identify cost efficiency pressures (Harvey and Turnbull, 2010) as a primary influence on retention outcomes. Labour market competition (Belderbos et al., 2025) and demanding working conditions (Jackson and Earl, 2006; Maxwell and Grant, 2021) are highlighted as additional key factors affecting retention.</w:t>
      </w:r>
    </w:p>
    <w:p w:rsidR="64C065FD" w:rsidP="4AF775A2" w:rsidRDefault="64C065FD" w14:paraId="440F1E19" w14:textId="07542CA7">
      <w:pPr>
        <w:pStyle w:val="Normal"/>
        <w:bidi w:val="0"/>
        <w:spacing w:before="120" w:beforeAutospacing="off" w:after="120" w:afterAutospacing="off" w:line="360" w:lineRule="auto"/>
        <w:jc w:val="both"/>
      </w:pPr>
      <w:r w:rsidRPr="4AF775A2" w:rsidR="64C065FD">
        <w:rPr>
          <w:rFonts w:ascii="Arial" w:hAnsi="Arial" w:eastAsia="Arial" w:cs="Arial"/>
          <w:noProof w:val="0"/>
          <w:sz w:val="22"/>
          <w:szCs w:val="22"/>
          <w:lang w:val="en-GB"/>
        </w:rPr>
        <w:t>This convergence of evidence shows that pilot retention is shaped by both internal HRM practices and external structural forces. While HRM strategies can increase engagement and short-term commitment, they often cannot address broader economic and operational constraints. This highlights a critical view in HRM research: organisational agency is limited in highly competitive, resource-constrained environments (Thompson, 2011). Therefore, sustainable pilot retention at easyJet requires strategies that go beyond isolated HRM interventions and engage directly with the business model's structural realities. Without such alignment, retention efforts will remain incremental and have limited overall impact.</w:t>
      </w:r>
    </w:p>
    <w:p w:rsidR="46D1F1A9" w:rsidP="4AF775A2" w:rsidRDefault="46D1F1A9" w14:paraId="1F8870FF" w14:textId="23CE8CF8">
      <w:pPr>
        <w:pStyle w:val="Heading1"/>
        <w:bidi w:val="0"/>
        <w:spacing w:line="360" w:lineRule="auto"/>
        <w:jc w:val="both"/>
        <w:rPr>
          <w:rFonts w:ascii="Arial" w:hAnsi="Arial" w:eastAsia="Arial" w:cs="Arial"/>
          <w:noProof w:val="0"/>
          <w:sz w:val="22"/>
          <w:szCs w:val="22"/>
          <w:lang w:val="en-GB"/>
        </w:rPr>
      </w:pPr>
      <w:bookmarkStart w:name="_Toc175273582" w:id="1400517958"/>
      <w:r w:rsidRPr="4AF775A2" w:rsidR="46D1F1A9">
        <w:rPr>
          <w:rFonts w:ascii="Arial" w:hAnsi="Arial" w:eastAsia="Arial" w:cs="Arial"/>
          <w:noProof w:val="0"/>
          <w:sz w:val="22"/>
          <w:szCs w:val="22"/>
          <w:lang w:val="en-GB"/>
        </w:rPr>
        <w:t>External Labour Market Restrictions</w:t>
      </w:r>
      <w:bookmarkEnd w:id="1400517958"/>
    </w:p>
    <w:p w:rsidR="46D1F1A9" w:rsidP="4AF775A2" w:rsidRDefault="46D1F1A9" w14:paraId="37D9600B" w14:textId="21BD17C3">
      <w:pPr>
        <w:pStyle w:val="Heading2"/>
        <w:bidi w:val="0"/>
        <w:spacing w:line="360" w:lineRule="auto"/>
        <w:jc w:val="both"/>
        <w:rPr>
          <w:rFonts w:ascii="Arial" w:hAnsi="Arial" w:eastAsia="Arial" w:cs="Arial"/>
          <w:noProof w:val="0"/>
          <w:sz w:val="22"/>
          <w:szCs w:val="22"/>
          <w:lang w:val="en-GB"/>
        </w:rPr>
      </w:pPr>
      <w:bookmarkStart w:name="_Toc2030052575" w:id="200313040"/>
      <w:r w:rsidRPr="4AF775A2" w:rsidR="46D1F1A9">
        <w:rPr>
          <w:rFonts w:ascii="Arial" w:hAnsi="Arial" w:eastAsia="Arial" w:cs="Arial"/>
          <w:noProof w:val="0"/>
          <w:sz w:val="22"/>
          <w:szCs w:val="22"/>
          <w:lang w:val="en-GB"/>
        </w:rPr>
        <w:t>Pilot Shortage and Labour Market Competition</w:t>
      </w:r>
      <w:bookmarkEnd w:id="200313040"/>
    </w:p>
    <w:p w:rsidR="46D1F1A9" w:rsidP="4AF775A2" w:rsidRDefault="46D1F1A9" w14:paraId="37E59E4C" w14:textId="4EA8C1E5">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The literature </w:t>
      </w:r>
      <w:r w:rsidRPr="4AF775A2" w:rsidR="46D1F1A9">
        <w:rPr>
          <w:rFonts w:ascii="Arial" w:hAnsi="Arial" w:eastAsia="Arial" w:cs="Arial"/>
          <w:noProof w:val="0"/>
          <w:sz w:val="22"/>
          <w:szCs w:val="22"/>
          <w:lang w:val="en-GB"/>
        </w:rPr>
        <w:t>identifies</w:t>
      </w:r>
      <w:r w:rsidRPr="4AF775A2" w:rsidR="46D1F1A9">
        <w:rPr>
          <w:rFonts w:ascii="Arial" w:hAnsi="Arial" w:eastAsia="Arial" w:cs="Arial"/>
          <w:noProof w:val="0"/>
          <w:sz w:val="22"/>
          <w:szCs w:val="22"/>
          <w:lang w:val="en-GB"/>
        </w:rPr>
        <w:t xml:space="preserve"> a global shortage of pilots, resulting from increasing demand, high training costs, and regulatory barriers (Caraway, 2020; </w:t>
      </w:r>
      <w:r w:rsidRPr="4AF775A2" w:rsidR="5FD02165">
        <w:rPr>
          <w:rFonts w:ascii="Arial" w:hAnsi="Arial" w:eastAsia="Arial" w:cs="Arial"/>
          <w:noProof w:val="0"/>
          <w:sz w:val="22"/>
          <w:szCs w:val="22"/>
          <w:lang w:val="en-GB"/>
        </w:rPr>
        <w:t>Klapper &amp; Ruff-Stahl</w:t>
      </w:r>
      <w:r w:rsidRPr="4AF775A2" w:rsidR="46D1F1A9">
        <w:rPr>
          <w:rFonts w:ascii="Arial" w:hAnsi="Arial" w:eastAsia="Arial" w:cs="Arial"/>
          <w:noProof w:val="0"/>
          <w:sz w:val="22"/>
          <w:szCs w:val="22"/>
          <w:lang w:val="en-GB"/>
        </w:rPr>
        <w:t>, 2019).</w:t>
      </w:r>
    </w:p>
    <w:p w:rsidR="4AF775A2" w:rsidP="4AF775A2" w:rsidRDefault="4AF775A2" w14:paraId="675DC55A" w14:textId="16037E11">
      <w:pPr>
        <w:bidi w:val="0"/>
        <w:spacing w:before="120" w:beforeAutospacing="off" w:after="120" w:afterAutospacing="off" w:line="360" w:lineRule="auto"/>
        <w:jc w:val="both"/>
        <w:rPr>
          <w:rFonts w:ascii="Arial" w:hAnsi="Arial" w:eastAsia="Arial" w:cs="Arial"/>
          <w:sz w:val="22"/>
          <w:szCs w:val="22"/>
        </w:rPr>
      </w:pPr>
    </w:p>
    <w:p w:rsidR="46D1F1A9" w:rsidP="4AF775A2" w:rsidRDefault="46D1F1A9" w14:paraId="54969FDA" w14:textId="0A82DE96">
      <w:pPr>
        <w:pStyle w:val="Heading3"/>
        <w:bidi w:val="0"/>
        <w:spacing w:line="360" w:lineRule="auto"/>
        <w:jc w:val="both"/>
        <w:rPr>
          <w:rFonts w:ascii="Arial" w:hAnsi="Arial" w:eastAsia="Arial" w:cs="Arial"/>
          <w:noProof w:val="0"/>
          <w:sz w:val="22"/>
          <w:szCs w:val="22"/>
          <w:lang w:val="en-GB"/>
        </w:rPr>
      </w:pPr>
      <w:bookmarkStart w:name="_Toc1097544675" w:id="432143433"/>
      <w:r w:rsidRPr="4AF775A2" w:rsidR="46D1F1A9">
        <w:rPr>
          <w:rFonts w:ascii="Arial" w:hAnsi="Arial" w:eastAsia="Arial" w:cs="Arial"/>
          <w:noProof w:val="0"/>
          <w:sz w:val="22"/>
          <w:szCs w:val="22"/>
          <w:lang w:val="en-GB"/>
        </w:rPr>
        <w:t>Labour Mobility and Career Opportunities</w:t>
      </w:r>
      <w:bookmarkEnd w:id="432143433"/>
    </w:p>
    <w:p w:rsidR="46D1F1A9" w:rsidP="4AF775A2" w:rsidRDefault="46D1F1A9" w14:paraId="464BC676" w14:textId="6305928B">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Pilots </w:t>
      </w:r>
      <w:r w:rsidRPr="4AF775A2" w:rsidR="46D1F1A9">
        <w:rPr>
          <w:rFonts w:ascii="Arial" w:hAnsi="Arial" w:eastAsia="Arial" w:cs="Arial"/>
          <w:noProof w:val="0"/>
          <w:sz w:val="22"/>
          <w:szCs w:val="22"/>
          <w:lang w:val="en-GB"/>
        </w:rPr>
        <w:t>participate</w:t>
      </w:r>
      <w:r w:rsidRPr="4AF775A2" w:rsidR="46D1F1A9">
        <w:rPr>
          <w:rFonts w:ascii="Arial" w:hAnsi="Arial" w:eastAsia="Arial" w:cs="Arial"/>
          <w:noProof w:val="0"/>
          <w:sz w:val="22"/>
          <w:szCs w:val="22"/>
          <w:lang w:val="en-GB"/>
        </w:rPr>
        <w:t xml:space="preserve"> in a highly mobile labour market, with opportunities available across airlines and regions. This far-reaching mobility sharply diminishes organisational control over retention outcomes and exposes the limitations of strategies that focus solely on internal levers. Even the most progressive organisations cannot fully insulate themselves from the gravitational pull of global labour demand, especially when regulatory systems promote international movement. This reality demands a rethinking of retention as a multi-actor, multi-level challenge rather than a matter of firm-level intervention alone.</w:t>
      </w:r>
    </w:p>
    <w:p w:rsidR="4AF775A2" w:rsidP="4AF775A2" w:rsidRDefault="4AF775A2" w14:paraId="0417065E" w14:textId="07BEE0AE">
      <w:pPr>
        <w:bidi w:val="0"/>
        <w:spacing w:before="120" w:beforeAutospacing="off" w:after="120" w:afterAutospacing="off" w:line="360" w:lineRule="auto"/>
        <w:jc w:val="both"/>
        <w:rPr>
          <w:rFonts w:ascii="Arial" w:hAnsi="Arial" w:eastAsia="Arial" w:cs="Arial"/>
          <w:sz w:val="22"/>
          <w:szCs w:val="22"/>
        </w:rPr>
      </w:pPr>
    </w:p>
    <w:p w:rsidR="46D1F1A9" w:rsidP="4AF775A2" w:rsidRDefault="46D1F1A9" w14:paraId="3B7390CF" w14:textId="530F5C69">
      <w:pPr>
        <w:pStyle w:val="Heading2"/>
        <w:bidi w:val="0"/>
        <w:spacing w:line="360" w:lineRule="auto"/>
        <w:jc w:val="both"/>
        <w:rPr>
          <w:rFonts w:ascii="Arial" w:hAnsi="Arial" w:eastAsia="Arial" w:cs="Arial"/>
          <w:noProof w:val="0"/>
          <w:sz w:val="22"/>
          <w:szCs w:val="22"/>
          <w:lang w:val="en-GB"/>
        </w:rPr>
      </w:pPr>
      <w:bookmarkStart w:name="_Toc1503745252" w:id="242037348"/>
      <w:r w:rsidRPr="4AF775A2" w:rsidR="46D1F1A9">
        <w:rPr>
          <w:rFonts w:ascii="Arial" w:hAnsi="Arial" w:eastAsia="Arial" w:cs="Arial"/>
          <w:noProof w:val="0"/>
          <w:sz w:val="22"/>
          <w:szCs w:val="22"/>
          <w:lang w:val="en-GB"/>
        </w:rPr>
        <w:t>Summary of RQ4</w:t>
      </w:r>
      <w:bookmarkEnd w:id="242037348"/>
    </w:p>
    <w:p w:rsidR="46D1F1A9" w:rsidP="4AF775A2" w:rsidRDefault="46D1F1A9" w14:paraId="3830E055" w14:textId="4F877AEB">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The findings show that external labour market conditions exert a decisive—and often dominant—function in directing retention, </w:t>
      </w:r>
      <w:r w:rsidRPr="4AF775A2" w:rsidR="46D1F1A9">
        <w:rPr>
          <w:rFonts w:ascii="Arial" w:hAnsi="Arial" w:eastAsia="Arial" w:cs="Arial"/>
          <w:noProof w:val="0"/>
          <w:sz w:val="22"/>
          <w:szCs w:val="22"/>
          <w:lang w:val="en-GB"/>
        </w:rPr>
        <w:t>frequently</w:t>
      </w:r>
      <w:r w:rsidRPr="4AF775A2" w:rsidR="46D1F1A9">
        <w:rPr>
          <w:rFonts w:ascii="Arial" w:hAnsi="Arial" w:eastAsia="Arial" w:cs="Arial"/>
          <w:noProof w:val="0"/>
          <w:sz w:val="22"/>
          <w:szCs w:val="22"/>
          <w:lang w:val="en-GB"/>
        </w:rPr>
        <w:t xml:space="preserve"> outweighing the influence of internal HRM practices. This compels a reappraisal of the limits of organisational influence and raises </w:t>
      </w:r>
      <w:r w:rsidRPr="4AF775A2" w:rsidR="6A3F3B26">
        <w:rPr>
          <w:rFonts w:ascii="Arial" w:hAnsi="Arial" w:eastAsia="Arial" w:cs="Arial"/>
          <w:noProof w:val="0"/>
          <w:sz w:val="22"/>
          <w:szCs w:val="22"/>
          <w:lang w:val="en-GB"/>
        </w:rPr>
        <w:t>tough questions</w:t>
      </w:r>
      <w:r w:rsidRPr="4AF775A2" w:rsidR="46D1F1A9">
        <w:rPr>
          <w:rFonts w:ascii="Arial" w:hAnsi="Arial" w:eastAsia="Arial" w:cs="Arial"/>
          <w:noProof w:val="0"/>
          <w:sz w:val="22"/>
          <w:szCs w:val="22"/>
          <w:lang w:val="en-GB"/>
        </w:rPr>
        <w:t xml:space="preserve"> about the ultimate effectiveness of even the most sophisticated HRM interventions. Under such circumstances, the very notion of retention must be reframed as a shared, sector-wide problem requiring coordinated action and policy engagement, rather than as an outcome achievable through internal optimisation alone.</w:t>
      </w:r>
    </w:p>
    <w:p w:rsidR="4AF775A2" w:rsidP="4AF775A2" w:rsidRDefault="4AF775A2" w14:paraId="5612E84C" w14:textId="72CD7ACE">
      <w:pPr>
        <w:bidi w:val="0"/>
        <w:spacing w:before="120" w:beforeAutospacing="off" w:after="120" w:afterAutospacing="off" w:line="360" w:lineRule="auto"/>
        <w:jc w:val="both"/>
        <w:rPr>
          <w:rFonts w:ascii="Arial" w:hAnsi="Arial" w:eastAsia="Arial" w:cs="Arial"/>
          <w:sz w:val="22"/>
          <w:szCs w:val="22"/>
        </w:rPr>
      </w:pPr>
    </w:p>
    <w:p w:rsidR="2F7ACA52" w:rsidP="4AF775A2" w:rsidRDefault="2F7ACA52" w14:paraId="2062D8D1" w14:textId="08299C56">
      <w:pPr>
        <w:pStyle w:val="Heading3"/>
        <w:suppressLineNumbers w:val="0"/>
        <w:bidi w:val="0"/>
        <w:spacing w:before="160" w:beforeAutospacing="off" w:after="80" w:afterAutospacing="off" w:line="360" w:lineRule="auto"/>
        <w:ind w:left="0" w:right="0"/>
        <w:jc w:val="both"/>
        <w:rPr>
          <w:rFonts w:ascii="Arial" w:hAnsi="Arial" w:eastAsia="Arial" w:cs="Arial"/>
          <w:noProof w:val="0"/>
          <w:sz w:val="22"/>
          <w:szCs w:val="22"/>
          <w:lang w:val="en-GB"/>
        </w:rPr>
      </w:pPr>
      <w:bookmarkStart w:name="_Toc1429619393" w:id="1386536472"/>
      <w:r w:rsidRPr="4AF775A2" w:rsidR="2F7ACA52">
        <w:rPr>
          <w:rFonts w:ascii="Arial" w:hAnsi="Arial" w:eastAsia="Arial" w:cs="Arial"/>
          <w:noProof w:val="0"/>
          <w:sz w:val="22"/>
          <w:szCs w:val="22"/>
          <w:lang w:val="en-GB"/>
        </w:rPr>
        <w:t>Discussion</w:t>
      </w:r>
      <w:bookmarkEnd w:id="1386536472"/>
    </w:p>
    <w:p w:rsidR="46D1F1A9" w:rsidP="4AF775A2" w:rsidRDefault="46D1F1A9" w14:paraId="1ABB0030" w14:textId="4F8AF515">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Across all themes, the findings show that pilot retention is </w:t>
      </w:r>
      <w:r w:rsidRPr="4AF775A2" w:rsidR="46D1F1A9">
        <w:rPr>
          <w:rFonts w:ascii="Arial" w:hAnsi="Arial" w:eastAsia="Arial" w:cs="Arial"/>
          <w:noProof w:val="0"/>
          <w:sz w:val="22"/>
          <w:szCs w:val="22"/>
          <w:lang w:val="en-GB"/>
        </w:rPr>
        <w:t>determined</w:t>
      </w:r>
      <w:r w:rsidRPr="4AF775A2" w:rsidR="46D1F1A9">
        <w:rPr>
          <w:rFonts w:ascii="Arial" w:hAnsi="Arial" w:eastAsia="Arial" w:cs="Arial"/>
          <w:noProof w:val="0"/>
          <w:sz w:val="22"/>
          <w:szCs w:val="22"/>
          <w:lang w:val="en-GB"/>
        </w:rPr>
        <w:t xml:space="preserve"> by the dynamic and </w:t>
      </w:r>
      <w:r w:rsidRPr="4AF775A2" w:rsidR="46D1F1A9">
        <w:rPr>
          <w:rFonts w:ascii="Arial" w:hAnsi="Arial" w:eastAsia="Arial" w:cs="Arial"/>
          <w:noProof w:val="0"/>
          <w:sz w:val="22"/>
          <w:szCs w:val="22"/>
          <w:lang w:val="en-GB"/>
        </w:rPr>
        <w:t>frequently</w:t>
      </w:r>
      <w:r w:rsidRPr="4AF775A2" w:rsidR="46D1F1A9">
        <w:rPr>
          <w:rFonts w:ascii="Arial" w:hAnsi="Arial" w:eastAsia="Arial" w:cs="Arial"/>
          <w:noProof w:val="0"/>
          <w:sz w:val="22"/>
          <w:szCs w:val="22"/>
          <w:lang w:val="en-GB"/>
        </w:rPr>
        <w:t xml:space="preserve"> contested interaction of:</w:t>
      </w:r>
    </w:p>
    <w:p w:rsidR="46D1F1A9" w:rsidP="4AF775A2" w:rsidRDefault="46D1F1A9" w14:paraId="626A8094" w14:textId="590C0915">
      <w:pPr>
        <w:pStyle w:val="ListParagraph"/>
        <w:numPr>
          <w:ilvl w:val="0"/>
          <w:numId w:val="6"/>
        </w:numPr>
        <w:bidi w:val="0"/>
        <w:spacing w:before="0" w:beforeAutospacing="off" w:after="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HRM practices</w:t>
      </w:r>
    </w:p>
    <w:p w:rsidR="46D1F1A9" w:rsidP="4AF775A2" w:rsidRDefault="46D1F1A9" w14:paraId="56A86859" w14:textId="35C1FDAB">
      <w:pPr>
        <w:pStyle w:val="ListParagraph"/>
        <w:numPr>
          <w:ilvl w:val="0"/>
          <w:numId w:val="6"/>
        </w:numPr>
        <w:bidi w:val="0"/>
        <w:spacing w:before="0" w:beforeAutospacing="off" w:after="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Employee attitudes</w:t>
      </w:r>
    </w:p>
    <w:p w:rsidR="46D1F1A9" w:rsidP="4AF775A2" w:rsidRDefault="46D1F1A9" w14:paraId="61D8015A" w14:textId="4C4BAE0E">
      <w:pPr>
        <w:pStyle w:val="ListParagraph"/>
        <w:numPr>
          <w:ilvl w:val="0"/>
          <w:numId w:val="6"/>
        </w:numPr>
        <w:bidi w:val="0"/>
        <w:spacing w:before="0" w:beforeAutospacing="off" w:after="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Organisational constraints</w:t>
      </w:r>
    </w:p>
    <w:p w:rsidR="46D1F1A9" w:rsidP="4AF775A2" w:rsidRDefault="46D1F1A9" w14:paraId="448383B6" w14:textId="613B69CC">
      <w:pPr>
        <w:pStyle w:val="ListParagraph"/>
        <w:numPr>
          <w:ilvl w:val="0"/>
          <w:numId w:val="6"/>
        </w:numPr>
        <w:bidi w:val="0"/>
        <w:spacing w:before="0" w:beforeAutospacing="off" w:after="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External labour market forces</w:t>
      </w:r>
    </w:p>
    <w:p w:rsidR="46D1F1A9" w:rsidP="4AF775A2" w:rsidRDefault="46D1F1A9" w14:paraId="695FC986" w14:textId="32D4B73C">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The key takeaway is that retention must be viewed within a broader, critically informed strategic context—one that recognises the interplay among HRM, employee attitudes, organisational constraints, and external forces as mutually conditioning factors. Attempts to address retention in isolation from these wider dynamics are unlikely to yield meaningful or sustained results.</w:t>
      </w:r>
    </w:p>
    <w:p w:rsidR="46D1F1A9" w:rsidP="4AF775A2" w:rsidRDefault="46D1F1A9" w14:paraId="57286A55" w14:textId="387B3C53">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Rather than confirming the effectiveness of organisational interventions for retention, the findings show that organisational influence is structurally limited by powerful external forces. This fundamentally challenges the widespread assumption that retention is mostly internally </w:t>
      </w:r>
      <w:r w:rsidRPr="4AF775A2" w:rsidR="46D1F1A9">
        <w:rPr>
          <w:rFonts w:ascii="Arial" w:hAnsi="Arial" w:eastAsia="Arial" w:cs="Arial"/>
          <w:noProof w:val="0"/>
          <w:sz w:val="22"/>
          <w:szCs w:val="22"/>
          <w:lang w:val="en-GB"/>
        </w:rPr>
        <w:t>determined</w:t>
      </w:r>
      <w:r w:rsidRPr="4AF775A2" w:rsidR="46D1F1A9">
        <w:rPr>
          <w:rFonts w:ascii="Arial" w:hAnsi="Arial" w:eastAsia="Arial" w:cs="Arial"/>
          <w:noProof w:val="0"/>
          <w:sz w:val="22"/>
          <w:szCs w:val="22"/>
          <w:lang w:val="en-GB"/>
        </w:rPr>
        <w:t xml:space="preserve">. In aviation, where the demand for pilots persistently outstrips supply, retention can be viewed as a manifestation of labour market disequilibrium (Leroux-Parra, 2019; </w:t>
      </w:r>
      <w:r w:rsidRPr="4AF775A2" w:rsidR="46D1F1A9">
        <w:rPr>
          <w:rFonts w:ascii="Arial" w:hAnsi="Arial" w:eastAsia="Arial" w:cs="Arial"/>
          <w:noProof w:val="0"/>
          <w:sz w:val="22"/>
          <w:szCs w:val="22"/>
          <w:lang w:val="en-GB"/>
        </w:rPr>
        <w:t>Belderbos</w:t>
      </w:r>
      <w:r w:rsidRPr="4AF775A2" w:rsidR="46D1F1A9">
        <w:rPr>
          <w:rFonts w:ascii="Arial" w:hAnsi="Arial" w:eastAsia="Arial" w:cs="Arial"/>
          <w:noProof w:val="0"/>
          <w:sz w:val="22"/>
          <w:szCs w:val="22"/>
          <w:lang w:val="en-GB"/>
        </w:rPr>
        <w:t xml:space="preserve"> et al., 2025), with individual organisations often </w:t>
      </w:r>
      <w:r w:rsidRPr="4AF775A2" w:rsidR="46D1F1A9">
        <w:rPr>
          <w:rFonts w:ascii="Arial" w:hAnsi="Arial" w:eastAsia="Arial" w:cs="Arial"/>
          <w:noProof w:val="0"/>
          <w:sz w:val="22"/>
          <w:szCs w:val="22"/>
          <w:lang w:val="en-GB"/>
        </w:rPr>
        <w:t>rendered</w:t>
      </w:r>
      <w:r w:rsidRPr="4AF775A2" w:rsidR="46D1F1A9">
        <w:rPr>
          <w:rFonts w:ascii="Arial" w:hAnsi="Arial" w:eastAsia="Arial" w:cs="Arial"/>
          <w:noProof w:val="0"/>
          <w:sz w:val="22"/>
          <w:szCs w:val="22"/>
          <w:lang w:val="en-GB"/>
        </w:rPr>
        <w:t xml:space="preserve"> reactive </w:t>
      </w:r>
      <w:r w:rsidRPr="4AF775A2" w:rsidR="46D1F1A9">
        <w:rPr>
          <w:rFonts w:ascii="Arial" w:hAnsi="Arial" w:eastAsia="Arial" w:cs="Arial"/>
          <w:noProof w:val="0"/>
          <w:sz w:val="22"/>
          <w:szCs w:val="22"/>
          <w:lang w:val="en-GB"/>
        </w:rPr>
        <w:t>rather as</w:t>
      </w:r>
      <w:r w:rsidRPr="4AF775A2" w:rsidR="46D1F1A9">
        <w:rPr>
          <w:rFonts w:ascii="Arial" w:hAnsi="Arial" w:eastAsia="Arial" w:cs="Arial"/>
          <w:noProof w:val="0"/>
          <w:sz w:val="22"/>
          <w:szCs w:val="22"/>
          <w:lang w:val="en-GB"/>
        </w:rPr>
        <w:t xml:space="preserve"> opposed to proactive in their retention efforts.</w:t>
      </w:r>
    </w:p>
    <w:p w:rsidR="46D1F1A9" w:rsidP="4AF775A2" w:rsidRDefault="46D1F1A9" w14:paraId="2EFFB7E9" w14:textId="01C97002">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From a theoretical perspective, this extends contingency-based HRM by </w:t>
      </w:r>
      <w:r w:rsidRPr="4AF775A2" w:rsidR="46D1F1A9">
        <w:rPr>
          <w:rFonts w:ascii="Arial" w:hAnsi="Arial" w:eastAsia="Arial" w:cs="Arial"/>
          <w:noProof w:val="0"/>
          <w:sz w:val="22"/>
          <w:szCs w:val="22"/>
          <w:lang w:val="en-GB"/>
        </w:rPr>
        <w:t>demonstrating</w:t>
      </w:r>
      <w:r w:rsidRPr="4AF775A2" w:rsidR="46D1F1A9">
        <w:rPr>
          <w:rFonts w:ascii="Arial" w:hAnsi="Arial" w:eastAsia="Arial" w:cs="Arial"/>
          <w:noProof w:val="0"/>
          <w:sz w:val="22"/>
          <w:szCs w:val="22"/>
          <w:lang w:val="en-GB"/>
        </w:rPr>
        <w:t xml:space="preserve"> that both organisational context and macro-level labour conditions fundamentally shape HRM effectiveness (Renaud et al., 2015). For easyJet and similar airlines, this implies that traditional retention strategies are inherently limited and require a paradigmatic shift—towards workforce sustainability and forward-looking supply-side management—rather than continued exclusive reliance on in-house HR interventions. Such a shift would entail greater collaboration with industry stakeholders, regulatory bodies, and training institutions, positioning retention as a shared ecosystem challenge.</w:t>
      </w:r>
    </w:p>
    <w:p w:rsidR="4AF775A2" w:rsidP="4AF775A2" w:rsidRDefault="4AF775A2" w14:paraId="4193FC85" w14:textId="7B5D9D87">
      <w:pPr>
        <w:bidi w:val="0"/>
        <w:spacing w:before="120" w:beforeAutospacing="off" w:after="120" w:afterAutospacing="off" w:line="360" w:lineRule="auto"/>
        <w:jc w:val="both"/>
        <w:rPr>
          <w:rFonts w:ascii="Arial" w:hAnsi="Arial" w:eastAsia="Arial" w:cs="Arial"/>
          <w:sz w:val="22"/>
          <w:szCs w:val="22"/>
        </w:rPr>
      </w:pPr>
    </w:p>
    <w:p w:rsidR="46D1F1A9" w:rsidP="4AF775A2" w:rsidRDefault="46D1F1A9" w14:paraId="4DBA4453" w14:textId="42A192A7">
      <w:pPr>
        <w:pStyle w:val="Heading2"/>
        <w:bidi w:val="0"/>
        <w:spacing w:line="360" w:lineRule="auto"/>
        <w:jc w:val="both"/>
        <w:rPr>
          <w:rFonts w:ascii="Arial" w:hAnsi="Arial" w:eastAsia="Arial" w:cs="Arial"/>
          <w:noProof w:val="0"/>
          <w:sz w:val="22"/>
          <w:szCs w:val="22"/>
          <w:lang w:val="en-GB"/>
        </w:rPr>
      </w:pPr>
      <w:bookmarkStart w:name="_Toc1313484454" w:id="932858008"/>
      <w:r w:rsidRPr="4AF775A2" w:rsidR="46D1F1A9">
        <w:rPr>
          <w:rFonts w:ascii="Arial" w:hAnsi="Arial" w:eastAsia="Arial" w:cs="Arial"/>
          <w:noProof w:val="0"/>
          <w:sz w:val="22"/>
          <w:szCs w:val="22"/>
          <w:lang w:val="en-GB"/>
        </w:rPr>
        <w:t>The Limits of Engagement as a Retention Strategy</w:t>
      </w:r>
      <w:bookmarkEnd w:id="932858008"/>
      <w:r w:rsidRPr="4AF775A2" w:rsidR="46D1F1A9">
        <w:rPr>
          <w:rFonts w:ascii="Arial" w:hAnsi="Arial" w:eastAsia="Arial" w:cs="Arial"/>
          <w:noProof w:val="0"/>
          <w:sz w:val="22"/>
          <w:szCs w:val="22"/>
          <w:lang w:val="en-GB"/>
        </w:rPr>
        <w:t xml:space="preserve"> </w:t>
      </w:r>
    </w:p>
    <w:p w:rsidR="46D1F1A9" w:rsidP="4AF775A2" w:rsidRDefault="46D1F1A9" w14:paraId="3E02BBF9" w14:textId="22EA5761">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The finding that engagement does not consistently translate into retention challenges dominant assumptions within Social Exchange Theory, which proposes that positive organisational practices foster reciprocal employee commitment (Guest, 2017; Memon et al., 2021). While engagement may strengthen attitudinal attachment, it does not </w:t>
      </w:r>
      <w:r w:rsidRPr="4AF775A2" w:rsidR="46D1F1A9">
        <w:rPr>
          <w:rFonts w:ascii="Arial" w:hAnsi="Arial" w:eastAsia="Arial" w:cs="Arial"/>
          <w:noProof w:val="0"/>
          <w:sz w:val="22"/>
          <w:szCs w:val="22"/>
          <w:lang w:val="en-GB"/>
        </w:rPr>
        <w:t>eliminate</w:t>
      </w:r>
      <w:r w:rsidRPr="4AF775A2" w:rsidR="46D1F1A9">
        <w:rPr>
          <w:rFonts w:ascii="Arial" w:hAnsi="Arial" w:eastAsia="Arial" w:cs="Arial"/>
          <w:noProof w:val="0"/>
          <w:sz w:val="22"/>
          <w:szCs w:val="22"/>
          <w:lang w:val="en-GB"/>
        </w:rPr>
        <w:t xml:space="preserve"> the influence of external opportunities, particularly in high-demand labour markets.</w:t>
      </w:r>
    </w:p>
    <w:p w:rsidR="46D1F1A9" w:rsidP="4AF775A2" w:rsidRDefault="46D1F1A9" w14:paraId="34789F8F" w14:textId="4D2DBB19">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This suggests that engagement serves as a necessary but insufficient condition for retention. In professions such as piloting, where skills are highly transferable and globally in demand, employees may remain involved while still pursuing </w:t>
      </w:r>
      <w:r w:rsidRPr="4AF775A2" w:rsidR="46D1F1A9">
        <w:rPr>
          <w:rFonts w:ascii="Arial" w:hAnsi="Arial" w:eastAsia="Arial" w:cs="Arial"/>
          <w:noProof w:val="0"/>
          <w:sz w:val="22"/>
          <w:szCs w:val="22"/>
          <w:lang w:val="en-GB"/>
        </w:rPr>
        <w:t>advantageous</w:t>
      </w:r>
      <w:r w:rsidRPr="4AF775A2" w:rsidR="46D1F1A9">
        <w:rPr>
          <w:rFonts w:ascii="Arial" w:hAnsi="Arial" w:eastAsia="Arial" w:cs="Arial"/>
          <w:noProof w:val="0"/>
          <w:sz w:val="22"/>
          <w:szCs w:val="22"/>
          <w:lang w:val="en-GB"/>
        </w:rPr>
        <w:t xml:space="preserve"> opportunities elsewhere. This illustrates an important limitation of engagement-centric HRM models, which often overestimate the stability of employee–organisation relationships.</w:t>
      </w:r>
    </w:p>
    <w:p w:rsidR="46D1F1A9" w:rsidP="4AF775A2" w:rsidRDefault="46D1F1A9" w14:paraId="0878E676" w14:textId="47D76669">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For easyJet, this implies that engagement metrics should not be interpreted as direct indicators of retention success, but rather as one </w:t>
      </w:r>
      <w:r w:rsidRPr="4AF775A2" w:rsidR="46D1F1A9">
        <w:rPr>
          <w:rFonts w:ascii="Arial" w:hAnsi="Arial" w:eastAsia="Arial" w:cs="Arial"/>
          <w:noProof w:val="0"/>
          <w:sz w:val="22"/>
          <w:szCs w:val="22"/>
          <w:lang w:val="en-GB"/>
        </w:rPr>
        <w:t>component</w:t>
      </w:r>
      <w:r w:rsidRPr="4AF775A2" w:rsidR="46D1F1A9">
        <w:rPr>
          <w:rFonts w:ascii="Arial" w:hAnsi="Arial" w:eastAsia="Arial" w:cs="Arial"/>
          <w:noProof w:val="0"/>
          <w:sz w:val="22"/>
          <w:szCs w:val="22"/>
          <w:lang w:val="en-GB"/>
        </w:rPr>
        <w:t xml:space="preserve"> within a more extensive, more complex retention framework.</w:t>
      </w:r>
    </w:p>
    <w:p w:rsidR="4AF775A2" w:rsidP="4AF775A2" w:rsidRDefault="4AF775A2" w14:paraId="31551CF5" w14:textId="77981424">
      <w:pPr>
        <w:bidi w:val="0"/>
        <w:spacing w:before="120" w:beforeAutospacing="off" w:after="120" w:afterAutospacing="off" w:line="360" w:lineRule="auto"/>
        <w:jc w:val="both"/>
        <w:rPr>
          <w:rFonts w:ascii="Arial" w:hAnsi="Arial" w:eastAsia="Arial" w:cs="Arial"/>
          <w:sz w:val="22"/>
          <w:szCs w:val="22"/>
        </w:rPr>
      </w:pPr>
    </w:p>
    <w:p w:rsidR="46D1F1A9" w:rsidP="4AF775A2" w:rsidRDefault="46D1F1A9" w14:paraId="098C6BF5" w14:textId="196FBC75">
      <w:pPr>
        <w:bidi w:val="0"/>
        <w:spacing w:before="120" w:beforeAutospacing="off" w:after="120" w:afterAutospacing="off" w:line="360" w:lineRule="auto"/>
        <w:jc w:val="both"/>
        <w:rPr>
          <w:rFonts w:ascii="Arial" w:hAnsi="Arial" w:eastAsia="Arial" w:cs="Arial"/>
          <w:noProof w:val="0"/>
          <w:sz w:val="22"/>
          <w:szCs w:val="22"/>
          <w:lang w:val="en-GB"/>
        </w:rPr>
      </w:pPr>
      <w:bookmarkStart w:name="_Toc1752538881" w:id="155035440"/>
      <w:r w:rsidRPr="4AF775A2" w:rsidR="46D1F1A9">
        <w:rPr>
          <w:rStyle w:val="Heading2Char"/>
          <w:rFonts w:ascii="Arial" w:hAnsi="Arial" w:eastAsia="Arial" w:cs="Arial"/>
          <w:noProof w:val="0"/>
          <w:sz w:val="22"/>
          <w:szCs w:val="22"/>
          <w:lang w:val="en-GB"/>
        </w:rPr>
        <w:t>Training as Both a Retention Tool and Mobility Enabler</w:t>
      </w:r>
      <w:bookmarkEnd w:id="155035440"/>
      <w:r w:rsidRPr="4AF775A2" w:rsidR="46D1F1A9">
        <w:rPr>
          <w:rFonts w:ascii="Arial" w:hAnsi="Arial" w:eastAsia="Arial" w:cs="Arial"/>
          <w:noProof w:val="0"/>
          <w:sz w:val="22"/>
          <w:szCs w:val="22"/>
          <w:lang w:val="en-GB"/>
        </w:rPr>
        <w:t xml:space="preserve"> </w:t>
      </w:r>
    </w:p>
    <w:p w:rsidR="46D1F1A9" w:rsidP="4AF775A2" w:rsidRDefault="46D1F1A9" w14:paraId="7C2FA02C" w14:textId="04684A7C">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The dual function of training </w:t>
      </w:r>
      <w:r w:rsidRPr="4AF775A2" w:rsidR="46D1F1A9">
        <w:rPr>
          <w:rFonts w:ascii="Arial" w:hAnsi="Arial" w:eastAsia="Arial" w:cs="Arial"/>
          <w:noProof w:val="0"/>
          <w:sz w:val="22"/>
          <w:szCs w:val="22"/>
          <w:lang w:val="en-GB"/>
        </w:rPr>
        <w:t>identified</w:t>
      </w:r>
      <w:r w:rsidRPr="4AF775A2" w:rsidR="46D1F1A9">
        <w:rPr>
          <w:rFonts w:ascii="Arial" w:hAnsi="Arial" w:eastAsia="Arial" w:cs="Arial"/>
          <w:noProof w:val="0"/>
          <w:sz w:val="22"/>
          <w:szCs w:val="22"/>
          <w:lang w:val="en-GB"/>
        </w:rPr>
        <w:t xml:space="preserve"> in the findings illustrates a fundamental tension within Human Capital Theory. While investment in employee development is presumed to enhance organisational commitment, it simultaneously increases employees’ external market value (Renaud et al., 2015). In the aviation sector, where qualifications are standardised and internationally recognised, this effect is clearly noticeable.</w:t>
      </w:r>
    </w:p>
    <w:p w:rsidR="46D1F1A9" w:rsidP="4AF775A2" w:rsidRDefault="46D1F1A9" w14:paraId="529F212B" w14:textId="288DA76E">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This </w:t>
      </w:r>
      <w:r w:rsidRPr="4AF775A2" w:rsidR="46D1F1A9">
        <w:rPr>
          <w:rFonts w:ascii="Arial" w:hAnsi="Arial" w:eastAsia="Arial" w:cs="Arial"/>
          <w:noProof w:val="0"/>
          <w:sz w:val="22"/>
          <w:szCs w:val="22"/>
          <w:lang w:val="en-GB"/>
        </w:rPr>
        <w:t>indicates</w:t>
      </w:r>
      <w:r w:rsidRPr="4AF775A2" w:rsidR="46D1F1A9">
        <w:rPr>
          <w:rFonts w:ascii="Arial" w:hAnsi="Arial" w:eastAsia="Arial" w:cs="Arial"/>
          <w:noProof w:val="0"/>
          <w:sz w:val="22"/>
          <w:szCs w:val="22"/>
          <w:lang w:val="en-GB"/>
        </w:rPr>
        <w:t xml:space="preserve"> that training may function less as a retention mechanism and more as a mobility enabler, </w:t>
      </w:r>
      <w:r w:rsidRPr="4AF775A2" w:rsidR="46D1F1A9">
        <w:rPr>
          <w:rFonts w:ascii="Arial" w:hAnsi="Arial" w:eastAsia="Arial" w:cs="Arial"/>
          <w:noProof w:val="0"/>
          <w:sz w:val="22"/>
          <w:szCs w:val="22"/>
          <w:lang w:val="en-GB"/>
        </w:rPr>
        <w:t>facilitating</w:t>
      </w:r>
      <w:r w:rsidRPr="4AF775A2" w:rsidR="46D1F1A9">
        <w:rPr>
          <w:rFonts w:ascii="Arial" w:hAnsi="Arial" w:eastAsia="Arial" w:cs="Arial"/>
          <w:noProof w:val="0"/>
          <w:sz w:val="22"/>
          <w:szCs w:val="22"/>
          <w:lang w:val="en-GB"/>
        </w:rPr>
        <w:t xml:space="preserve"> career progression across organisations rather than within them. These outcomes challenge the assumption that skill development inherently strengthens organisational attachment.</w:t>
      </w:r>
    </w:p>
    <w:p w:rsidR="46D1F1A9" w:rsidP="4AF775A2" w:rsidRDefault="46D1F1A9" w14:paraId="6AF606D1" w14:textId="779F69FB">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For easyJet, this stresses the need to embed training within a more extensive retention framework which encompasses career progression, incentives, and organisational commitment mechanisms. Without such integration, training may contribute to workforce instability rather than mitigate it.</w:t>
      </w:r>
    </w:p>
    <w:p w:rsidR="4AF775A2" w:rsidP="4AF775A2" w:rsidRDefault="4AF775A2" w14:paraId="0BC8B2E6" w14:textId="1C20C2B0">
      <w:pPr>
        <w:bidi w:val="0"/>
        <w:spacing w:before="120" w:beforeAutospacing="off" w:after="120" w:afterAutospacing="off" w:line="360" w:lineRule="auto"/>
        <w:jc w:val="both"/>
        <w:rPr>
          <w:rFonts w:ascii="Arial" w:hAnsi="Arial" w:eastAsia="Arial" w:cs="Arial"/>
          <w:sz w:val="22"/>
          <w:szCs w:val="22"/>
        </w:rPr>
      </w:pPr>
    </w:p>
    <w:p w:rsidR="46D1F1A9" w:rsidP="4AF775A2" w:rsidRDefault="46D1F1A9" w14:paraId="47C57EB9" w14:textId="5D94F990">
      <w:pPr>
        <w:pStyle w:val="Heading2"/>
        <w:bidi w:val="0"/>
        <w:spacing w:line="360" w:lineRule="auto"/>
        <w:jc w:val="both"/>
        <w:rPr>
          <w:rFonts w:ascii="Arial" w:hAnsi="Arial" w:eastAsia="Arial" w:cs="Arial"/>
          <w:noProof w:val="0"/>
          <w:sz w:val="22"/>
          <w:szCs w:val="22"/>
          <w:lang w:val="en-GB"/>
        </w:rPr>
      </w:pPr>
      <w:bookmarkStart w:name="_Toc2126914499" w:id="795466132"/>
      <w:r w:rsidRPr="4AF775A2" w:rsidR="46D1F1A9">
        <w:rPr>
          <w:rFonts w:ascii="Arial" w:hAnsi="Arial" w:eastAsia="Arial" w:cs="Arial"/>
          <w:noProof w:val="0"/>
          <w:sz w:val="22"/>
          <w:szCs w:val="22"/>
          <w:lang w:val="en-GB"/>
        </w:rPr>
        <w:t>Structural Boundaries of the Low-Cost Airline Model</w:t>
      </w:r>
      <w:bookmarkEnd w:id="795466132"/>
    </w:p>
    <w:p w:rsidR="46D1F1A9" w:rsidP="4AF775A2" w:rsidRDefault="46D1F1A9" w14:paraId="0AD6CD04" w14:textId="2680FF28">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The influence of the low-cost airline model reaches outside operational performance to fundamentally shape the scope and effectiveness of HRM practices. Unlike full-service carriers, low-cost airlines </w:t>
      </w:r>
      <w:r w:rsidRPr="4AF775A2" w:rsidR="46D1F1A9">
        <w:rPr>
          <w:rFonts w:ascii="Arial" w:hAnsi="Arial" w:eastAsia="Arial" w:cs="Arial"/>
          <w:noProof w:val="0"/>
          <w:sz w:val="22"/>
          <w:szCs w:val="22"/>
          <w:lang w:val="en-GB"/>
        </w:rPr>
        <w:t>operate</w:t>
      </w:r>
      <w:r w:rsidRPr="4AF775A2" w:rsidR="46D1F1A9">
        <w:rPr>
          <w:rFonts w:ascii="Arial" w:hAnsi="Arial" w:eastAsia="Arial" w:cs="Arial"/>
          <w:noProof w:val="0"/>
          <w:sz w:val="22"/>
          <w:szCs w:val="22"/>
          <w:lang w:val="en-GB"/>
        </w:rPr>
        <w:t xml:space="preserve"> under strict cost constraints, limiting their ability to compete on compensation, benefits, and working conditions (Harvey and Turnbull, 2012).</w:t>
      </w:r>
    </w:p>
    <w:p w:rsidR="46D1F1A9" w:rsidP="4AF775A2" w:rsidRDefault="46D1F1A9" w14:paraId="7DD9D322" w14:textId="4681E7C2">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This creates a structural tension in which HRM must enhance retention while </w:t>
      </w:r>
      <w:r w:rsidRPr="4AF775A2" w:rsidR="46D1F1A9">
        <w:rPr>
          <w:rFonts w:ascii="Arial" w:hAnsi="Arial" w:eastAsia="Arial" w:cs="Arial"/>
          <w:noProof w:val="0"/>
          <w:sz w:val="22"/>
          <w:szCs w:val="22"/>
          <w:lang w:val="en-GB"/>
        </w:rPr>
        <w:t>operating</w:t>
      </w:r>
      <w:r w:rsidRPr="4AF775A2" w:rsidR="46D1F1A9">
        <w:rPr>
          <w:rFonts w:ascii="Arial" w:hAnsi="Arial" w:eastAsia="Arial" w:cs="Arial"/>
          <w:noProof w:val="0"/>
          <w:sz w:val="22"/>
          <w:szCs w:val="22"/>
          <w:lang w:val="en-GB"/>
        </w:rPr>
        <w:t xml:space="preserve"> within a model that prioritises cost minimisation. Strategically, this </w:t>
      </w:r>
      <w:r w:rsidRPr="4AF775A2" w:rsidR="46D1F1A9">
        <w:rPr>
          <w:rFonts w:ascii="Arial" w:hAnsi="Arial" w:eastAsia="Arial" w:cs="Arial"/>
          <w:noProof w:val="0"/>
          <w:sz w:val="22"/>
          <w:szCs w:val="22"/>
          <w:lang w:val="en-GB"/>
        </w:rPr>
        <w:t>constitutes</w:t>
      </w:r>
      <w:r w:rsidRPr="4AF775A2" w:rsidR="46D1F1A9">
        <w:rPr>
          <w:rFonts w:ascii="Arial" w:hAnsi="Arial" w:eastAsia="Arial" w:cs="Arial"/>
          <w:noProof w:val="0"/>
          <w:sz w:val="22"/>
          <w:szCs w:val="22"/>
          <w:lang w:val="en-GB"/>
        </w:rPr>
        <w:t xml:space="preserve"> a trade-off between cost leadership and human capital investment, where improvements in retention may directly conflict with financial </w:t>
      </w:r>
      <w:r w:rsidRPr="4AF775A2" w:rsidR="46D1F1A9">
        <w:rPr>
          <w:rFonts w:ascii="Arial" w:hAnsi="Arial" w:eastAsia="Arial" w:cs="Arial"/>
          <w:noProof w:val="0"/>
          <w:sz w:val="22"/>
          <w:szCs w:val="22"/>
          <w:lang w:val="en-GB"/>
        </w:rPr>
        <w:t>objectives</w:t>
      </w:r>
      <w:r w:rsidRPr="4AF775A2" w:rsidR="46D1F1A9">
        <w:rPr>
          <w:rFonts w:ascii="Arial" w:hAnsi="Arial" w:eastAsia="Arial" w:cs="Arial"/>
          <w:noProof w:val="0"/>
          <w:sz w:val="22"/>
          <w:szCs w:val="22"/>
          <w:lang w:val="en-GB"/>
        </w:rPr>
        <w:t>.</w:t>
      </w:r>
    </w:p>
    <w:p w:rsidR="46D1F1A9" w:rsidP="4AF775A2" w:rsidRDefault="46D1F1A9" w14:paraId="438636CD" w14:textId="7E2882B9">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For easyJet, this suggests that HRM cannot be evaluated independently of the business model. Retention challenges should be viewed as an inherent feature of the low-cost strategy rather than only as a failure of HR practices.</w:t>
      </w:r>
    </w:p>
    <w:p w:rsidR="4AF775A2" w:rsidP="4AF775A2" w:rsidRDefault="4AF775A2" w14:paraId="0F10E4BF" w14:textId="628055A1">
      <w:pPr>
        <w:bidi w:val="0"/>
        <w:spacing w:before="120" w:beforeAutospacing="off" w:after="120" w:afterAutospacing="off" w:line="360" w:lineRule="auto"/>
        <w:jc w:val="both"/>
        <w:rPr>
          <w:rFonts w:ascii="Arial" w:hAnsi="Arial" w:eastAsia="Arial" w:cs="Arial"/>
          <w:sz w:val="22"/>
          <w:szCs w:val="22"/>
        </w:rPr>
      </w:pPr>
    </w:p>
    <w:p w:rsidR="46D1F1A9" w:rsidP="4AF775A2" w:rsidRDefault="46D1F1A9" w14:paraId="7766A2F5" w14:textId="6487B675">
      <w:pPr>
        <w:pStyle w:val="Heading2"/>
        <w:bidi w:val="0"/>
        <w:spacing w:line="360" w:lineRule="auto"/>
        <w:jc w:val="both"/>
        <w:rPr>
          <w:rFonts w:ascii="Arial" w:hAnsi="Arial" w:eastAsia="Arial" w:cs="Arial"/>
          <w:noProof w:val="0"/>
          <w:sz w:val="22"/>
          <w:szCs w:val="22"/>
          <w:lang w:val="en-GB"/>
        </w:rPr>
      </w:pPr>
      <w:bookmarkStart w:name="_Toc1056013604" w:id="2080333351"/>
      <w:r w:rsidRPr="4AF775A2" w:rsidR="46D1F1A9">
        <w:rPr>
          <w:rFonts w:ascii="Arial" w:hAnsi="Arial" w:eastAsia="Arial" w:cs="Arial"/>
          <w:noProof w:val="0"/>
          <w:sz w:val="22"/>
          <w:szCs w:val="22"/>
          <w:lang w:val="en-GB"/>
        </w:rPr>
        <w:t>The Dominance of External Labour Market Forces</w:t>
      </w:r>
      <w:bookmarkEnd w:id="2080333351"/>
      <w:r w:rsidRPr="4AF775A2" w:rsidR="46D1F1A9">
        <w:rPr>
          <w:rFonts w:ascii="Arial" w:hAnsi="Arial" w:eastAsia="Arial" w:cs="Arial"/>
          <w:noProof w:val="0"/>
          <w:sz w:val="22"/>
          <w:szCs w:val="22"/>
          <w:lang w:val="en-GB"/>
        </w:rPr>
        <w:t xml:space="preserve"> </w:t>
      </w:r>
    </w:p>
    <w:p w:rsidR="46D1F1A9" w:rsidP="4AF775A2" w:rsidRDefault="46D1F1A9" w14:paraId="197E873C" w14:textId="7D9F96FD">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The findings underscore the extent to which pilot retention is </w:t>
      </w:r>
      <w:r w:rsidRPr="4AF775A2" w:rsidR="46D1F1A9">
        <w:rPr>
          <w:rFonts w:ascii="Arial" w:hAnsi="Arial" w:eastAsia="Arial" w:cs="Arial"/>
          <w:noProof w:val="0"/>
          <w:sz w:val="22"/>
          <w:szCs w:val="22"/>
          <w:lang w:val="en-GB"/>
        </w:rPr>
        <w:t>determined</w:t>
      </w:r>
      <w:r w:rsidRPr="4AF775A2" w:rsidR="46D1F1A9">
        <w:rPr>
          <w:rFonts w:ascii="Arial" w:hAnsi="Arial" w:eastAsia="Arial" w:cs="Arial"/>
          <w:noProof w:val="0"/>
          <w:sz w:val="22"/>
          <w:szCs w:val="22"/>
          <w:lang w:val="en-GB"/>
        </w:rPr>
        <w:t xml:space="preserve"> by external labour market conditions, including global shortages, regulatory barriers, and increasing requirements for skilled labour (Caraway, 2020; </w:t>
      </w:r>
      <w:r w:rsidRPr="4AF775A2" w:rsidR="5FD02165">
        <w:rPr>
          <w:rFonts w:ascii="Arial" w:hAnsi="Arial" w:eastAsia="Arial" w:cs="Arial"/>
          <w:noProof w:val="0"/>
          <w:sz w:val="22"/>
          <w:szCs w:val="22"/>
          <w:lang w:val="en-GB"/>
        </w:rPr>
        <w:t>Klapper &amp; Ruff-Stahl</w:t>
      </w:r>
      <w:r w:rsidRPr="4AF775A2" w:rsidR="46D1F1A9">
        <w:rPr>
          <w:rFonts w:ascii="Arial" w:hAnsi="Arial" w:eastAsia="Arial" w:cs="Arial"/>
          <w:noProof w:val="0"/>
          <w:sz w:val="22"/>
          <w:szCs w:val="22"/>
          <w:lang w:val="en-GB"/>
        </w:rPr>
        <w:t>, 2019). This reinforces the argument that retention cannot be fully controlled at the organisational level.</w:t>
      </w:r>
    </w:p>
    <w:p w:rsidR="46D1F1A9" w:rsidP="4AF775A2" w:rsidRDefault="46D1F1A9" w14:paraId="710BE1D0" w14:textId="1DF83B35">
      <w:pPr>
        <w:bidi w:val="0"/>
        <w:spacing w:before="120" w:beforeAutospacing="off" w:after="120" w:afterAutospacing="off" w:line="360" w:lineRule="auto"/>
        <w:jc w:val="both"/>
        <w:rPr>
          <w:rFonts w:ascii="Arial" w:hAnsi="Arial" w:eastAsia="Arial" w:cs="Arial"/>
          <w:noProof w:val="0"/>
          <w:sz w:val="22"/>
          <w:szCs w:val="22"/>
          <w:lang w:val="en-GB"/>
        </w:rPr>
      </w:pPr>
      <w:r w:rsidRPr="4AF775A2" w:rsidR="46D1F1A9">
        <w:rPr>
          <w:rFonts w:ascii="Arial" w:hAnsi="Arial" w:eastAsia="Arial" w:cs="Arial"/>
          <w:noProof w:val="0"/>
          <w:sz w:val="22"/>
          <w:szCs w:val="22"/>
          <w:lang w:val="en-GB"/>
        </w:rPr>
        <w:t xml:space="preserve">From a theoretical standpoint, this challenges firm-centric models of HRM by drawing attention to the importance of industry-level as well as institutional factors. Retention outcomes are not entirely </w:t>
      </w:r>
      <w:r w:rsidRPr="4AF775A2" w:rsidR="46D1F1A9">
        <w:rPr>
          <w:rFonts w:ascii="Arial" w:hAnsi="Arial" w:eastAsia="Arial" w:cs="Arial"/>
          <w:noProof w:val="0"/>
          <w:sz w:val="22"/>
          <w:szCs w:val="22"/>
          <w:lang w:val="en-GB"/>
        </w:rPr>
        <w:t>determined</w:t>
      </w:r>
      <w:r w:rsidRPr="4AF775A2" w:rsidR="46D1F1A9">
        <w:rPr>
          <w:rFonts w:ascii="Arial" w:hAnsi="Arial" w:eastAsia="Arial" w:cs="Arial"/>
          <w:noProof w:val="0"/>
          <w:sz w:val="22"/>
          <w:szCs w:val="22"/>
          <w:lang w:val="en-GB"/>
        </w:rPr>
        <w:t xml:space="preserve"> by organisational policies but are embedded within wider labour market systems. For easyJet, this implies that effective retention strategies must surpass internal HRM practices to encompass engagement with external stakeholders, including training institutions and governing authorities. This shows a development towards a workforce ecosystem perspective, in which talent management is regarded as a shared responsibility instead of only an organisational one.</w:t>
      </w:r>
    </w:p>
    <w:p w:rsidR="2D1AE827" w:rsidP="4AF775A2" w:rsidRDefault="2D1AE827" w14:paraId="3C801259" w14:textId="4B7CBA29">
      <w:pPr>
        <w:pStyle w:val="Heading1"/>
        <w:bidi w:val="0"/>
        <w:spacing w:line="360" w:lineRule="auto"/>
        <w:jc w:val="both"/>
        <w:rPr>
          <w:rFonts w:ascii="Arial" w:hAnsi="Arial" w:eastAsia="Arial" w:cs="Arial"/>
          <w:noProof w:val="0"/>
          <w:sz w:val="22"/>
          <w:szCs w:val="22"/>
          <w:lang w:val="en-GB"/>
        </w:rPr>
      </w:pPr>
      <w:bookmarkStart w:name="_Toc1621744466" w:id="2081883636"/>
      <w:bookmarkStart w:name="_Toc2094666624" w:id="566834090"/>
      <w:r w:rsidRPr="4AF775A2" w:rsidR="2D1AE827">
        <w:rPr>
          <w:rFonts w:ascii="Arial" w:hAnsi="Arial" w:eastAsia="Arial" w:cs="Arial"/>
          <w:noProof w:val="0"/>
          <w:sz w:val="22"/>
          <w:szCs w:val="22"/>
          <w:lang w:val="en-GB"/>
        </w:rPr>
        <w:t>Conclusion</w:t>
      </w:r>
      <w:bookmarkEnd w:id="2081883636"/>
      <w:bookmarkEnd w:id="566834090"/>
    </w:p>
    <w:p w:rsidR="034594A6" w:rsidP="4AF775A2" w:rsidRDefault="034594A6" w14:paraId="4C5CAEB6" w14:textId="1A32A916">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This study examines the influence of Human Resource Management (HRM) practices on pilot engagement and retention within the strategic and functional constraints of low-cost airlines, using easyJet as the case study. Employing a mixed-methods strategy that integrates academic literature and organisational data analysis, the research explains the various drivers of pilot retention in a competitive, skill-intensive labour market.</w:t>
      </w:r>
    </w:p>
    <w:p w:rsidR="034594A6" w:rsidP="4AF775A2" w:rsidRDefault="034594A6" w14:paraId="79201539" w14:textId="00FA4BC2">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The evidence suggests that HRM practices have a direct impact on employee engagement and retention. Four principal themes are identified in the literature: pay and compensation, training and development, organisational support and communication, and working conditions. These mechanisms mutually influence employee outcomes. Organisational support and communication emerge as the most prominent and consistent drivers of engagement. Numerous studies show that transparent communication, supportive leadership, and organisational investment strengthen employee engagement, job satisfaction, and well-being (Guest, 2017; Ogbonnaya and Messersmith, 2019; Pahos &amp; Galanaki, 2022; Vu, 2022). These results correspond with Social Exchange Theory, which suggests that employees reciprocate organisational support with increased commitment and positive attitudes (Gould-Williams &amp; Davies, 2005).</w:t>
      </w:r>
    </w:p>
    <w:p w:rsidR="034594A6" w:rsidP="4AF775A2" w:rsidRDefault="034594A6" w14:paraId="494E0498" w14:textId="2FE50AD1">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However, research indicates that although organisational support and communication elevate engagement, their effect on long-term retention is limited. Engagement refers to employees' affective and cognitive connection to their work, whereas retention concerns the decision to remain with the organisation. Employees may value positive environments and effective communication, yet still choose to leave for superior financial or career opportunities (Renaud et al., 2015; Peyrat, Grefe &amp; Subramaanian, 2022). This distinction disputes the assumption that improving employee experience alone guarantees long-term employee retention. In highly mobile, skill-scarce sectors such as aviation, this limitation is distinctly apparent, pointing to the necessity for HRM strategies that reach beyond relational practices.</w:t>
      </w:r>
    </w:p>
    <w:p w:rsidR="034594A6" w:rsidP="4AF775A2" w:rsidRDefault="034594A6" w14:paraId="31BEE49A" w14:textId="692F0723">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In relation to Research Question 1, training and development as well as compensation are significant, yet organisational support is referenced more frequently and consistently in the literature. Training and development strengthen employee capability and engagement (Renaud et al., 2015; Tej et al., 2021), but they may also increase external employability. Compensation and reward systems influence retention; however, their effectiveness is limited by external labour-market comparisons and perceptions of fairness (Muofhe, 2021; Aksoy, 2024; Belderbos et al., 2025). The results indicate that no single HRM practice can ensure retention.</w:t>
      </w:r>
    </w:p>
    <w:p w:rsidR="034594A6" w:rsidP="4AF775A2" w:rsidRDefault="034594A6" w14:paraId="7F27B2E9" w14:textId="6B3898E0">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 xml:space="preserve">Working conditions further complicate this relationship. Elements such as workload, fatigue, and scheduling have a substantial impact on employee well-being and retention, especially in aviation, where operational demands are considerable (Jackson and Earl, 2006; </w:t>
      </w:r>
      <w:r w:rsidRPr="4AF775A2" w:rsidR="5EC1B82B">
        <w:rPr>
          <w:rFonts w:ascii="Arial" w:hAnsi="Arial" w:eastAsia="Arial" w:cs="Arial"/>
          <w:noProof w:val="0"/>
          <w:sz w:val="22"/>
          <w:szCs w:val="22"/>
          <w:lang w:val="en-GB"/>
        </w:rPr>
        <w:t>Maxwell &amp; Grant</w:t>
      </w:r>
      <w:r w:rsidRPr="4AF775A2" w:rsidR="03013082">
        <w:rPr>
          <w:rFonts w:ascii="Arial" w:hAnsi="Arial" w:eastAsia="Arial" w:cs="Arial"/>
          <w:noProof w:val="0"/>
          <w:sz w:val="22"/>
          <w:szCs w:val="22"/>
          <w:lang w:val="en-GB"/>
        </w:rPr>
        <w:t xml:space="preserve">, 2021). However, efforts to improve working conditions are </w:t>
      </w:r>
      <w:r w:rsidRPr="4AF775A2" w:rsidR="03013082">
        <w:rPr>
          <w:rFonts w:ascii="Arial" w:hAnsi="Arial" w:eastAsia="Arial" w:cs="Arial"/>
          <w:noProof w:val="0"/>
          <w:sz w:val="22"/>
          <w:szCs w:val="22"/>
          <w:lang w:val="en-GB"/>
        </w:rPr>
        <w:t>frequently</w:t>
      </w:r>
      <w:r w:rsidRPr="4AF775A2" w:rsidR="03013082">
        <w:rPr>
          <w:rFonts w:ascii="Arial" w:hAnsi="Arial" w:eastAsia="Arial" w:cs="Arial"/>
          <w:noProof w:val="0"/>
          <w:sz w:val="22"/>
          <w:szCs w:val="22"/>
          <w:lang w:val="en-GB"/>
        </w:rPr>
        <w:t xml:space="preserve"> restricted by the operational imperatives of the low-cost carrier (LCC) model, which prioritises efficiency and cost minimisation. This creates a structural tension between HRM objectives and business strategy, limiting the extent to which organisations can optimise working environments.</w:t>
      </w:r>
    </w:p>
    <w:p w:rsidR="034594A6" w:rsidP="4AF775A2" w:rsidRDefault="034594A6" w14:paraId="02C3B001" w14:textId="061C8F7E">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Research Questions 2 and 3 build upon these understandings by analysing the implementation of HRM practices within the specific context of easyJet. The narrative synthesis reveals that easyJet places considerable emphasis on communication, employee engagement, and organisational culture, indicating the importance of relational HRM practices identified in the literature. Publicly available data indicate that the organisation invests in transparent messaging channels, development programmes, and employee health initiatives (easyJet, 2025). Nevertheless, these practices are determined by operational constraints built into the low-cost model, such as high utilisation rates and cost pressures. Consequently, the ability of HRM practices to fully address retention challenges is limited.</w:t>
      </w:r>
    </w:p>
    <w:p w:rsidR="034594A6" w:rsidP="4AF775A2" w:rsidRDefault="034594A6" w14:paraId="59DC341A" w14:textId="3013FE49">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Additionally, the findings show the substantial consequence of external labour market forces, notably the global pilot shortage and rising international mobility (Leroux Parra, 2019; Klapper &amp; Ruff-Stahl, 2019; Caraway, 2020). These factors diminish organisational control over retention outcomes, as pilots can leverage their skills in a competitive international market. This supports the argument that retention is influenced not only by internal HRM practices together with by external conditions.</w:t>
      </w:r>
    </w:p>
    <w:p w:rsidR="034594A6" w:rsidP="4AF775A2" w:rsidRDefault="034594A6" w14:paraId="090B9A1C" w14:textId="257AC226">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In addressing Research Question 4, the study identifies several important consequences for HRM strategy. First, organisations must recognise that engagement refers to employees’ emotive and cognitive connection to their work, whereas retention refers to employees remaining with the organisation. Each is a linked but unique outcome, and each requires a distinct strategic plan. While organisational support and communication are key for fostering engagement, competitive compensation, clear career pathways, and sustainable working conditions are necessary to influence retention (Pathomphatthaphan, Das, &amp; Lalatendu Kesari, 2024; Zhang &amp; Jia, 2010). Second, HRM strategies should be integrated and context-sensitive. They must acknowledge the restrictions placed on business models and external labour markets. Third, organisations should adopt a more realistic perspective on retention. They must recognise the limits of their power in highly mobile labour environments.</w:t>
      </w:r>
    </w:p>
    <w:p w:rsidR="034594A6" w:rsidP="4AF775A2" w:rsidRDefault="034594A6" w14:paraId="03E2A257" w14:textId="4F80E6F8">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Despite its contributions, the study meets several limitations. Reliance on secondary data, especially publicly available organisational sources, poses possible bias, as such data may present a curated perspective on HRM practices (Fleischer &amp; Khalil, 2024). Although triangulation with academic literature partially mitigates this issue, the absence of primary data restricts insight into employee perspectives. Subsequent research could address this restriction through qualitative methods, such as interviews or surveys with pilots.</w:t>
      </w:r>
    </w:p>
    <w:p w:rsidR="034594A6" w:rsidP="4AF775A2" w:rsidRDefault="034594A6" w14:paraId="7E75EB7F" w14:textId="3BC9CEDB">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Furthermore, the use of a single case study restricts the generalisability of the findings. While easyJet offers a relevant and insightful context, the results may not be fully representative of other airlines or industries. Comparative studies across different airline models would strengthen the understanding of how HRM practices operate under varied conditions.</w:t>
      </w:r>
    </w:p>
    <w:p w:rsidR="034594A6" w:rsidP="4AF775A2" w:rsidRDefault="034594A6" w14:paraId="2C679032" w14:textId="4CC457D4">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The deductive approach adopted in this study also involves limitations. Although it offers a clear conceptual framework, it may restrict the identification of emergent insights. Additional research could incorporate more inductive or abductive methodologies to more precisely capture unexpected dynamics occurring within complex organisational environments.</w:t>
      </w:r>
    </w:p>
    <w:p w:rsidR="034594A6" w:rsidP="4AF775A2" w:rsidRDefault="034594A6" w14:paraId="7EAED509" w14:textId="680E5E39">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Finally, the ever-changing nature of the aviation industry results in persistently evolving retention challenges. Longitudinal research would deliver valuable insights into how HRM practices and labour market conditions interact over time.</w:t>
      </w:r>
    </w:p>
    <w:p w:rsidR="034594A6" w:rsidP="4AF775A2" w:rsidRDefault="034594A6" w14:paraId="04FF1B14" w14:textId="68FFC6B7">
      <w:pPr>
        <w:bidi w:val="0"/>
        <w:spacing w:before="120" w:beforeAutospacing="off" w:after="120" w:afterAutospacing="off" w:line="360" w:lineRule="auto"/>
        <w:jc w:val="both"/>
        <w:rPr>
          <w:rFonts w:ascii="Arial" w:hAnsi="Arial" w:eastAsia="Arial" w:cs="Arial"/>
          <w:noProof w:val="0"/>
          <w:sz w:val="22"/>
          <w:szCs w:val="22"/>
          <w:lang w:val="en-GB"/>
        </w:rPr>
      </w:pPr>
      <w:r w:rsidRPr="4AF775A2" w:rsidR="03013082">
        <w:rPr>
          <w:rFonts w:ascii="Arial" w:hAnsi="Arial" w:eastAsia="Arial" w:cs="Arial"/>
          <w:noProof w:val="0"/>
          <w:sz w:val="22"/>
          <w:szCs w:val="22"/>
          <w:lang w:val="en-GB"/>
        </w:rPr>
        <w:t>In conclusion, this study indicates that organisational support and communication are the most significant drivers of employee engagement within the HRM literature. However, their influence on retention is limited by organisational and external factors, especially within the low-cost airline model. Retention does not result directly from HRM practices but emerges from complicated interactions among internal strategies, operational constraints, and labour market forces. These conclusions reinforce the necessity for integrated, realistic, and context-sensitive HRM approaches to address the long-standing challenge of pilot retention in the aviation industry.</w:t>
      </w:r>
    </w:p>
    <w:p w:rsidR="034594A6" w:rsidP="4AF775A2" w:rsidRDefault="034594A6" w14:paraId="3E839B7A" w14:textId="285AB6BC">
      <w:pPr>
        <w:pStyle w:val="Normal"/>
        <w:bidi w:val="0"/>
        <w:spacing w:line="360" w:lineRule="auto"/>
        <w:jc w:val="both"/>
        <w:rPr>
          <w:rFonts w:ascii="Arial" w:hAnsi="Arial" w:eastAsia="Arial" w:cs="Arial"/>
          <w:noProof w:val="0"/>
          <w:sz w:val="22"/>
          <w:szCs w:val="22"/>
          <w:lang w:val="en-GB"/>
        </w:rPr>
      </w:pPr>
    </w:p>
    <w:p w:rsidR="034594A6" w:rsidP="4AF775A2" w:rsidRDefault="034594A6" w14:paraId="4AA82B97" w14:textId="2520B28D">
      <w:pPr>
        <w:pStyle w:val="Normal"/>
        <w:bidi w:val="0"/>
        <w:spacing w:before="120" w:beforeAutospacing="off" w:after="120" w:afterAutospacing="off" w:line="360" w:lineRule="auto"/>
        <w:ind w:left="0"/>
        <w:jc w:val="both"/>
        <w:rPr>
          <w:rFonts w:ascii="Arial" w:hAnsi="Arial" w:eastAsia="Arial" w:cs="Arial"/>
          <w:b w:val="1"/>
          <w:bCs w:val="1"/>
          <w:noProof w:val="0"/>
          <w:sz w:val="22"/>
          <w:szCs w:val="22"/>
          <w:lang w:val="en-GB"/>
        </w:rPr>
      </w:pPr>
    </w:p>
    <w:p w:rsidR="243BEF60" w:rsidP="4AF775A2" w:rsidRDefault="243BEF60" w14:paraId="5537F3DD" w14:textId="024C857C">
      <w:pPr>
        <w:pStyle w:val="Normal"/>
        <w:suppressLineNumbers w:val="0"/>
        <w:bidi w:val="0"/>
        <w:spacing w:before="120" w:beforeAutospacing="off" w:after="120" w:afterAutospacing="off" w:line="360" w:lineRule="auto"/>
        <w:ind w:left="0"/>
        <w:jc w:val="both"/>
        <w:rPr>
          <w:rFonts w:ascii="Arial" w:hAnsi="Arial" w:eastAsia="Arial" w:cs="Arial"/>
          <w:b w:val="0"/>
          <w:bCs w:val="0"/>
          <w:noProof w:val="0"/>
          <w:sz w:val="22"/>
          <w:szCs w:val="22"/>
          <w:lang w:val="en-GB"/>
        </w:rPr>
      </w:pPr>
    </w:p>
    <w:p w:rsidR="4AF775A2" w:rsidRDefault="4AF775A2" w14:paraId="33F5941A" w14:textId="047CB7AF">
      <w:r>
        <w:br w:type="page"/>
      </w:r>
    </w:p>
    <w:p w:rsidR="4AF775A2" w:rsidP="4AF775A2" w:rsidRDefault="4AF775A2" w14:paraId="35E76F17" w14:textId="74CB60BF">
      <w:pPr>
        <w:pStyle w:val="Normal"/>
        <w:bidi w:val="0"/>
        <w:spacing w:before="120" w:beforeAutospacing="off" w:after="120" w:afterAutospacing="off" w:line="360" w:lineRule="auto"/>
        <w:ind w:left="0"/>
        <w:jc w:val="both"/>
        <w:rPr>
          <w:rFonts w:ascii="Arial" w:hAnsi="Arial" w:eastAsia="Arial" w:cs="Arial"/>
          <w:b w:val="0"/>
          <w:bCs w:val="0"/>
          <w:noProof w:val="0"/>
          <w:sz w:val="22"/>
          <w:szCs w:val="22"/>
          <w:lang w:val="en-GB"/>
        </w:rPr>
      </w:pPr>
    </w:p>
    <w:p w:rsidR="34F66F96" w:rsidP="4AF775A2" w:rsidRDefault="34F66F96" w14:paraId="6F97C21B" w14:textId="5EA54E08">
      <w:pPr>
        <w:pStyle w:val="Heading1"/>
        <w:rPr>
          <w:rFonts w:ascii="Arial" w:hAnsi="Arial" w:eastAsia="Arial" w:cs="Arial"/>
          <w:sz w:val="22"/>
          <w:szCs w:val="22"/>
        </w:rPr>
      </w:pPr>
      <w:bookmarkStart w:name="_Toc1439461662" w:id="157100258"/>
      <w:r w:rsidR="34F66F96">
        <w:rPr/>
        <w:t>References</w:t>
      </w:r>
      <w:bookmarkEnd w:id="157100258"/>
    </w:p>
    <w:p w:rsidR="6BCC0B94" w:rsidP="4AF775A2" w:rsidRDefault="6BCC0B94" w14:paraId="0A54ECB2" w14:textId="66AB0C74">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r w:rsidRPr="4AF775A2" w:rsidR="60477B2B">
        <w:rPr>
          <w:rFonts w:ascii="Arial" w:hAnsi="Arial" w:eastAsia="Arial" w:cs="Arial"/>
          <w:sz w:val="22"/>
          <w:szCs w:val="22"/>
        </w:rPr>
        <w:t>Adom, A.Y. (2018) “The role of commission-based pay on employee retention in the Ghanaian banking industry : the case of GCB Bank Limited,” Africa’s public service delivery &amp; performance review, 6(1), pp. 1–5. Available at: https://doi.org/10.4102/apsdpr.v6i1.228.</w:t>
      </w:r>
    </w:p>
    <w:p w:rsidR="6BCC0B94" w:rsidP="4AF775A2" w:rsidRDefault="6BCC0B94" w14:paraId="0F4C95A4" w14:textId="26EB4982">
      <w:pPr>
        <w:suppressLineNumbers w:val="0"/>
        <w:bidi w:val="0"/>
        <w:spacing w:before="0" w:beforeAutospacing="off" w:after="0" w:afterAutospacing="off" w:line="279" w:lineRule="auto"/>
        <w:ind/>
        <w:jc w:val="both"/>
        <w:rPr>
          <w:rFonts w:ascii="Arial" w:hAnsi="Arial" w:eastAsia="Arial" w:cs="Arial"/>
          <w:noProof w:val="0"/>
          <w:sz w:val="22"/>
          <w:szCs w:val="22"/>
          <w:lang w:val="en-GB"/>
        </w:rPr>
      </w:pPr>
      <w:r w:rsidRPr="4AF775A2" w:rsidR="60477B2B">
        <w:rPr>
          <w:rFonts w:ascii="Arial" w:hAnsi="Arial" w:eastAsia="Arial" w:cs="Arial"/>
          <w:noProof w:val="0"/>
          <w:sz w:val="22"/>
          <w:szCs w:val="22"/>
          <w:lang w:val="en-GB"/>
        </w:rPr>
        <w:t xml:space="preserve">Aksoy, E. (2024) “Investigating the Effects of </w:t>
      </w:r>
      <w:r w:rsidRPr="4AF775A2" w:rsidR="4E716085">
        <w:rPr>
          <w:rFonts w:ascii="Arial" w:hAnsi="Arial" w:eastAsia="Arial" w:cs="Arial"/>
          <w:noProof w:val="0"/>
          <w:sz w:val="22"/>
          <w:szCs w:val="22"/>
          <w:lang w:val="en-GB"/>
        </w:rPr>
        <w:t>Organisation</w:t>
      </w:r>
      <w:r w:rsidRPr="4AF775A2" w:rsidR="60477B2B">
        <w:rPr>
          <w:rFonts w:ascii="Arial" w:hAnsi="Arial" w:eastAsia="Arial" w:cs="Arial"/>
          <w:noProof w:val="0"/>
          <w:sz w:val="22"/>
          <w:szCs w:val="22"/>
          <w:lang w:val="en-GB"/>
        </w:rPr>
        <w:t xml:space="preserve">al Long-Term Orientation and Employees’ Pay Satisfaction on Turnover Intentions,” </w:t>
      </w:r>
      <w:r w:rsidRPr="4AF775A2" w:rsidR="60477B2B">
        <w:rPr>
          <w:rFonts w:ascii="Arial" w:hAnsi="Arial" w:eastAsia="Arial" w:cs="Arial"/>
          <w:i w:val="1"/>
          <w:iCs w:val="1"/>
          <w:noProof w:val="0"/>
          <w:sz w:val="22"/>
          <w:szCs w:val="22"/>
          <w:lang w:val="en-GB"/>
        </w:rPr>
        <w:t>Business and economics research journal</w:t>
      </w:r>
      <w:r w:rsidRPr="4AF775A2" w:rsidR="60477B2B">
        <w:rPr>
          <w:rFonts w:ascii="Arial" w:hAnsi="Arial" w:eastAsia="Arial" w:cs="Arial"/>
          <w:noProof w:val="0"/>
          <w:sz w:val="22"/>
          <w:szCs w:val="22"/>
          <w:lang w:val="en-GB"/>
        </w:rPr>
        <w:t xml:space="preserve">, 15(3), pp. 277–290. Available at: </w:t>
      </w:r>
      <w:hyperlink r:id="R344db4ea3ca2431d">
        <w:r w:rsidRPr="4AF775A2" w:rsidR="60477B2B">
          <w:rPr>
            <w:rStyle w:val="Hyperlink"/>
            <w:rFonts w:ascii="Arial" w:hAnsi="Arial" w:eastAsia="Arial" w:cs="Arial"/>
            <w:noProof w:val="0"/>
            <w:sz w:val="22"/>
            <w:szCs w:val="22"/>
            <w:lang w:val="en-GB"/>
          </w:rPr>
          <w:t>https://doi.org/10.20409/berj.2024.445</w:t>
        </w:r>
      </w:hyperlink>
      <w:r w:rsidRPr="4AF775A2" w:rsidR="60477B2B">
        <w:rPr>
          <w:rFonts w:ascii="Arial" w:hAnsi="Arial" w:eastAsia="Arial" w:cs="Arial"/>
          <w:noProof w:val="0"/>
          <w:sz w:val="22"/>
          <w:szCs w:val="22"/>
          <w:lang w:val="en-GB"/>
        </w:rPr>
        <w:t>.</w:t>
      </w:r>
    </w:p>
    <w:p w:rsidR="6BCC0B94" w:rsidP="4AF775A2" w:rsidRDefault="6BCC0B94" w14:paraId="63D3EE31" w14:textId="156B6798">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43BEF60" w:rsidP="4AF775A2" w:rsidRDefault="243BEF60" w14:paraId="4B801EBF" w14:textId="0E436479">
      <w:pPr>
        <w:suppressLineNumbers w:val="0"/>
        <w:bidi w:val="0"/>
        <w:spacing w:before="0" w:beforeAutospacing="off" w:after="0" w:afterAutospacing="off" w:line="279" w:lineRule="auto"/>
        <w:ind/>
        <w:jc w:val="both"/>
        <w:rPr>
          <w:rFonts w:ascii="Arial" w:hAnsi="Arial" w:eastAsia="Arial" w:cs="Arial"/>
          <w:noProof w:val="0"/>
          <w:sz w:val="22"/>
          <w:szCs w:val="22"/>
          <w:lang w:val="en-GB"/>
        </w:rPr>
      </w:pPr>
      <w:r w:rsidRPr="4AF775A2" w:rsidR="60477B2B">
        <w:rPr>
          <w:rFonts w:ascii="Arial" w:hAnsi="Arial" w:eastAsia="Arial" w:cs="Arial"/>
          <w:noProof w:val="0"/>
          <w:sz w:val="22"/>
          <w:szCs w:val="22"/>
          <w:lang w:val="en-GB"/>
        </w:rPr>
        <w:t xml:space="preserve">Auer, E.M. </w:t>
      </w:r>
      <w:r w:rsidRPr="4AF775A2" w:rsidR="60477B2B">
        <w:rPr>
          <w:rFonts w:ascii="Arial" w:hAnsi="Arial" w:eastAsia="Arial" w:cs="Arial"/>
          <w:i w:val="1"/>
          <w:iCs w:val="1"/>
          <w:noProof w:val="0"/>
          <w:sz w:val="22"/>
          <w:szCs w:val="22"/>
          <w:lang w:val="en-GB"/>
        </w:rPr>
        <w:t>et al.</w:t>
      </w:r>
      <w:r w:rsidRPr="4AF775A2" w:rsidR="60477B2B">
        <w:rPr>
          <w:rFonts w:ascii="Arial" w:hAnsi="Arial" w:eastAsia="Arial" w:cs="Arial"/>
          <w:noProof w:val="0"/>
          <w:sz w:val="22"/>
          <w:szCs w:val="22"/>
          <w:lang w:val="en-GB"/>
        </w:rPr>
        <w:t xml:space="preserve"> (2021) “Pay for performance, satisfaction and retention in longitudinal crowdsourced research,” </w:t>
      </w:r>
      <w:r w:rsidRPr="4AF775A2" w:rsidR="60477B2B">
        <w:rPr>
          <w:rFonts w:ascii="Arial" w:hAnsi="Arial" w:eastAsia="Arial" w:cs="Arial"/>
          <w:i w:val="1"/>
          <w:iCs w:val="1"/>
          <w:noProof w:val="0"/>
          <w:sz w:val="22"/>
          <w:szCs w:val="22"/>
          <w:lang w:val="en-GB"/>
        </w:rPr>
        <w:t>PloS one</w:t>
      </w:r>
      <w:r w:rsidRPr="4AF775A2" w:rsidR="60477B2B">
        <w:rPr>
          <w:rFonts w:ascii="Arial" w:hAnsi="Arial" w:eastAsia="Arial" w:cs="Arial"/>
          <w:noProof w:val="0"/>
          <w:sz w:val="22"/>
          <w:szCs w:val="22"/>
          <w:lang w:val="en-GB"/>
        </w:rPr>
        <w:t xml:space="preserve">, 16(1), p. e0245460. Available at: </w:t>
      </w:r>
      <w:hyperlink r:id="R497f24b9c7ec4b30">
        <w:r w:rsidRPr="4AF775A2" w:rsidR="60477B2B">
          <w:rPr>
            <w:rStyle w:val="Hyperlink"/>
            <w:rFonts w:ascii="Arial" w:hAnsi="Arial" w:eastAsia="Arial" w:cs="Arial"/>
            <w:noProof w:val="0"/>
            <w:sz w:val="22"/>
            <w:szCs w:val="22"/>
            <w:lang w:val="en-GB"/>
          </w:rPr>
          <w:t>https://doi.org/10.1371/journal.pone.0245460</w:t>
        </w:r>
      </w:hyperlink>
      <w:r w:rsidRPr="4AF775A2" w:rsidR="60477B2B">
        <w:rPr>
          <w:rFonts w:ascii="Arial" w:hAnsi="Arial" w:eastAsia="Arial" w:cs="Arial"/>
          <w:noProof w:val="0"/>
          <w:sz w:val="22"/>
          <w:szCs w:val="22"/>
          <w:lang w:val="en-GB"/>
        </w:rPr>
        <w:t>.</w:t>
      </w:r>
    </w:p>
    <w:p w:rsidR="243BEF60" w:rsidP="4AF775A2" w:rsidRDefault="243BEF60" w14:paraId="41E08D37" w14:textId="1BCE582C">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43BEF60" w:rsidP="4AF775A2" w:rsidRDefault="243BEF60" w14:paraId="0EFE2319" w14:textId="29898A82">
      <w:pPr>
        <w:suppressLineNumbers w:val="0"/>
        <w:bidi w:val="0"/>
        <w:spacing w:before="0" w:beforeAutospacing="off" w:after="0" w:afterAutospacing="off" w:line="279" w:lineRule="auto"/>
        <w:ind/>
        <w:jc w:val="both"/>
        <w:rPr>
          <w:rFonts w:ascii="Arial" w:hAnsi="Arial" w:eastAsia="Arial" w:cs="Arial"/>
          <w:noProof w:val="0"/>
          <w:sz w:val="22"/>
          <w:szCs w:val="22"/>
          <w:lang w:val="en-GB"/>
        </w:rPr>
      </w:pPr>
      <w:r w:rsidRPr="4AF775A2" w:rsidR="60477B2B">
        <w:rPr>
          <w:rFonts w:ascii="Arial" w:hAnsi="Arial" w:eastAsia="Arial" w:cs="Arial"/>
          <w:noProof w:val="0"/>
          <w:sz w:val="22"/>
          <w:szCs w:val="22"/>
          <w:lang w:val="en-GB"/>
        </w:rPr>
        <w:t xml:space="preserve">Bandhu, D. </w:t>
      </w:r>
      <w:r w:rsidRPr="4AF775A2" w:rsidR="60477B2B">
        <w:rPr>
          <w:rFonts w:ascii="Arial" w:hAnsi="Arial" w:eastAsia="Arial" w:cs="Arial"/>
          <w:i w:val="1"/>
          <w:iCs w:val="1"/>
          <w:noProof w:val="0"/>
          <w:sz w:val="22"/>
          <w:szCs w:val="22"/>
          <w:lang w:val="en-GB"/>
        </w:rPr>
        <w:t>et al.</w:t>
      </w:r>
      <w:r w:rsidRPr="4AF775A2" w:rsidR="60477B2B">
        <w:rPr>
          <w:rFonts w:ascii="Arial" w:hAnsi="Arial" w:eastAsia="Arial" w:cs="Arial"/>
          <w:noProof w:val="0"/>
          <w:sz w:val="22"/>
          <w:szCs w:val="22"/>
          <w:lang w:val="en-GB"/>
        </w:rPr>
        <w:t xml:space="preserve"> (2024) “Theories of motivation: A comprehensive analysis of human behavior drivers,” </w:t>
      </w:r>
      <w:r w:rsidRPr="4AF775A2" w:rsidR="60477B2B">
        <w:rPr>
          <w:rFonts w:ascii="Arial" w:hAnsi="Arial" w:eastAsia="Arial" w:cs="Arial"/>
          <w:i w:val="1"/>
          <w:iCs w:val="1"/>
          <w:noProof w:val="0"/>
          <w:sz w:val="22"/>
          <w:szCs w:val="22"/>
          <w:lang w:val="en-GB"/>
        </w:rPr>
        <w:t>Acta psychologica</w:t>
      </w:r>
      <w:r w:rsidRPr="4AF775A2" w:rsidR="60477B2B">
        <w:rPr>
          <w:rFonts w:ascii="Arial" w:hAnsi="Arial" w:eastAsia="Arial" w:cs="Arial"/>
          <w:noProof w:val="0"/>
          <w:sz w:val="22"/>
          <w:szCs w:val="22"/>
          <w:lang w:val="en-GB"/>
        </w:rPr>
        <w:t xml:space="preserve">, 244. Available at: </w:t>
      </w:r>
      <w:hyperlink r:id="Raf98151380b74e2c">
        <w:r w:rsidRPr="4AF775A2" w:rsidR="60477B2B">
          <w:rPr>
            <w:rStyle w:val="Hyperlink"/>
            <w:rFonts w:ascii="Arial" w:hAnsi="Arial" w:eastAsia="Arial" w:cs="Arial"/>
            <w:noProof w:val="0"/>
            <w:sz w:val="22"/>
            <w:szCs w:val="22"/>
            <w:lang w:val="en-GB"/>
          </w:rPr>
          <w:t>https://doi.org/10.1016/j.actpsy.2024.104177</w:t>
        </w:r>
      </w:hyperlink>
      <w:r w:rsidRPr="4AF775A2" w:rsidR="60477B2B">
        <w:rPr>
          <w:rFonts w:ascii="Arial" w:hAnsi="Arial" w:eastAsia="Arial" w:cs="Arial"/>
          <w:noProof w:val="0"/>
          <w:sz w:val="22"/>
          <w:szCs w:val="22"/>
          <w:lang w:val="en-GB"/>
        </w:rPr>
        <w:t>.</w:t>
      </w:r>
    </w:p>
    <w:p w:rsidR="243BEF60" w:rsidP="4AF775A2" w:rsidRDefault="243BEF60" w14:paraId="54A7A4D6" w14:textId="1594B1C6">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43BEF60" w:rsidP="4AF775A2" w:rsidRDefault="243BEF60" w14:paraId="0C316B18" w14:textId="1C28BA7B">
      <w:pPr>
        <w:suppressLineNumbers w:val="0"/>
        <w:bidi w:val="0"/>
        <w:spacing w:before="0" w:beforeAutospacing="off" w:after="0" w:afterAutospacing="off" w:line="279" w:lineRule="auto"/>
        <w:ind/>
        <w:jc w:val="both"/>
        <w:rPr>
          <w:rFonts w:ascii="Arial" w:hAnsi="Arial" w:eastAsia="Arial" w:cs="Arial"/>
          <w:noProof w:val="0"/>
          <w:sz w:val="22"/>
          <w:szCs w:val="22"/>
          <w:lang w:val="en-GB"/>
        </w:rPr>
      </w:pPr>
      <w:r w:rsidRPr="4AF775A2" w:rsidR="60477B2B">
        <w:rPr>
          <w:rFonts w:ascii="Arial" w:hAnsi="Arial" w:eastAsia="Arial" w:cs="Arial"/>
          <w:noProof w:val="0"/>
          <w:sz w:val="22"/>
          <w:szCs w:val="22"/>
          <w:lang w:val="en-GB"/>
        </w:rPr>
        <w:t xml:space="preserve">Belderbos, R. </w:t>
      </w:r>
      <w:r w:rsidRPr="4AF775A2" w:rsidR="60477B2B">
        <w:rPr>
          <w:rFonts w:ascii="Arial" w:hAnsi="Arial" w:eastAsia="Arial" w:cs="Arial"/>
          <w:i w:val="1"/>
          <w:iCs w:val="1"/>
          <w:noProof w:val="0"/>
          <w:sz w:val="22"/>
          <w:szCs w:val="22"/>
          <w:lang w:val="en-GB"/>
        </w:rPr>
        <w:t>et al.</w:t>
      </w:r>
      <w:r w:rsidRPr="4AF775A2" w:rsidR="60477B2B">
        <w:rPr>
          <w:rFonts w:ascii="Arial" w:hAnsi="Arial" w:eastAsia="Arial" w:cs="Arial"/>
          <w:noProof w:val="0"/>
          <w:sz w:val="22"/>
          <w:szCs w:val="22"/>
          <w:lang w:val="en-GB"/>
        </w:rPr>
        <w:t xml:space="preserve"> (2025) “Multinational firms and the quest for global talent: Employing (skilled) foreign workers at home and abroad: Multinational firms and the quest for global talent,” </w:t>
      </w:r>
      <w:r w:rsidRPr="4AF775A2" w:rsidR="60477B2B">
        <w:rPr>
          <w:rFonts w:ascii="Arial" w:hAnsi="Arial" w:eastAsia="Arial" w:cs="Arial"/>
          <w:i w:val="1"/>
          <w:iCs w:val="1"/>
          <w:noProof w:val="0"/>
          <w:sz w:val="22"/>
          <w:szCs w:val="22"/>
          <w:lang w:val="en-GB"/>
        </w:rPr>
        <w:t>Journal of international business studies</w:t>
      </w:r>
      <w:r w:rsidRPr="4AF775A2" w:rsidR="60477B2B">
        <w:rPr>
          <w:rFonts w:ascii="Arial" w:hAnsi="Arial" w:eastAsia="Arial" w:cs="Arial"/>
          <w:noProof w:val="0"/>
          <w:sz w:val="22"/>
          <w:szCs w:val="22"/>
          <w:lang w:val="en-GB"/>
        </w:rPr>
        <w:t xml:space="preserve">, 56(2), pp. 151–173. Available at: </w:t>
      </w:r>
      <w:hyperlink r:id="R38b76bc81bc2438d">
        <w:r w:rsidRPr="4AF775A2" w:rsidR="60477B2B">
          <w:rPr>
            <w:rStyle w:val="Hyperlink"/>
            <w:rFonts w:ascii="Arial" w:hAnsi="Arial" w:eastAsia="Arial" w:cs="Arial"/>
            <w:noProof w:val="0"/>
            <w:sz w:val="22"/>
            <w:szCs w:val="22"/>
            <w:lang w:val="en-GB"/>
          </w:rPr>
          <w:t>https://doi.org/10.1057/s41267-023-00643-w</w:t>
        </w:r>
      </w:hyperlink>
      <w:r w:rsidRPr="4AF775A2" w:rsidR="60477B2B">
        <w:rPr>
          <w:rFonts w:ascii="Arial" w:hAnsi="Arial" w:eastAsia="Arial" w:cs="Arial"/>
          <w:noProof w:val="0"/>
          <w:sz w:val="22"/>
          <w:szCs w:val="22"/>
          <w:lang w:val="en-GB"/>
        </w:rPr>
        <w:t>.</w:t>
      </w:r>
    </w:p>
    <w:p w:rsidR="243BEF60" w:rsidP="4AF775A2" w:rsidRDefault="243BEF60" w14:paraId="29F10846" w14:textId="4725CE89">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43BEF60" w:rsidP="4AF775A2" w:rsidRDefault="243BEF60" w14:paraId="1B9FAC6E" w14:textId="6CFA2D51">
      <w:pPr>
        <w:suppressLineNumbers w:val="0"/>
        <w:bidi w:val="0"/>
        <w:spacing w:before="0" w:beforeAutospacing="off" w:after="0" w:afterAutospacing="off" w:line="279" w:lineRule="auto"/>
        <w:ind/>
        <w:jc w:val="both"/>
        <w:rPr>
          <w:rFonts w:ascii="Arial" w:hAnsi="Arial" w:eastAsia="Arial" w:cs="Arial"/>
          <w:noProof w:val="0"/>
          <w:sz w:val="22"/>
          <w:szCs w:val="22"/>
          <w:lang w:val="en-GB"/>
        </w:rPr>
      </w:pPr>
      <w:r w:rsidRPr="4AF775A2" w:rsidR="43245D51">
        <w:rPr>
          <w:rFonts w:ascii="Arial" w:hAnsi="Arial" w:eastAsia="Arial" w:cs="Arial"/>
          <w:noProof w:val="0"/>
          <w:sz w:val="22"/>
          <w:szCs w:val="22"/>
          <w:lang w:val="en-GB"/>
        </w:rPr>
        <w:t xml:space="preserve">Brune, L., Chyn, E. and Kerwin, J. (2020) “Peers and Motivation at Work: Evidence from a Firm Experiment in Malawi,” </w:t>
      </w:r>
      <w:r w:rsidRPr="4AF775A2" w:rsidR="43245D51">
        <w:rPr>
          <w:rFonts w:ascii="Arial" w:hAnsi="Arial" w:eastAsia="Arial" w:cs="Arial"/>
          <w:i w:val="1"/>
          <w:iCs w:val="1"/>
          <w:noProof w:val="0"/>
          <w:sz w:val="22"/>
          <w:szCs w:val="22"/>
          <w:lang w:val="en-GB"/>
        </w:rPr>
        <w:t>The Journal of human resources</w:t>
      </w:r>
      <w:r w:rsidRPr="4AF775A2" w:rsidR="43245D51">
        <w:rPr>
          <w:rFonts w:ascii="Arial" w:hAnsi="Arial" w:eastAsia="Arial" w:cs="Arial"/>
          <w:noProof w:val="0"/>
          <w:sz w:val="22"/>
          <w:szCs w:val="22"/>
          <w:lang w:val="en-GB"/>
        </w:rPr>
        <w:t xml:space="preserve">, p. 919. Available at: </w:t>
      </w:r>
      <w:hyperlink r:id="R4f545a6a4597421d">
        <w:r w:rsidRPr="4AF775A2" w:rsidR="43245D51">
          <w:rPr>
            <w:rStyle w:val="Hyperlink"/>
            <w:rFonts w:ascii="Arial" w:hAnsi="Arial" w:eastAsia="Arial" w:cs="Arial"/>
            <w:noProof w:val="0"/>
            <w:sz w:val="22"/>
            <w:szCs w:val="22"/>
            <w:lang w:val="en-GB"/>
          </w:rPr>
          <w:t>https://doi.org/10.3368/jhr.57.4.0919-10416R2</w:t>
        </w:r>
      </w:hyperlink>
      <w:r w:rsidRPr="4AF775A2" w:rsidR="43245D51">
        <w:rPr>
          <w:rFonts w:ascii="Arial" w:hAnsi="Arial" w:eastAsia="Arial" w:cs="Arial"/>
          <w:noProof w:val="0"/>
          <w:sz w:val="22"/>
          <w:szCs w:val="22"/>
          <w:lang w:val="en-GB"/>
        </w:rPr>
        <w:t>.</w:t>
      </w:r>
    </w:p>
    <w:p w:rsidR="243BEF60" w:rsidP="4AF775A2" w:rsidRDefault="243BEF60" w14:paraId="692F8490" w14:textId="538E573D">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7581F9C" w:rsidP="4AF775A2" w:rsidRDefault="27581F9C" w14:paraId="6DFE493F" w14:textId="0CBD32BC">
      <w:pPr>
        <w:bidi w:val="0"/>
        <w:spacing w:before="0" w:beforeAutospacing="off" w:after="0" w:afterAutospacing="off"/>
        <w:jc w:val="both"/>
        <w:rPr>
          <w:rFonts w:ascii="Arial" w:hAnsi="Arial" w:eastAsia="Arial" w:cs="Arial"/>
          <w:noProof w:val="0"/>
          <w:sz w:val="22"/>
          <w:szCs w:val="22"/>
          <w:lang w:val="en-GB"/>
        </w:rPr>
      </w:pPr>
      <w:r w:rsidRPr="4AF775A2" w:rsidR="27581F9C">
        <w:rPr>
          <w:rFonts w:ascii="Arial" w:hAnsi="Arial" w:eastAsia="Arial" w:cs="Arial"/>
          <w:noProof w:val="0"/>
          <w:sz w:val="22"/>
          <w:szCs w:val="22"/>
          <w:lang w:val="en-GB"/>
        </w:rPr>
        <w:t xml:space="preserve">Caraway, C. (2020) “A Looming Pilot Shortage: It is Time to Revisit Regulations,” </w:t>
      </w:r>
      <w:r w:rsidRPr="4AF775A2" w:rsidR="27581F9C">
        <w:rPr>
          <w:rFonts w:ascii="Arial" w:hAnsi="Arial" w:eastAsia="Arial" w:cs="Arial"/>
          <w:i w:val="1"/>
          <w:iCs w:val="1"/>
          <w:noProof w:val="0"/>
          <w:sz w:val="22"/>
          <w:szCs w:val="22"/>
          <w:lang w:val="en-GB"/>
        </w:rPr>
        <w:t>International journal of aviation, aeronautics, and aerospace</w:t>
      </w:r>
      <w:r w:rsidRPr="4AF775A2" w:rsidR="27581F9C">
        <w:rPr>
          <w:rFonts w:ascii="Arial" w:hAnsi="Arial" w:eastAsia="Arial" w:cs="Arial"/>
          <w:noProof w:val="0"/>
          <w:sz w:val="22"/>
          <w:szCs w:val="22"/>
          <w:lang w:val="en-GB"/>
        </w:rPr>
        <w:t xml:space="preserve">, 7(2), p. 3. Available at: </w:t>
      </w:r>
      <w:hyperlink r:id="R3437f627d4bd4053">
        <w:r w:rsidRPr="4AF775A2" w:rsidR="27581F9C">
          <w:rPr>
            <w:rStyle w:val="Hyperlink"/>
            <w:rFonts w:ascii="Arial" w:hAnsi="Arial" w:eastAsia="Arial" w:cs="Arial"/>
            <w:noProof w:val="0"/>
            <w:sz w:val="22"/>
            <w:szCs w:val="22"/>
            <w:lang w:val="en-GB"/>
          </w:rPr>
          <w:t>https://doi.org/10.15394/ijaaa.2020.1470</w:t>
        </w:r>
      </w:hyperlink>
      <w:r w:rsidRPr="4AF775A2" w:rsidR="27581F9C">
        <w:rPr>
          <w:rFonts w:ascii="Arial" w:hAnsi="Arial" w:eastAsia="Arial" w:cs="Arial"/>
          <w:noProof w:val="0"/>
          <w:sz w:val="22"/>
          <w:szCs w:val="22"/>
          <w:lang w:val="en-GB"/>
        </w:rPr>
        <w:t>.</w:t>
      </w:r>
    </w:p>
    <w:p w:rsidR="4AF775A2" w:rsidP="4AF775A2" w:rsidRDefault="4AF775A2" w14:paraId="5CCB195C" w14:textId="3D0395C6">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67182F88" w:rsidP="4AF775A2" w:rsidRDefault="67182F88" w14:paraId="6A5B3EB2" w14:textId="08CD3DFE">
      <w:pPr>
        <w:pStyle w:val="Normal"/>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F775A2" w:rsidR="60D47C1E">
        <w:rPr>
          <w:rFonts w:ascii="Arial" w:hAnsi="Arial" w:eastAsia="Arial" w:cs="Arial"/>
          <w:noProof w:val="0"/>
          <w:sz w:val="22"/>
          <w:szCs w:val="22"/>
          <w:lang w:val="en-GB"/>
        </w:rPr>
        <w:t xml:space="preserve">Carlson Dean, C. (1997) “The Principles of Scientific Management by Frederick W. Taylor: the private printing,” </w:t>
      </w:r>
      <w:r w:rsidRPr="4AF775A2" w:rsidR="60D47C1E">
        <w:rPr>
          <w:rFonts w:ascii="Arial" w:hAnsi="Arial" w:eastAsia="Arial" w:cs="Arial"/>
          <w:i w:val="1"/>
          <w:iCs w:val="1"/>
          <w:noProof w:val="0"/>
          <w:sz w:val="22"/>
          <w:szCs w:val="22"/>
          <w:lang w:val="en-GB"/>
        </w:rPr>
        <w:t>Journal of management history</w:t>
      </w:r>
      <w:r w:rsidRPr="4AF775A2" w:rsidR="60D47C1E">
        <w:rPr>
          <w:rFonts w:ascii="Arial" w:hAnsi="Arial" w:eastAsia="Arial" w:cs="Arial"/>
          <w:noProof w:val="0"/>
          <w:sz w:val="22"/>
          <w:szCs w:val="22"/>
          <w:lang w:val="en-GB"/>
        </w:rPr>
        <w:t xml:space="preserve">, 3(1), pp. 18–30. Available at: </w:t>
      </w:r>
      <w:hyperlink r:id="R4977107691b54dec">
        <w:r w:rsidRPr="4AF775A2" w:rsidR="60D47C1E">
          <w:rPr>
            <w:rStyle w:val="Hyperlink"/>
            <w:rFonts w:ascii="Arial" w:hAnsi="Arial" w:eastAsia="Arial" w:cs="Arial"/>
            <w:noProof w:val="0"/>
            <w:sz w:val="22"/>
            <w:szCs w:val="22"/>
            <w:lang w:val="en-GB"/>
          </w:rPr>
          <w:t>https://doi.org/10.1108/13552529710168843</w:t>
        </w:r>
      </w:hyperlink>
      <w:r w:rsidRPr="4AF775A2" w:rsidR="60D47C1E">
        <w:rPr>
          <w:rFonts w:ascii="Arial" w:hAnsi="Arial" w:eastAsia="Arial" w:cs="Arial"/>
          <w:noProof w:val="0"/>
          <w:sz w:val="22"/>
          <w:szCs w:val="22"/>
          <w:lang w:val="en-GB"/>
        </w:rPr>
        <w:t>.</w:t>
      </w:r>
    </w:p>
    <w:p w:rsidR="243BEF60" w:rsidP="4AF775A2" w:rsidRDefault="243BEF60" w14:paraId="5C348C46" w14:textId="53B90170">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25369EB6" w14:textId="6088DAA5">
      <w:pPr>
        <w:bidi w:val="0"/>
        <w:spacing w:before="0" w:beforeAutospacing="off" w:after="0" w:afterAutospacing="off"/>
        <w:jc w:val="both"/>
        <w:rPr>
          <w:rFonts w:ascii="Arial" w:hAnsi="Arial" w:eastAsia="Arial" w:cs="Arial"/>
          <w:noProof w:val="0"/>
          <w:sz w:val="22"/>
          <w:szCs w:val="22"/>
          <w:lang w:val="en-GB"/>
        </w:rPr>
      </w:pPr>
      <w:r w:rsidRPr="4AF775A2" w:rsidR="79FDFB0F">
        <w:rPr>
          <w:rFonts w:ascii="Arial" w:hAnsi="Arial" w:eastAsia="Arial" w:cs="Arial"/>
          <w:noProof w:val="0"/>
          <w:sz w:val="22"/>
          <w:szCs w:val="22"/>
          <w:lang w:val="en-GB"/>
        </w:rPr>
        <w:t xml:space="preserve">Chernyak-Hai, L. and </w:t>
      </w:r>
      <w:r w:rsidRPr="4AF775A2" w:rsidR="79FDFB0F">
        <w:rPr>
          <w:rFonts w:ascii="Arial" w:hAnsi="Arial" w:eastAsia="Arial" w:cs="Arial"/>
          <w:noProof w:val="0"/>
          <w:sz w:val="22"/>
          <w:szCs w:val="22"/>
          <w:lang w:val="en-GB"/>
        </w:rPr>
        <w:t>Rabenu</w:t>
      </w:r>
      <w:r w:rsidRPr="4AF775A2" w:rsidR="79FDFB0F">
        <w:rPr>
          <w:rFonts w:ascii="Arial" w:hAnsi="Arial" w:eastAsia="Arial" w:cs="Arial"/>
          <w:noProof w:val="0"/>
          <w:sz w:val="22"/>
          <w:szCs w:val="22"/>
          <w:lang w:val="en-GB"/>
        </w:rPr>
        <w:t xml:space="preserve">, E. (2018) “The New Era Workplace Relationships: Is Social Exchange Theory Still </w:t>
      </w:r>
      <w:r w:rsidRPr="4AF775A2" w:rsidR="79FDFB0F">
        <w:rPr>
          <w:rFonts w:ascii="Arial" w:hAnsi="Arial" w:eastAsia="Arial" w:cs="Arial"/>
          <w:noProof w:val="0"/>
          <w:sz w:val="22"/>
          <w:szCs w:val="22"/>
          <w:lang w:val="en-GB"/>
        </w:rPr>
        <w:t>Relevant?,</w:t>
      </w:r>
      <w:r w:rsidRPr="4AF775A2" w:rsidR="79FDFB0F">
        <w:rPr>
          <w:rFonts w:ascii="Arial" w:hAnsi="Arial" w:eastAsia="Arial" w:cs="Arial"/>
          <w:noProof w:val="0"/>
          <w:sz w:val="22"/>
          <w:szCs w:val="22"/>
          <w:lang w:val="en-GB"/>
        </w:rPr>
        <w:t xml:space="preserve">” </w:t>
      </w:r>
      <w:r w:rsidRPr="4AF775A2" w:rsidR="79FDFB0F">
        <w:rPr>
          <w:rFonts w:ascii="Arial" w:hAnsi="Arial" w:eastAsia="Arial" w:cs="Arial"/>
          <w:i w:val="1"/>
          <w:iCs w:val="1"/>
          <w:noProof w:val="0"/>
          <w:sz w:val="22"/>
          <w:szCs w:val="22"/>
          <w:lang w:val="en-GB"/>
        </w:rPr>
        <w:t xml:space="preserve">Industrial and </w:t>
      </w:r>
      <w:r w:rsidRPr="4AF775A2" w:rsidR="4E716085">
        <w:rPr>
          <w:rFonts w:ascii="Arial" w:hAnsi="Arial" w:eastAsia="Arial" w:cs="Arial"/>
          <w:i w:val="1"/>
          <w:iCs w:val="1"/>
          <w:noProof w:val="0"/>
          <w:sz w:val="22"/>
          <w:szCs w:val="22"/>
          <w:lang w:val="en-GB"/>
        </w:rPr>
        <w:t>organisation</w:t>
      </w:r>
      <w:r w:rsidRPr="4AF775A2" w:rsidR="79FDFB0F">
        <w:rPr>
          <w:rFonts w:ascii="Arial" w:hAnsi="Arial" w:eastAsia="Arial" w:cs="Arial"/>
          <w:i w:val="1"/>
          <w:iCs w:val="1"/>
          <w:noProof w:val="0"/>
          <w:sz w:val="22"/>
          <w:szCs w:val="22"/>
          <w:lang w:val="en-GB"/>
        </w:rPr>
        <w:t>al psychology</w:t>
      </w:r>
      <w:r w:rsidRPr="4AF775A2" w:rsidR="79FDFB0F">
        <w:rPr>
          <w:rFonts w:ascii="Arial" w:hAnsi="Arial" w:eastAsia="Arial" w:cs="Arial"/>
          <w:noProof w:val="0"/>
          <w:sz w:val="22"/>
          <w:szCs w:val="22"/>
          <w:lang w:val="en-GB"/>
        </w:rPr>
        <w:t xml:space="preserve">, 11(3), pp. 456–481. Available at: </w:t>
      </w:r>
      <w:hyperlink r:id="Rba577b8c739440f7">
        <w:r w:rsidRPr="4AF775A2" w:rsidR="79FDFB0F">
          <w:rPr>
            <w:rStyle w:val="Hyperlink"/>
            <w:rFonts w:ascii="Arial" w:hAnsi="Arial" w:eastAsia="Arial" w:cs="Arial"/>
            <w:noProof w:val="0"/>
            <w:sz w:val="22"/>
            <w:szCs w:val="22"/>
            <w:lang w:val="en-GB"/>
          </w:rPr>
          <w:t>https://doi.org/10.1017/iop.2018.5</w:t>
        </w:r>
      </w:hyperlink>
      <w:r w:rsidRPr="4AF775A2" w:rsidR="79FDFB0F">
        <w:rPr>
          <w:rFonts w:ascii="Arial" w:hAnsi="Arial" w:eastAsia="Arial" w:cs="Arial"/>
          <w:noProof w:val="0"/>
          <w:sz w:val="22"/>
          <w:szCs w:val="22"/>
          <w:lang w:val="en-GB"/>
        </w:rPr>
        <w:t>.</w:t>
      </w:r>
    </w:p>
    <w:p w:rsidR="243BEF60" w:rsidP="4AF775A2" w:rsidRDefault="243BEF60" w14:paraId="03A7DB3B" w14:textId="1E1F6F61">
      <w:pPr>
        <w:bidi w:val="0"/>
        <w:spacing w:before="0" w:beforeAutospacing="off" w:after="0" w:afterAutospacing="off"/>
        <w:jc w:val="both"/>
        <w:rPr>
          <w:rFonts w:ascii="Arial" w:hAnsi="Arial" w:eastAsia="Arial" w:cs="Arial"/>
          <w:noProof w:val="0"/>
          <w:sz w:val="22"/>
          <w:szCs w:val="22"/>
          <w:lang w:val="en-GB"/>
        </w:rPr>
      </w:pPr>
    </w:p>
    <w:p w:rsidR="243BEF60" w:rsidP="4AF775A2" w:rsidRDefault="243BEF60" w14:paraId="744AEC22" w14:textId="0D76249E">
      <w:pPr>
        <w:bidi w:val="0"/>
        <w:spacing w:before="0" w:beforeAutospacing="off" w:after="0" w:afterAutospacing="off"/>
        <w:jc w:val="both"/>
        <w:rPr>
          <w:rFonts w:ascii="Arial" w:hAnsi="Arial" w:eastAsia="Arial" w:cs="Arial"/>
          <w:noProof w:val="0"/>
          <w:sz w:val="22"/>
          <w:szCs w:val="22"/>
          <w:lang w:val="en-GB"/>
        </w:rPr>
      </w:pPr>
      <w:r w:rsidRPr="4AF775A2" w:rsidR="79FDFB0F">
        <w:rPr>
          <w:rFonts w:ascii="Arial" w:hAnsi="Arial" w:eastAsia="Arial" w:cs="Arial"/>
          <w:noProof w:val="0"/>
          <w:sz w:val="22"/>
          <w:szCs w:val="22"/>
          <w:lang w:val="en-GB"/>
        </w:rPr>
        <w:t xml:space="preserve">Clark, A.F. (2016) “Toward an Entrepreneurial Public Sector: Using Social Exchange Theory to Predict Public Employee Risk Perceptions,” </w:t>
      </w:r>
      <w:r w:rsidRPr="4AF775A2" w:rsidR="79FDFB0F">
        <w:rPr>
          <w:rFonts w:ascii="Arial" w:hAnsi="Arial" w:eastAsia="Arial" w:cs="Arial"/>
          <w:i w:val="1"/>
          <w:iCs w:val="1"/>
          <w:noProof w:val="0"/>
          <w:sz w:val="22"/>
          <w:szCs w:val="22"/>
          <w:lang w:val="en-GB"/>
        </w:rPr>
        <w:t>Public personnel management</w:t>
      </w:r>
      <w:r w:rsidRPr="4AF775A2" w:rsidR="79FDFB0F">
        <w:rPr>
          <w:rFonts w:ascii="Arial" w:hAnsi="Arial" w:eastAsia="Arial" w:cs="Arial"/>
          <w:noProof w:val="0"/>
          <w:sz w:val="22"/>
          <w:szCs w:val="22"/>
          <w:lang w:val="en-GB"/>
        </w:rPr>
        <w:t xml:space="preserve">, 45(4), pp. 335–359. Available at: </w:t>
      </w:r>
      <w:hyperlink r:id="R8f86a5bb80354807">
        <w:r w:rsidRPr="4AF775A2" w:rsidR="79FDFB0F">
          <w:rPr>
            <w:rStyle w:val="Hyperlink"/>
            <w:rFonts w:ascii="Arial" w:hAnsi="Arial" w:eastAsia="Arial" w:cs="Arial"/>
            <w:noProof w:val="0"/>
            <w:sz w:val="22"/>
            <w:szCs w:val="22"/>
            <w:lang w:val="en-GB"/>
          </w:rPr>
          <w:t>https://doi.org/10.1177/0091026016669169</w:t>
        </w:r>
      </w:hyperlink>
      <w:r w:rsidRPr="4AF775A2" w:rsidR="79FDFB0F">
        <w:rPr>
          <w:rFonts w:ascii="Arial" w:hAnsi="Arial" w:eastAsia="Arial" w:cs="Arial"/>
          <w:noProof w:val="0"/>
          <w:sz w:val="22"/>
          <w:szCs w:val="22"/>
          <w:lang w:val="en-GB"/>
        </w:rPr>
        <w:t>.</w:t>
      </w:r>
    </w:p>
    <w:p w:rsidR="243BEF60" w:rsidP="4AF775A2" w:rsidRDefault="243BEF60" w14:paraId="234AA3B3" w14:textId="752DB55D">
      <w:pPr>
        <w:bidi w:val="0"/>
        <w:spacing w:before="0" w:beforeAutospacing="off" w:after="0" w:afterAutospacing="off"/>
        <w:jc w:val="both"/>
        <w:rPr>
          <w:rFonts w:ascii="Arial" w:hAnsi="Arial" w:eastAsia="Arial" w:cs="Arial"/>
          <w:noProof w:val="0"/>
          <w:sz w:val="22"/>
          <w:szCs w:val="22"/>
          <w:lang w:val="en-GB"/>
        </w:rPr>
      </w:pPr>
    </w:p>
    <w:p w:rsidR="243BEF60" w:rsidP="4AF775A2" w:rsidRDefault="243BEF60" w14:paraId="4AA0C0AC" w14:textId="2CBCAAE2">
      <w:pPr>
        <w:bidi w:val="0"/>
        <w:spacing w:before="0" w:beforeAutospacing="off" w:after="0" w:afterAutospacing="off"/>
        <w:jc w:val="both"/>
        <w:rPr>
          <w:rFonts w:ascii="Arial" w:hAnsi="Arial" w:eastAsia="Arial" w:cs="Arial"/>
          <w:noProof w:val="0"/>
          <w:sz w:val="22"/>
          <w:szCs w:val="22"/>
          <w:lang w:val="en-GB"/>
        </w:rPr>
      </w:pPr>
      <w:r w:rsidRPr="4AF775A2" w:rsidR="79FDFB0F">
        <w:rPr>
          <w:rFonts w:ascii="Arial" w:hAnsi="Arial" w:eastAsia="Arial" w:cs="Arial"/>
          <w:noProof w:val="0"/>
          <w:sz w:val="22"/>
          <w:szCs w:val="22"/>
          <w:lang w:val="en-GB"/>
        </w:rPr>
        <w:t xml:space="preserve">Cragun, O.R., Xiu, L. and Kautz, J. (2025) “Getting educated on strategic pay education,” </w:t>
      </w:r>
      <w:r w:rsidRPr="4AF775A2" w:rsidR="4E716085">
        <w:rPr>
          <w:rFonts w:ascii="Arial" w:hAnsi="Arial" w:eastAsia="Arial" w:cs="Arial"/>
          <w:i w:val="1"/>
          <w:iCs w:val="1"/>
          <w:noProof w:val="0"/>
          <w:sz w:val="22"/>
          <w:szCs w:val="22"/>
          <w:lang w:val="en-GB"/>
        </w:rPr>
        <w:t>Organisation</w:t>
      </w:r>
      <w:r w:rsidRPr="4AF775A2" w:rsidR="79FDFB0F">
        <w:rPr>
          <w:rFonts w:ascii="Arial" w:hAnsi="Arial" w:eastAsia="Arial" w:cs="Arial"/>
          <w:i w:val="1"/>
          <w:iCs w:val="1"/>
          <w:noProof w:val="0"/>
          <w:sz w:val="22"/>
          <w:szCs w:val="22"/>
          <w:lang w:val="en-GB"/>
        </w:rPr>
        <w:t>al dynamics</w:t>
      </w:r>
      <w:r w:rsidRPr="4AF775A2" w:rsidR="79FDFB0F">
        <w:rPr>
          <w:rFonts w:ascii="Arial" w:hAnsi="Arial" w:eastAsia="Arial" w:cs="Arial"/>
          <w:noProof w:val="0"/>
          <w:sz w:val="22"/>
          <w:szCs w:val="22"/>
          <w:lang w:val="en-GB"/>
        </w:rPr>
        <w:t xml:space="preserve">, 54(4). Available at: </w:t>
      </w:r>
      <w:hyperlink r:id="R95b119fbfb7f454b">
        <w:r w:rsidRPr="4AF775A2" w:rsidR="79FDFB0F">
          <w:rPr>
            <w:rStyle w:val="Hyperlink"/>
            <w:rFonts w:ascii="Arial" w:hAnsi="Arial" w:eastAsia="Arial" w:cs="Arial"/>
            <w:noProof w:val="0"/>
            <w:sz w:val="22"/>
            <w:szCs w:val="22"/>
            <w:lang w:val="en-GB"/>
          </w:rPr>
          <w:t>https://doi.org/10.1016/j.orgdyn.2025.101177</w:t>
        </w:r>
      </w:hyperlink>
      <w:r w:rsidRPr="4AF775A2" w:rsidR="79FDFB0F">
        <w:rPr>
          <w:rFonts w:ascii="Arial" w:hAnsi="Arial" w:eastAsia="Arial" w:cs="Arial"/>
          <w:noProof w:val="0"/>
          <w:sz w:val="22"/>
          <w:szCs w:val="22"/>
          <w:lang w:val="en-GB"/>
        </w:rPr>
        <w:t>.</w:t>
      </w:r>
    </w:p>
    <w:p w:rsidR="243BEF60" w:rsidP="4AF775A2" w:rsidRDefault="243BEF60" w14:paraId="0D11B581" w14:textId="4278369F">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7714EBCD" w14:textId="7144F41F">
      <w:pPr>
        <w:bidi w:val="0"/>
        <w:spacing w:before="0" w:beforeAutospacing="off" w:after="0" w:afterAutospacing="off"/>
        <w:jc w:val="both"/>
        <w:rPr>
          <w:rFonts w:ascii="Arial" w:hAnsi="Arial" w:eastAsia="Arial" w:cs="Arial"/>
          <w:noProof w:val="0"/>
          <w:sz w:val="22"/>
          <w:szCs w:val="22"/>
          <w:lang w:val="en-GB"/>
        </w:rPr>
      </w:pPr>
      <w:r w:rsidRPr="4AF775A2" w:rsidR="024B0421">
        <w:rPr>
          <w:rFonts w:ascii="Arial" w:hAnsi="Arial" w:eastAsia="Arial" w:cs="Arial"/>
          <w:noProof w:val="0"/>
          <w:sz w:val="22"/>
          <w:szCs w:val="22"/>
          <w:lang w:val="en-GB"/>
        </w:rPr>
        <w:t xml:space="preserve">DEALY, M.F. and BASS, M. (1995) “Professional Development FACTORS THAT MOTIVATE STAFF,” </w:t>
      </w:r>
      <w:r w:rsidRPr="4AF775A2" w:rsidR="024B0421">
        <w:rPr>
          <w:rFonts w:ascii="Arial" w:hAnsi="Arial" w:eastAsia="Arial" w:cs="Arial"/>
          <w:i w:val="1"/>
          <w:iCs w:val="1"/>
          <w:noProof w:val="0"/>
          <w:sz w:val="22"/>
          <w:szCs w:val="22"/>
          <w:lang w:val="en-GB"/>
        </w:rPr>
        <w:t>Nursing management</w:t>
      </w:r>
      <w:r w:rsidRPr="4AF775A2" w:rsidR="024B0421">
        <w:rPr>
          <w:rFonts w:ascii="Arial" w:hAnsi="Arial" w:eastAsia="Arial" w:cs="Arial"/>
          <w:noProof w:val="0"/>
          <w:sz w:val="22"/>
          <w:szCs w:val="22"/>
          <w:lang w:val="en-GB"/>
        </w:rPr>
        <w:t xml:space="preserve">, 26(8), pp. 32J-32J. Available at: </w:t>
      </w:r>
      <w:hyperlink r:id="Rafb220c6c56b4aa9">
        <w:r w:rsidRPr="4AF775A2" w:rsidR="024B0421">
          <w:rPr>
            <w:rStyle w:val="Hyperlink"/>
            <w:rFonts w:ascii="Arial" w:hAnsi="Arial" w:eastAsia="Arial" w:cs="Arial"/>
            <w:noProof w:val="0"/>
            <w:sz w:val="22"/>
            <w:szCs w:val="22"/>
            <w:lang w:val="en-GB"/>
          </w:rPr>
          <w:t>https://doi.org/10.1097/00006247-199508000-00011</w:t>
        </w:r>
      </w:hyperlink>
      <w:r w:rsidRPr="4AF775A2" w:rsidR="024B0421">
        <w:rPr>
          <w:rFonts w:ascii="Arial" w:hAnsi="Arial" w:eastAsia="Arial" w:cs="Arial"/>
          <w:noProof w:val="0"/>
          <w:sz w:val="22"/>
          <w:szCs w:val="22"/>
          <w:lang w:val="en-GB"/>
        </w:rPr>
        <w:t>.</w:t>
      </w:r>
    </w:p>
    <w:p w:rsidR="243BEF60" w:rsidP="4AF775A2" w:rsidRDefault="243BEF60" w14:paraId="5E77C083" w14:textId="056C7A84">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039ECC48" w14:textId="627F123E">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r w:rsidRPr="4AF775A2" w:rsidR="41EE90C9">
        <w:rPr>
          <w:rFonts w:ascii="Arial" w:hAnsi="Arial" w:eastAsia="Arial" w:cs="Arial"/>
          <w:noProof w:val="0"/>
          <w:sz w:val="22"/>
          <w:szCs w:val="22"/>
          <w:lang w:val="en-GB"/>
        </w:rPr>
        <w:t xml:space="preserve">Dinçer, F.C.Y. and </w:t>
      </w:r>
      <w:r w:rsidRPr="4AF775A2" w:rsidR="41EE90C9">
        <w:rPr>
          <w:rFonts w:ascii="Arial" w:hAnsi="Arial" w:eastAsia="Arial" w:cs="Arial"/>
          <w:noProof w:val="0"/>
          <w:sz w:val="22"/>
          <w:szCs w:val="22"/>
          <w:lang w:val="en-GB"/>
        </w:rPr>
        <w:t>Yirmibeşoğlu</w:t>
      </w:r>
      <w:r w:rsidRPr="4AF775A2" w:rsidR="41EE90C9">
        <w:rPr>
          <w:rFonts w:ascii="Arial" w:hAnsi="Arial" w:eastAsia="Arial" w:cs="Arial"/>
          <w:noProof w:val="0"/>
          <w:sz w:val="22"/>
          <w:szCs w:val="22"/>
          <w:lang w:val="en-GB"/>
        </w:rPr>
        <w:t>, G., (2024) Constraints on women pilots in airline industry: A rising sector of international trade. Journal of Air Transport Management, 115, p.102538.</w:t>
      </w:r>
    </w:p>
    <w:p w:rsidR="243BEF60" w:rsidP="4AF775A2" w:rsidRDefault="243BEF60" w14:paraId="247DFFB2" w14:textId="0DAEF859">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3596EA8D" w14:textId="3A0D0AB5">
      <w:pPr>
        <w:bidi w:val="0"/>
        <w:spacing w:before="0" w:beforeAutospacing="off" w:after="0" w:afterAutospacing="off"/>
        <w:jc w:val="both"/>
        <w:rPr>
          <w:rFonts w:ascii="Arial" w:hAnsi="Arial" w:eastAsia="Arial" w:cs="Arial"/>
          <w:noProof w:val="0"/>
          <w:sz w:val="22"/>
          <w:szCs w:val="22"/>
          <w:lang w:val="en-GB"/>
        </w:rPr>
      </w:pPr>
      <w:r w:rsidRPr="4AF775A2" w:rsidR="024B0421">
        <w:rPr>
          <w:rFonts w:ascii="Arial" w:hAnsi="Arial" w:eastAsia="Arial" w:cs="Arial"/>
          <w:noProof w:val="0"/>
          <w:sz w:val="22"/>
          <w:szCs w:val="22"/>
          <w:lang w:val="en-GB"/>
        </w:rPr>
        <w:t xml:space="preserve">Douglas, S. and Pittenger, L.M. (2020) “Adversity in Aviation: Understanding Resilience in the Workplace for Female Pilots,” </w:t>
      </w:r>
      <w:r w:rsidRPr="4AF775A2" w:rsidR="024B0421">
        <w:rPr>
          <w:rFonts w:ascii="Arial" w:hAnsi="Arial" w:eastAsia="Arial" w:cs="Arial"/>
          <w:i w:val="1"/>
          <w:iCs w:val="1"/>
          <w:noProof w:val="0"/>
          <w:sz w:val="22"/>
          <w:szCs w:val="22"/>
          <w:lang w:val="en-GB"/>
        </w:rPr>
        <w:t>International journal of aerospace psychology</w:t>
      </w:r>
      <w:r w:rsidRPr="4AF775A2" w:rsidR="024B0421">
        <w:rPr>
          <w:rFonts w:ascii="Arial" w:hAnsi="Arial" w:eastAsia="Arial" w:cs="Arial"/>
          <w:noProof w:val="0"/>
          <w:sz w:val="22"/>
          <w:szCs w:val="22"/>
          <w:lang w:val="en-GB"/>
        </w:rPr>
        <w:t xml:space="preserve">, 30(3–4), pp. 89–103. Available at: </w:t>
      </w:r>
      <w:hyperlink r:id="R41c591d355ce47d4">
        <w:r w:rsidRPr="4AF775A2" w:rsidR="024B0421">
          <w:rPr>
            <w:rStyle w:val="Hyperlink"/>
            <w:rFonts w:ascii="Arial" w:hAnsi="Arial" w:eastAsia="Arial" w:cs="Arial"/>
            <w:noProof w:val="0"/>
            <w:sz w:val="22"/>
            <w:szCs w:val="22"/>
            <w:lang w:val="en-GB"/>
          </w:rPr>
          <w:t>https://doi.org/10.1080/24721840.2020.1763175</w:t>
        </w:r>
      </w:hyperlink>
      <w:r w:rsidRPr="4AF775A2" w:rsidR="024B0421">
        <w:rPr>
          <w:rFonts w:ascii="Arial" w:hAnsi="Arial" w:eastAsia="Arial" w:cs="Arial"/>
          <w:noProof w:val="0"/>
          <w:sz w:val="22"/>
          <w:szCs w:val="22"/>
          <w:lang w:val="en-GB"/>
        </w:rPr>
        <w:t>.</w:t>
      </w:r>
    </w:p>
    <w:p w:rsidR="243BEF60" w:rsidP="4AF775A2" w:rsidRDefault="243BEF60" w14:paraId="135EAEC9" w14:textId="7A435E74">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211EAAC2" w14:textId="2720A14B">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r w:rsidRPr="4AF775A2" w:rsidR="024B0421">
        <w:rPr>
          <w:rFonts w:ascii="Arial" w:hAnsi="Arial" w:eastAsia="Arial" w:cs="Arial"/>
          <w:noProof w:val="0"/>
          <w:sz w:val="22"/>
          <w:szCs w:val="22"/>
          <w:lang w:val="en-GB"/>
        </w:rPr>
        <w:t>Dubey, D. and Rana, G. (2022) “Thrust Of Employee Engagement Factors For Job Satisfaction Among Employees Of Aviation Industry,” Webology, 19(2), pp. 1457–1467.</w:t>
      </w:r>
    </w:p>
    <w:p w:rsidR="243BEF60" w:rsidP="4AF775A2" w:rsidRDefault="243BEF60" w14:paraId="150597E3" w14:textId="0B8A5EDC">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09462D4D" w14:textId="21B22697">
      <w:pPr>
        <w:bidi w:val="0"/>
        <w:spacing w:before="0" w:beforeAutospacing="off" w:after="0" w:afterAutospacing="off"/>
        <w:jc w:val="both"/>
        <w:rPr>
          <w:rFonts w:ascii="Arial" w:hAnsi="Arial" w:eastAsia="Arial" w:cs="Arial"/>
          <w:noProof w:val="0"/>
          <w:sz w:val="22"/>
          <w:szCs w:val="22"/>
          <w:lang w:val="en-GB"/>
        </w:rPr>
      </w:pPr>
      <w:r w:rsidRPr="4AF775A2" w:rsidR="024B0421">
        <w:rPr>
          <w:rFonts w:ascii="Arial" w:hAnsi="Arial" w:eastAsia="Arial" w:cs="Arial"/>
          <w:noProof w:val="0"/>
          <w:sz w:val="22"/>
          <w:szCs w:val="22"/>
          <w:lang w:val="en-GB"/>
        </w:rPr>
        <w:t xml:space="preserve">Efthymiou, M. </w:t>
      </w:r>
      <w:r w:rsidRPr="4AF775A2" w:rsidR="024B0421">
        <w:rPr>
          <w:rFonts w:ascii="Arial" w:hAnsi="Arial" w:eastAsia="Arial" w:cs="Arial"/>
          <w:i w:val="1"/>
          <w:iCs w:val="1"/>
          <w:noProof w:val="0"/>
          <w:sz w:val="22"/>
          <w:szCs w:val="22"/>
          <w:lang w:val="en-GB"/>
        </w:rPr>
        <w:t>et al.</w:t>
      </w:r>
      <w:r w:rsidRPr="4AF775A2" w:rsidR="024B0421">
        <w:rPr>
          <w:rFonts w:ascii="Arial" w:hAnsi="Arial" w:eastAsia="Arial" w:cs="Arial"/>
          <w:noProof w:val="0"/>
          <w:sz w:val="22"/>
          <w:szCs w:val="22"/>
          <w:lang w:val="en-GB"/>
        </w:rPr>
        <w:t xml:space="preserve"> (2021) “The factors influencing entry level airline pilot retention: An empirical study of Ryanair,” </w:t>
      </w:r>
      <w:r w:rsidRPr="4AF775A2" w:rsidR="024B0421">
        <w:rPr>
          <w:rFonts w:ascii="Arial" w:hAnsi="Arial" w:eastAsia="Arial" w:cs="Arial"/>
          <w:i w:val="1"/>
          <w:iCs w:val="1"/>
          <w:noProof w:val="0"/>
          <w:sz w:val="22"/>
          <w:szCs w:val="22"/>
          <w:lang w:val="en-GB"/>
        </w:rPr>
        <w:t>Journal of air transport management</w:t>
      </w:r>
      <w:r w:rsidRPr="4AF775A2" w:rsidR="024B0421">
        <w:rPr>
          <w:rFonts w:ascii="Arial" w:hAnsi="Arial" w:eastAsia="Arial" w:cs="Arial"/>
          <w:noProof w:val="0"/>
          <w:sz w:val="22"/>
          <w:szCs w:val="22"/>
          <w:lang w:val="en-GB"/>
        </w:rPr>
        <w:t xml:space="preserve">, 91. Available at: </w:t>
      </w:r>
      <w:hyperlink r:id="R246804f6a7d14926">
        <w:r w:rsidRPr="4AF775A2" w:rsidR="024B0421">
          <w:rPr>
            <w:rStyle w:val="Hyperlink"/>
            <w:rFonts w:ascii="Arial" w:hAnsi="Arial" w:eastAsia="Arial" w:cs="Arial"/>
            <w:noProof w:val="0"/>
            <w:sz w:val="22"/>
            <w:szCs w:val="22"/>
            <w:lang w:val="en-GB"/>
          </w:rPr>
          <w:t>https://doi.org/10.1016/j.jairtraman.2020.101997</w:t>
        </w:r>
      </w:hyperlink>
      <w:r w:rsidRPr="4AF775A2" w:rsidR="024B0421">
        <w:rPr>
          <w:rFonts w:ascii="Arial" w:hAnsi="Arial" w:eastAsia="Arial" w:cs="Arial"/>
          <w:noProof w:val="0"/>
          <w:sz w:val="22"/>
          <w:szCs w:val="22"/>
          <w:lang w:val="en-GB"/>
        </w:rPr>
        <w:t>.</w:t>
      </w:r>
    </w:p>
    <w:p w:rsidR="243BEF60" w:rsidP="4AF775A2" w:rsidRDefault="243BEF60" w14:paraId="4AB6EC5E" w14:textId="29963EB8">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28C22F5E" w14:textId="1E2D046C">
      <w:pPr>
        <w:bidi w:val="0"/>
        <w:spacing w:before="0" w:beforeAutospacing="off" w:after="0" w:afterAutospacing="off"/>
        <w:jc w:val="both"/>
        <w:rPr>
          <w:rFonts w:ascii="Arial" w:hAnsi="Arial" w:eastAsia="Arial" w:cs="Arial"/>
          <w:noProof w:val="0"/>
          <w:sz w:val="22"/>
          <w:szCs w:val="22"/>
          <w:lang w:val="en-GB"/>
        </w:rPr>
      </w:pPr>
      <w:r w:rsidRPr="4AF775A2" w:rsidR="024B0421">
        <w:rPr>
          <w:rFonts w:ascii="Arial" w:hAnsi="Arial" w:eastAsia="Arial" w:cs="Arial"/>
          <w:noProof w:val="0"/>
          <w:sz w:val="22"/>
          <w:szCs w:val="22"/>
          <w:lang w:val="en-GB"/>
        </w:rPr>
        <w:t xml:space="preserve">Fatoki, O. (2023) “Participative Leadership and Employee Job Satisfaction: The Mediating Effects of Psychological Empowerment and Work Engagement,” </w:t>
      </w:r>
      <w:r w:rsidRPr="4AF775A2" w:rsidR="024B0421">
        <w:rPr>
          <w:rFonts w:ascii="Arial" w:hAnsi="Arial" w:eastAsia="Arial" w:cs="Arial"/>
          <w:i w:val="1"/>
          <w:iCs w:val="1"/>
          <w:noProof w:val="0"/>
          <w:sz w:val="22"/>
          <w:szCs w:val="22"/>
          <w:lang w:val="en-GB"/>
        </w:rPr>
        <w:t>Foundations of management</w:t>
      </w:r>
      <w:r w:rsidRPr="4AF775A2" w:rsidR="024B0421">
        <w:rPr>
          <w:rFonts w:ascii="Arial" w:hAnsi="Arial" w:eastAsia="Arial" w:cs="Arial"/>
          <w:noProof w:val="0"/>
          <w:sz w:val="22"/>
          <w:szCs w:val="22"/>
          <w:lang w:val="en-GB"/>
        </w:rPr>
        <w:t xml:space="preserve">, 15(1), pp. 161–176. Available at: </w:t>
      </w:r>
      <w:hyperlink r:id="R3effe7174b034152">
        <w:r w:rsidRPr="4AF775A2" w:rsidR="024B0421">
          <w:rPr>
            <w:rStyle w:val="Hyperlink"/>
            <w:rFonts w:ascii="Arial" w:hAnsi="Arial" w:eastAsia="Arial" w:cs="Arial"/>
            <w:noProof w:val="0"/>
            <w:sz w:val="22"/>
            <w:szCs w:val="22"/>
            <w:lang w:val="en-GB"/>
          </w:rPr>
          <w:t>https://doi.org/10.2478/fman-2023-0012</w:t>
        </w:r>
      </w:hyperlink>
      <w:r w:rsidRPr="4AF775A2" w:rsidR="024B0421">
        <w:rPr>
          <w:rFonts w:ascii="Arial" w:hAnsi="Arial" w:eastAsia="Arial" w:cs="Arial"/>
          <w:noProof w:val="0"/>
          <w:sz w:val="22"/>
          <w:szCs w:val="22"/>
          <w:lang w:val="en-GB"/>
        </w:rPr>
        <w:t>.</w:t>
      </w:r>
    </w:p>
    <w:p w:rsidR="243BEF60" w:rsidP="4AF775A2" w:rsidRDefault="243BEF60" w14:paraId="1F8C0838" w14:textId="5D5B2DF6">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4CE02606" w14:textId="14DCFDE0">
      <w:pPr>
        <w:bidi w:val="0"/>
        <w:spacing w:before="0" w:beforeAutospacing="off" w:after="0" w:afterAutospacing="off" w:line="360" w:lineRule="auto"/>
        <w:jc w:val="both"/>
        <w:rPr>
          <w:rFonts w:ascii="Arial" w:hAnsi="Arial" w:eastAsia="Arial" w:cs="Arial"/>
          <w:noProof w:val="0"/>
          <w:sz w:val="22"/>
          <w:szCs w:val="22"/>
          <w:lang w:val="en-GB"/>
        </w:rPr>
      </w:pPr>
      <w:r w:rsidRPr="4AF775A2" w:rsidR="2F3C6202">
        <w:rPr>
          <w:rFonts w:ascii="Arial" w:hAnsi="Arial" w:eastAsia="Arial" w:cs="Arial"/>
          <w:noProof w:val="0"/>
          <w:sz w:val="22"/>
          <w:szCs w:val="22"/>
          <w:lang w:val="en-GB"/>
        </w:rPr>
        <w:t xml:space="preserve">Fleischer, N.J. and Khalil, A. (2024) “Limitations and recommendations for use of secondary data analysis in pediatric research,” </w:t>
      </w:r>
      <w:r w:rsidRPr="4AF775A2" w:rsidR="2F3C6202">
        <w:rPr>
          <w:rFonts w:ascii="Arial" w:hAnsi="Arial" w:eastAsia="Arial" w:cs="Arial"/>
          <w:i w:val="1"/>
          <w:iCs w:val="1"/>
          <w:noProof w:val="0"/>
          <w:sz w:val="22"/>
          <w:szCs w:val="22"/>
          <w:lang w:val="en-GB"/>
        </w:rPr>
        <w:t>Children’s health care</w:t>
      </w:r>
      <w:r w:rsidRPr="4AF775A2" w:rsidR="2F3C6202">
        <w:rPr>
          <w:rFonts w:ascii="Arial" w:hAnsi="Arial" w:eastAsia="Arial" w:cs="Arial"/>
          <w:noProof w:val="0"/>
          <w:sz w:val="22"/>
          <w:szCs w:val="22"/>
          <w:lang w:val="en-GB"/>
        </w:rPr>
        <w:t xml:space="preserve">, 53(4), pp. 488–504. Available at: </w:t>
      </w:r>
      <w:hyperlink r:id="Rea60fa3dc31749a1">
        <w:r w:rsidRPr="4AF775A2" w:rsidR="2F3C6202">
          <w:rPr>
            <w:rStyle w:val="Hyperlink"/>
            <w:rFonts w:ascii="Arial" w:hAnsi="Arial" w:eastAsia="Arial" w:cs="Arial"/>
            <w:noProof w:val="0"/>
            <w:sz w:val="22"/>
            <w:szCs w:val="22"/>
            <w:lang w:val="en-GB"/>
          </w:rPr>
          <w:t>https://doi.org/10.1080/02739615.2023.2279064</w:t>
        </w:r>
      </w:hyperlink>
      <w:r w:rsidRPr="4AF775A2" w:rsidR="2F3C6202">
        <w:rPr>
          <w:rFonts w:ascii="Arial" w:hAnsi="Arial" w:eastAsia="Arial" w:cs="Arial"/>
          <w:noProof w:val="0"/>
          <w:sz w:val="22"/>
          <w:szCs w:val="22"/>
          <w:lang w:val="en-GB"/>
        </w:rPr>
        <w:t>.</w:t>
      </w:r>
    </w:p>
    <w:p w:rsidR="243BEF60" w:rsidP="4AF775A2" w:rsidRDefault="243BEF60" w14:paraId="565650E5" w14:textId="17297FCC">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0423019E" w14:textId="0DDB856C">
      <w:pPr>
        <w:bidi w:val="0"/>
        <w:spacing w:before="0" w:beforeAutospacing="off" w:after="0" w:afterAutospacing="off"/>
        <w:jc w:val="both"/>
        <w:rPr>
          <w:rFonts w:ascii="Arial" w:hAnsi="Arial" w:eastAsia="Arial" w:cs="Arial"/>
          <w:noProof w:val="0"/>
          <w:sz w:val="22"/>
          <w:szCs w:val="22"/>
          <w:lang w:val="en-GB"/>
        </w:rPr>
      </w:pPr>
      <w:r w:rsidRPr="4AF775A2" w:rsidR="538FB3FB">
        <w:rPr>
          <w:rFonts w:ascii="Arial" w:hAnsi="Arial" w:eastAsia="Arial" w:cs="Arial"/>
          <w:noProof w:val="0"/>
          <w:sz w:val="22"/>
          <w:szCs w:val="22"/>
          <w:lang w:val="en-GB"/>
        </w:rPr>
        <w:t xml:space="preserve">Gould-Williams, J. and Davies, F. (2005) “Using social exchange theory to predict the effects of hrm practice on employee outcomes: An analysis of public sector workers,” </w:t>
      </w:r>
      <w:r w:rsidRPr="4AF775A2" w:rsidR="538FB3FB">
        <w:rPr>
          <w:rFonts w:ascii="Arial" w:hAnsi="Arial" w:eastAsia="Arial" w:cs="Arial"/>
          <w:i w:val="1"/>
          <w:iCs w:val="1"/>
          <w:noProof w:val="0"/>
          <w:sz w:val="22"/>
          <w:szCs w:val="22"/>
          <w:lang w:val="en-GB"/>
        </w:rPr>
        <w:t>Public management review</w:t>
      </w:r>
      <w:r w:rsidRPr="4AF775A2" w:rsidR="538FB3FB">
        <w:rPr>
          <w:rFonts w:ascii="Arial" w:hAnsi="Arial" w:eastAsia="Arial" w:cs="Arial"/>
          <w:noProof w:val="0"/>
          <w:sz w:val="22"/>
          <w:szCs w:val="22"/>
          <w:lang w:val="en-GB"/>
        </w:rPr>
        <w:t xml:space="preserve">, 7(1), pp. 1–24. Available at: </w:t>
      </w:r>
      <w:hyperlink r:id="Rb0b14d72edfa45a9">
        <w:r w:rsidRPr="4AF775A2" w:rsidR="538FB3FB">
          <w:rPr>
            <w:rStyle w:val="Hyperlink"/>
            <w:rFonts w:ascii="Arial" w:hAnsi="Arial" w:eastAsia="Arial" w:cs="Arial"/>
            <w:noProof w:val="0"/>
            <w:sz w:val="22"/>
            <w:szCs w:val="22"/>
            <w:lang w:val="en-GB"/>
          </w:rPr>
          <w:t>https://doi.org/10.1080/1471903042000339392</w:t>
        </w:r>
      </w:hyperlink>
      <w:r w:rsidRPr="4AF775A2" w:rsidR="538FB3FB">
        <w:rPr>
          <w:rFonts w:ascii="Arial" w:hAnsi="Arial" w:eastAsia="Arial" w:cs="Arial"/>
          <w:noProof w:val="0"/>
          <w:sz w:val="22"/>
          <w:szCs w:val="22"/>
          <w:lang w:val="en-GB"/>
        </w:rPr>
        <w:t>.</w:t>
      </w:r>
    </w:p>
    <w:p w:rsidR="243BEF60" w:rsidP="4AF775A2" w:rsidRDefault="243BEF60" w14:paraId="04853931" w14:textId="75D4402F">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25E1C702" w14:textId="4E62FA98">
      <w:pPr>
        <w:bidi w:val="0"/>
        <w:spacing w:before="0" w:beforeAutospacing="off" w:after="0" w:afterAutospacing="off"/>
        <w:jc w:val="both"/>
        <w:rPr>
          <w:rFonts w:ascii="Arial" w:hAnsi="Arial" w:eastAsia="Arial" w:cs="Arial"/>
          <w:noProof w:val="0"/>
          <w:sz w:val="22"/>
          <w:szCs w:val="22"/>
          <w:lang w:val="en-GB"/>
        </w:rPr>
      </w:pPr>
      <w:r w:rsidRPr="4AF775A2" w:rsidR="538FB3FB">
        <w:rPr>
          <w:rFonts w:ascii="Arial" w:hAnsi="Arial" w:eastAsia="Arial" w:cs="Arial"/>
          <w:noProof w:val="0"/>
          <w:sz w:val="22"/>
          <w:szCs w:val="22"/>
          <w:lang w:val="en-GB"/>
        </w:rPr>
        <w:t xml:space="preserve">Guest, D.E. (2017) “Human resource management and employee well‐being: towards a new analytic framework,” </w:t>
      </w:r>
      <w:r w:rsidRPr="4AF775A2" w:rsidR="538FB3FB">
        <w:rPr>
          <w:rFonts w:ascii="Arial" w:hAnsi="Arial" w:eastAsia="Arial" w:cs="Arial"/>
          <w:i w:val="1"/>
          <w:iCs w:val="1"/>
          <w:noProof w:val="0"/>
          <w:sz w:val="22"/>
          <w:szCs w:val="22"/>
          <w:lang w:val="en-GB"/>
        </w:rPr>
        <w:t>Human resource management journal</w:t>
      </w:r>
      <w:r w:rsidRPr="4AF775A2" w:rsidR="538FB3FB">
        <w:rPr>
          <w:rFonts w:ascii="Arial" w:hAnsi="Arial" w:eastAsia="Arial" w:cs="Arial"/>
          <w:noProof w:val="0"/>
          <w:sz w:val="22"/>
          <w:szCs w:val="22"/>
          <w:lang w:val="en-GB"/>
        </w:rPr>
        <w:t xml:space="preserve">, 27(1), pp. 22–38. Available at: </w:t>
      </w:r>
      <w:hyperlink r:id="R545882b0ea884c29">
        <w:r w:rsidRPr="4AF775A2" w:rsidR="538FB3FB">
          <w:rPr>
            <w:rStyle w:val="Hyperlink"/>
            <w:rFonts w:ascii="Arial" w:hAnsi="Arial" w:eastAsia="Arial" w:cs="Arial"/>
            <w:noProof w:val="0"/>
            <w:sz w:val="22"/>
            <w:szCs w:val="22"/>
            <w:lang w:val="en-GB"/>
          </w:rPr>
          <w:t>https://doi.org/10.1111/1748-8583.12139</w:t>
        </w:r>
      </w:hyperlink>
      <w:r w:rsidRPr="4AF775A2" w:rsidR="538FB3FB">
        <w:rPr>
          <w:rFonts w:ascii="Arial" w:hAnsi="Arial" w:eastAsia="Arial" w:cs="Arial"/>
          <w:noProof w:val="0"/>
          <w:sz w:val="22"/>
          <w:szCs w:val="22"/>
          <w:lang w:val="en-GB"/>
        </w:rPr>
        <w:t>.</w:t>
      </w:r>
    </w:p>
    <w:p w:rsidR="243BEF60" w:rsidP="4AF775A2" w:rsidRDefault="243BEF60" w14:paraId="2361A513" w14:textId="46998CD3">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65C283EF" w14:textId="1A1253BF">
      <w:pPr>
        <w:bidi w:val="0"/>
        <w:spacing w:before="0" w:beforeAutospacing="off" w:after="0" w:afterAutospacing="off" w:line="360" w:lineRule="auto"/>
        <w:jc w:val="both"/>
        <w:rPr>
          <w:rFonts w:ascii="Arial" w:hAnsi="Arial" w:eastAsia="Arial" w:cs="Arial"/>
          <w:noProof w:val="0"/>
          <w:sz w:val="22"/>
          <w:szCs w:val="22"/>
          <w:lang w:val="en-GB"/>
        </w:rPr>
      </w:pPr>
      <w:r w:rsidRPr="4AF775A2" w:rsidR="5A807755">
        <w:rPr>
          <w:rFonts w:ascii="Arial" w:hAnsi="Arial" w:eastAsia="Arial" w:cs="Arial"/>
          <w:noProof w:val="0"/>
          <w:sz w:val="22"/>
          <w:szCs w:val="22"/>
          <w:lang w:val="en-GB"/>
        </w:rPr>
        <w:t>Gyensare</w:t>
      </w:r>
      <w:r w:rsidRPr="4AF775A2" w:rsidR="5A807755">
        <w:rPr>
          <w:rFonts w:ascii="Arial" w:hAnsi="Arial" w:eastAsia="Arial" w:cs="Arial"/>
          <w:noProof w:val="0"/>
          <w:sz w:val="22"/>
          <w:szCs w:val="22"/>
          <w:lang w:val="en-GB"/>
        </w:rPr>
        <w:t xml:space="preserve">, M.A. </w:t>
      </w:r>
      <w:r w:rsidRPr="4AF775A2" w:rsidR="5A807755">
        <w:rPr>
          <w:rFonts w:ascii="Arial" w:hAnsi="Arial" w:eastAsia="Arial" w:cs="Arial"/>
          <w:i w:val="1"/>
          <w:iCs w:val="1"/>
          <w:noProof w:val="0"/>
          <w:sz w:val="22"/>
          <w:szCs w:val="22"/>
          <w:lang w:val="en-GB"/>
        </w:rPr>
        <w:t>et al.</w:t>
      </w:r>
      <w:r w:rsidRPr="4AF775A2" w:rsidR="5A807755">
        <w:rPr>
          <w:rFonts w:ascii="Arial" w:hAnsi="Arial" w:eastAsia="Arial" w:cs="Arial"/>
          <w:noProof w:val="0"/>
          <w:sz w:val="22"/>
          <w:szCs w:val="22"/>
          <w:lang w:val="en-GB"/>
        </w:rPr>
        <w:t xml:space="preserve"> (2025) “Sustaining employees thriving at work through </w:t>
      </w:r>
      <w:r w:rsidRPr="4AF775A2" w:rsidR="5A807755">
        <w:rPr>
          <w:rFonts w:ascii="Arial" w:hAnsi="Arial" w:eastAsia="Arial" w:cs="Arial"/>
          <w:noProof w:val="0"/>
          <w:sz w:val="22"/>
          <w:szCs w:val="22"/>
          <w:lang w:val="en-GB"/>
        </w:rPr>
        <w:t>polychronicity</w:t>
      </w:r>
      <w:r w:rsidRPr="4AF775A2" w:rsidR="5A807755">
        <w:rPr>
          <w:rFonts w:ascii="Arial" w:hAnsi="Arial" w:eastAsia="Arial" w:cs="Arial"/>
          <w:noProof w:val="0"/>
          <w:sz w:val="22"/>
          <w:szCs w:val="22"/>
          <w:lang w:val="en-GB"/>
        </w:rPr>
        <w:t xml:space="preserve"> and work engagement: The unintended (negative) consequence of training,” </w:t>
      </w:r>
      <w:r w:rsidRPr="4AF775A2" w:rsidR="5A807755">
        <w:rPr>
          <w:rFonts w:ascii="Arial" w:hAnsi="Arial" w:eastAsia="Arial" w:cs="Arial"/>
          <w:i w:val="1"/>
          <w:iCs w:val="1"/>
          <w:noProof w:val="0"/>
          <w:sz w:val="22"/>
          <w:szCs w:val="22"/>
          <w:lang w:val="en-GB"/>
        </w:rPr>
        <w:t>Journal of</w:t>
      </w:r>
      <w:r w:rsidRPr="4AF775A2" w:rsidR="06FC5A04">
        <w:rPr>
          <w:rFonts w:ascii="Arial" w:hAnsi="Arial" w:eastAsia="Arial" w:cs="Arial"/>
          <w:i w:val="1"/>
          <w:iCs w:val="1"/>
          <w:noProof w:val="0"/>
          <w:sz w:val="22"/>
          <w:szCs w:val="22"/>
          <w:lang w:val="en-GB"/>
        </w:rPr>
        <w:t xml:space="preserve"> </w:t>
      </w:r>
      <w:r w:rsidRPr="4AF775A2" w:rsidR="5A807755">
        <w:rPr>
          <w:rFonts w:ascii="Arial" w:hAnsi="Arial" w:eastAsia="Arial" w:cs="Arial"/>
          <w:i w:val="1"/>
          <w:iCs w:val="1"/>
          <w:noProof w:val="0"/>
          <w:sz w:val="22"/>
          <w:szCs w:val="22"/>
          <w:lang w:val="en-GB"/>
        </w:rPr>
        <w:t xml:space="preserve">occupational and </w:t>
      </w:r>
      <w:r w:rsidRPr="4AF775A2" w:rsidR="4E716085">
        <w:rPr>
          <w:rFonts w:ascii="Arial" w:hAnsi="Arial" w:eastAsia="Arial" w:cs="Arial"/>
          <w:i w:val="1"/>
          <w:iCs w:val="1"/>
          <w:noProof w:val="0"/>
          <w:sz w:val="22"/>
          <w:szCs w:val="22"/>
          <w:lang w:val="en-GB"/>
        </w:rPr>
        <w:t>organisation</w:t>
      </w:r>
      <w:r w:rsidRPr="4AF775A2" w:rsidR="5A807755">
        <w:rPr>
          <w:rFonts w:ascii="Arial" w:hAnsi="Arial" w:eastAsia="Arial" w:cs="Arial"/>
          <w:i w:val="1"/>
          <w:iCs w:val="1"/>
          <w:noProof w:val="0"/>
          <w:sz w:val="22"/>
          <w:szCs w:val="22"/>
          <w:lang w:val="en-GB"/>
        </w:rPr>
        <w:t>al psychology</w:t>
      </w:r>
      <w:r w:rsidRPr="4AF775A2" w:rsidR="5A807755">
        <w:rPr>
          <w:rFonts w:ascii="Arial" w:hAnsi="Arial" w:eastAsia="Arial" w:cs="Arial"/>
          <w:noProof w:val="0"/>
          <w:sz w:val="22"/>
          <w:szCs w:val="22"/>
          <w:lang w:val="en-GB"/>
        </w:rPr>
        <w:t xml:space="preserve">, 98(1). Available at: </w:t>
      </w:r>
      <w:hyperlink r:id="Rb37234906e874dd1">
        <w:r w:rsidRPr="4AF775A2" w:rsidR="5A807755">
          <w:rPr>
            <w:rStyle w:val="Hyperlink"/>
            <w:rFonts w:ascii="Arial" w:hAnsi="Arial" w:eastAsia="Arial" w:cs="Arial"/>
            <w:noProof w:val="0"/>
            <w:sz w:val="22"/>
            <w:szCs w:val="22"/>
            <w:lang w:val="en-GB"/>
          </w:rPr>
          <w:t>https://doi.org/10.1111/joop.70017</w:t>
        </w:r>
      </w:hyperlink>
      <w:r w:rsidRPr="4AF775A2" w:rsidR="5A807755">
        <w:rPr>
          <w:rFonts w:ascii="Arial" w:hAnsi="Arial" w:eastAsia="Arial" w:cs="Arial"/>
          <w:noProof w:val="0"/>
          <w:sz w:val="22"/>
          <w:szCs w:val="22"/>
          <w:lang w:val="en-GB"/>
        </w:rPr>
        <w:t>.</w:t>
      </w:r>
    </w:p>
    <w:p w:rsidR="243BEF60" w:rsidP="4AF775A2" w:rsidRDefault="243BEF60" w14:paraId="44EE2BD0" w14:textId="0885DCE7">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4AF775A2" w:rsidRDefault="243BEF60" w14:paraId="19FC986A" w14:textId="02561E04">
      <w:pPr>
        <w:bidi w:val="0"/>
        <w:spacing w:before="0" w:beforeAutospacing="off" w:after="0" w:afterAutospacing="off"/>
        <w:jc w:val="both"/>
        <w:rPr>
          <w:rFonts w:ascii="Arial" w:hAnsi="Arial" w:eastAsia="Arial" w:cs="Arial"/>
          <w:noProof w:val="0"/>
          <w:sz w:val="22"/>
          <w:szCs w:val="22"/>
          <w:lang w:val="en-GB"/>
        </w:rPr>
      </w:pPr>
      <w:r w:rsidRPr="4AF775A2" w:rsidR="369662DC">
        <w:rPr>
          <w:rFonts w:ascii="Arial" w:hAnsi="Arial" w:eastAsia="Arial" w:cs="Arial"/>
          <w:noProof w:val="0"/>
          <w:sz w:val="22"/>
          <w:szCs w:val="22"/>
          <w:lang w:val="en-GB"/>
        </w:rPr>
        <w:t xml:space="preserve">Habiyaremye, A. and Monaco, L. (2026) “4IR technology adoption in the south African airline industry: drivers, constraints and labour market effects,” </w:t>
      </w:r>
      <w:r w:rsidRPr="4AF775A2" w:rsidR="369662DC">
        <w:rPr>
          <w:rFonts w:ascii="Arial" w:hAnsi="Arial" w:eastAsia="Arial" w:cs="Arial"/>
          <w:i w:val="1"/>
          <w:iCs w:val="1"/>
          <w:noProof w:val="0"/>
          <w:sz w:val="22"/>
          <w:szCs w:val="22"/>
          <w:lang w:val="en-GB"/>
        </w:rPr>
        <w:t>Science &amp; public policy</w:t>
      </w:r>
      <w:r w:rsidRPr="4AF775A2" w:rsidR="369662DC">
        <w:rPr>
          <w:rFonts w:ascii="Arial" w:hAnsi="Arial" w:eastAsia="Arial" w:cs="Arial"/>
          <w:noProof w:val="0"/>
          <w:sz w:val="22"/>
          <w:szCs w:val="22"/>
          <w:lang w:val="en-GB"/>
        </w:rPr>
        <w:t xml:space="preserve">, 53(1), pp. 88–99. Available at: </w:t>
      </w:r>
      <w:hyperlink r:id="R8c960fa95e5b4a7b">
        <w:r w:rsidRPr="4AF775A2" w:rsidR="369662DC">
          <w:rPr>
            <w:rStyle w:val="Hyperlink"/>
            <w:rFonts w:ascii="Arial" w:hAnsi="Arial" w:eastAsia="Arial" w:cs="Arial"/>
            <w:noProof w:val="0"/>
            <w:sz w:val="22"/>
            <w:szCs w:val="22"/>
            <w:lang w:val="en-GB"/>
          </w:rPr>
          <w:t>https://doi.org/10.1093/scipol/scaf084</w:t>
        </w:r>
      </w:hyperlink>
      <w:r w:rsidRPr="4AF775A2" w:rsidR="369662DC">
        <w:rPr>
          <w:rFonts w:ascii="Arial" w:hAnsi="Arial" w:eastAsia="Arial" w:cs="Arial"/>
          <w:noProof w:val="0"/>
          <w:sz w:val="22"/>
          <w:szCs w:val="22"/>
          <w:lang w:val="en-GB"/>
        </w:rPr>
        <w:t>.</w:t>
      </w:r>
    </w:p>
    <w:p w:rsidR="243BEF60" w:rsidP="4AF775A2" w:rsidRDefault="243BEF60" w14:paraId="41950C17" w14:textId="59A1201E">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C29B93D" w:rsidP="4AF775A2" w:rsidRDefault="0C29B93D" w14:paraId="75ED63FB" w14:textId="7623E4E8">
      <w:pPr>
        <w:bidi w:val="0"/>
        <w:spacing w:before="0" w:beforeAutospacing="off" w:after="0" w:afterAutospacing="off"/>
        <w:jc w:val="both"/>
        <w:rPr>
          <w:rFonts w:ascii="Arial" w:hAnsi="Arial" w:eastAsia="Arial" w:cs="Arial"/>
          <w:noProof w:val="0"/>
          <w:sz w:val="22"/>
          <w:szCs w:val="22"/>
          <w:lang w:val="en-GB"/>
        </w:rPr>
      </w:pPr>
      <w:r w:rsidRPr="4AF775A2" w:rsidR="369662DC">
        <w:rPr>
          <w:rFonts w:ascii="Arial" w:hAnsi="Arial" w:eastAsia="Arial" w:cs="Arial"/>
          <w:noProof w:val="0"/>
          <w:sz w:val="22"/>
          <w:szCs w:val="22"/>
          <w:lang w:val="en-GB"/>
        </w:rPr>
        <w:t xml:space="preserve">Harvey, G. and Turnbull, P. (2010) “On the Go: walking the high road at a low cost airline,” </w:t>
      </w:r>
      <w:r w:rsidRPr="4AF775A2" w:rsidR="369662DC">
        <w:rPr>
          <w:rFonts w:ascii="Arial" w:hAnsi="Arial" w:eastAsia="Arial" w:cs="Arial"/>
          <w:i w:val="1"/>
          <w:iCs w:val="1"/>
          <w:noProof w:val="0"/>
          <w:sz w:val="22"/>
          <w:szCs w:val="22"/>
          <w:lang w:val="en-GB"/>
        </w:rPr>
        <w:t>International journal of human resource management</w:t>
      </w:r>
      <w:r w:rsidRPr="4AF775A2" w:rsidR="369662DC">
        <w:rPr>
          <w:rFonts w:ascii="Arial" w:hAnsi="Arial" w:eastAsia="Arial" w:cs="Arial"/>
          <w:noProof w:val="0"/>
          <w:sz w:val="22"/>
          <w:szCs w:val="22"/>
          <w:lang w:val="en-GB"/>
        </w:rPr>
        <w:t xml:space="preserve">, 21(2), pp. 230–241. Available at: </w:t>
      </w:r>
      <w:hyperlink r:id="Rb4064741ed964e0e">
        <w:r w:rsidRPr="4AF775A2" w:rsidR="369662DC">
          <w:rPr>
            <w:rStyle w:val="Hyperlink"/>
            <w:rFonts w:ascii="Arial" w:hAnsi="Arial" w:eastAsia="Arial" w:cs="Arial"/>
            <w:noProof w:val="0"/>
            <w:sz w:val="22"/>
            <w:szCs w:val="22"/>
            <w:lang w:val="en-GB"/>
          </w:rPr>
          <w:t>https://doi.org/10.1080/09585190903509548</w:t>
        </w:r>
      </w:hyperlink>
      <w:r w:rsidRPr="4AF775A2" w:rsidR="369662DC">
        <w:rPr>
          <w:rFonts w:ascii="Arial" w:hAnsi="Arial" w:eastAsia="Arial" w:cs="Arial"/>
          <w:noProof w:val="0"/>
          <w:sz w:val="22"/>
          <w:szCs w:val="22"/>
          <w:lang w:val="en-GB"/>
        </w:rPr>
        <w:t>.</w:t>
      </w:r>
    </w:p>
    <w:p w:rsidR="0C29B93D" w:rsidP="4AF775A2" w:rsidRDefault="0C29B93D" w14:paraId="315C2700" w14:textId="7D093CE8">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C29B93D" w:rsidP="4AF775A2" w:rsidRDefault="0C29B93D" w14:paraId="5CD54CA7" w14:textId="0B66AD7D">
      <w:pPr>
        <w:bidi w:val="0"/>
        <w:spacing w:before="0" w:beforeAutospacing="off" w:after="0" w:afterAutospacing="off"/>
        <w:jc w:val="both"/>
        <w:rPr>
          <w:rFonts w:ascii="Arial" w:hAnsi="Arial" w:eastAsia="Arial" w:cs="Arial"/>
          <w:noProof w:val="0"/>
          <w:sz w:val="22"/>
          <w:szCs w:val="22"/>
          <w:lang w:val="en-GB"/>
        </w:rPr>
      </w:pPr>
      <w:r w:rsidRPr="4AF775A2" w:rsidR="369662DC">
        <w:rPr>
          <w:rFonts w:ascii="Arial" w:hAnsi="Arial" w:eastAsia="Arial" w:cs="Arial"/>
          <w:noProof w:val="0"/>
          <w:sz w:val="22"/>
          <w:szCs w:val="22"/>
          <w:lang w:val="en-GB"/>
        </w:rPr>
        <w:t xml:space="preserve">Jackson, C.A. and Earl, L. (2006) “Prevalence of fatigue among commercial pilots,” </w:t>
      </w:r>
      <w:r w:rsidRPr="4AF775A2" w:rsidR="369662DC">
        <w:rPr>
          <w:rFonts w:ascii="Arial" w:hAnsi="Arial" w:eastAsia="Arial" w:cs="Arial"/>
          <w:i w:val="1"/>
          <w:iCs w:val="1"/>
          <w:noProof w:val="0"/>
          <w:sz w:val="22"/>
          <w:szCs w:val="22"/>
          <w:lang w:val="en-GB"/>
        </w:rPr>
        <w:t>Occupational medicine (Oxford)</w:t>
      </w:r>
      <w:r w:rsidRPr="4AF775A2" w:rsidR="369662DC">
        <w:rPr>
          <w:rFonts w:ascii="Arial" w:hAnsi="Arial" w:eastAsia="Arial" w:cs="Arial"/>
          <w:noProof w:val="0"/>
          <w:sz w:val="22"/>
          <w:szCs w:val="22"/>
          <w:lang w:val="en-GB"/>
        </w:rPr>
        <w:t xml:space="preserve">, 56(4), pp. 263–268. Available at: </w:t>
      </w:r>
      <w:hyperlink r:id="R17f19a1759cd475e">
        <w:r w:rsidRPr="4AF775A2" w:rsidR="369662DC">
          <w:rPr>
            <w:rStyle w:val="Hyperlink"/>
            <w:rFonts w:ascii="Arial" w:hAnsi="Arial" w:eastAsia="Arial" w:cs="Arial"/>
            <w:noProof w:val="0"/>
            <w:sz w:val="22"/>
            <w:szCs w:val="22"/>
            <w:lang w:val="en-GB"/>
          </w:rPr>
          <w:t>https://doi.org/10.1093/occmed/kql021</w:t>
        </w:r>
      </w:hyperlink>
      <w:r w:rsidRPr="4AF775A2" w:rsidR="369662DC">
        <w:rPr>
          <w:rFonts w:ascii="Arial" w:hAnsi="Arial" w:eastAsia="Arial" w:cs="Arial"/>
          <w:noProof w:val="0"/>
          <w:sz w:val="22"/>
          <w:szCs w:val="22"/>
          <w:lang w:val="en-GB"/>
        </w:rPr>
        <w:t>.</w:t>
      </w:r>
    </w:p>
    <w:p w:rsidR="0C29B93D" w:rsidP="4AF775A2" w:rsidRDefault="0C29B93D" w14:paraId="68CFC6F2" w14:textId="5F5EE443">
      <w:pPr>
        <w:pStyle w:val="Normal"/>
        <w:bidi w:val="0"/>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C29B93D" w:rsidP="4AF775A2" w:rsidRDefault="0C29B93D" w14:paraId="7629A7FD" w14:textId="07D406A6">
      <w:pPr>
        <w:pStyle w:val="Normal"/>
        <w:bidi w:val="0"/>
        <w:spacing w:before="0" w:beforeAutospacing="off" w:after="0" w:afterAutospacing="off" w:line="360" w:lineRule="auto"/>
        <w:jc w:val="both"/>
        <w:rPr>
          <w:rFonts w:ascii="Arial" w:hAnsi="Arial" w:eastAsia="Arial" w:cs="Arial"/>
          <w:noProof w:val="0"/>
          <w:sz w:val="22"/>
          <w:szCs w:val="22"/>
          <w:lang w:val="en-GB"/>
        </w:rPr>
      </w:pPr>
      <w:r w:rsidRPr="4AF775A2" w:rsidR="0C29B9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King, A.T., Gontarz, </w:t>
      </w:r>
      <w:r w:rsidRPr="4AF775A2" w:rsidR="0C29B9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J.</w:t>
      </w:r>
      <w:r w:rsidRPr="4AF775A2" w:rsidR="0C29B9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Wei, H. (2020) ‘Employee engagement and absenteeism: A step towards improving patient care’, Nursing forum (Hillsdale), 55(3), pp. 356–361. Available at: </w:t>
      </w:r>
      <w:hyperlink r:id="Rc9177ae919cb418e">
        <w:r w:rsidRPr="4AF775A2" w:rsidR="0C29B93D">
          <w:rPr>
            <w:rStyle w:val="Hyperlink"/>
            <w:rFonts w:ascii="Arial" w:hAnsi="Arial" w:eastAsia="Arial" w:cs="Arial"/>
            <w:b w:val="0"/>
            <w:bCs w:val="0"/>
            <w:i w:val="0"/>
            <w:iCs w:val="0"/>
            <w:caps w:val="0"/>
            <w:smallCaps w:val="0"/>
            <w:strike w:val="0"/>
            <w:dstrike w:val="0"/>
            <w:noProof w:val="0"/>
            <w:color w:val="0563C1"/>
            <w:sz w:val="22"/>
            <w:szCs w:val="22"/>
            <w:u w:val="single"/>
            <w:lang w:val="en-GB"/>
          </w:rPr>
          <w:t>https://doi.org/10.1111/nuf.12435</w:t>
        </w:r>
      </w:hyperlink>
      <w:r w:rsidRPr="4AF775A2" w:rsidR="0C29B9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243BEF60" w:rsidP="4AF775A2" w:rsidRDefault="243BEF60" w14:paraId="649D818D" w14:textId="50F669B5">
      <w:pPr>
        <w:pStyle w:val="Normal"/>
        <w:bidi w:val="0"/>
        <w:spacing w:before="0" w:beforeAutospacing="off" w:after="0" w:afterAutospacing="off" w:line="360" w:lineRule="auto"/>
        <w:ind/>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43BEF60" w:rsidP="4AF775A2" w:rsidRDefault="243BEF60" w14:paraId="56CDB2DA" w14:textId="5D8C0EDC">
      <w:pPr>
        <w:bidi w:val="0"/>
        <w:spacing w:before="0" w:beforeAutospacing="off" w:after="0" w:afterAutospacing="off"/>
        <w:ind/>
        <w:jc w:val="both"/>
        <w:rPr>
          <w:rFonts w:ascii="Arial" w:hAnsi="Arial" w:eastAsia="Arial" w:cs="Arial"/>
          <w:noProof w:val="0"/>
          <w:sz w:val="22"/>
          <w:szCs w:val="22"/>
          <w:lang w:val="en-GB"/>
        </w:rPr>
      </w:pPr>
      <w:r w:rsidRPr="4AF775A2" w:rsidR="20E73D6C">
        <w:rPr>
          <w:rFonts w:ascii="Arial" w:hAnsi="Arial" w:eastAsia="Arial" w:cs="Arial"/>
          <w:noProof w:val="0"/>
          <w:sz w:val="22"/>
          <w:szCs w:val="22"/>
          <w:lang w:val="en-GB"/>
        </w:rPr>
        <w:t xml:space="preserve">Klapper, E.S. and Ruff-Stahl, H.-J.K. (2019) “Effects of the Pilot Shortage on the Regional Airline Industry: A 2023 Forecast,” </w:t>
      </w:r>
      <w:r w:rsidRPr="4AF775A2" w:rsidR="20E73D6C">
        <w:rPr>
          <w:rFonts w:ascii="Arial" w:hAnsi="Arial" w:eastAsia="Arial" w:cs="Arial"/>
          <w:i w:val="1"/>
          <w:iCs w:val="1"/>
          <w:noProof w:val="0"/>
          <w:sz w:val="22"/>
          <w:szCs w:val="22"/>
          <w:lang w:val="en-GB"/>
        </w:rPr>
        <w:t>International journal of aviation, aeronautics, and aerospace</w:t>
      </w:r>
      <w:r w:rsidRPr="4AF775A2" w:rsidR="20E73D6C">
        <w:rPr>
          <w:rFonts w:ascii="Arial" w:hAnsi="Arial" w:eastAsia="Arial" w:cs="Arial"/>
          <w:noProof w:val="0"/>
          <w:sz w:val="22"/>
          <w:szCs w:val="22"/>
          <w:lang w:val="en-GB"/>
        </w:rPr>
        <w:t xml:space="preserve">, 6(3), p. 2. Available at: </w:t>
      </w:r>
      <w:hyperlink r:id="R0d58d071744b4ef8">
        <w:r w:rsidRPr="4AF775A2" w:rsidR="20E73D6C">
          <w:rPr>
            <w:rStyle w:val="Hyperlink"/>
            <w:rFonts w:ascii="Arial" w:hAnsi="Arial" w:eastAsia="Arial" w:cs="Arial"/>
            <w:noProof w:val="0"/>
            <w:sz w:val="22"/>
            <w:szCs w:val="22"/>
            <w:lang w:val="en-GB"/>
          </w:rPr>
          <w:t>https://doi.org/10.15394/ijaaa.2019.1321</w:t>
        </w:r>
      </w:hyperlink>
      <w:r w:rsidRPr="4AF775A2" w:rsidR="20E73D6C">
        <w:rPr>
          <w:rFonts w:ascii="Arial" w:hAnsi="Arial" w:eastAsia="Arial" w:cs="Arial"/>
          <w:noProof w:val="0"/>
          <w:sz w:val="22"/>
          <w:szCs w:val="22"/>
          <w:lang w:val="en-GB"/>
        </w:rPr>
        <w:t>.</w:t>
      </w:r>
    </w:p>
    <w:p w:rsidR="243BEF60" w:rsidP="4AF775A2" w:rsidRDefault="243BEF60" w14:paraId="546E9CDA" w14:textId="242D53BE">
      <w:pPr>
        <w:pStyle w:val="Normal"/>
        <w:bidi w:val="0"/>
        <w:spacing w:before="0" w:beforeAutospacing="off" w:after="0" w:afterAutospacing="off" w:line="360" w:lineRule="auto"/>
        <w:ind/>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43BEF60" w:rsidP="4AF775A2" w:rsidRDefault="243BEF60" w14:paraId="7FEFF57B" w14:textId="6EFDD186">
      <w:pPr>
        <w:bidi w:val="0"/>
        <w:spacing w:before="0" w:beforeAutospacing="off" w:after="0" w:afterAutospacing="off"/>
        <w:ind/>
        <w:jc w:val="both"/>
        <w:rPr>
          <w:rFonts w:ascii="Arial" w:hAnsi="Arial" w:eastAsia="Arial" w:cs="Arial"/>
          <w:noProof w:val="0"/>
          <w:sz w:val="22"/>
          <w:szCs w:val="22"/>
          <w:lang w:val="en-GB"/>
        </w:rPr>
      </w:pPr>
      <w:r w:rsidRPr="4AF775A2" w:rsidR="1477CC3B">
        <w:rPr>
          <w:rFonts w:ascii="Arial" w:hAnsi="Arial" w:eastAsia="Arial" w:cs="Arial"/>
          <w:noProof w:val="0"/>
          <w:sz w:val="22"/>
          <w:szCs w:val="22"/>
          <w:lang w:val="en-GB"/>
        </w:rPr>
        <w:t xml:space="preserve">Lee, M., Oh, K. and Kim, H. (2025) “Effects of </w:t>
      </w:r>
      <w:r w:rsidRPr="4AF775A2" w:rsidR="4E716085">
        <w:rPr>
          <w:rFonts w:ascii="Arial" w:hAnsi="Arial" w:eastAsia="Arial" w:cs="Arial"/>
          <w:noProof w:val="0"/>
          <w:sz w:val="22"/>
          <w:szCs w:val="22"/>
          <w:lang w:val="en-GB"/>
        </w:rPr>
        <w:t>organisation</w:t>
      </w:r>
      <w:r w:rsidRPr="4AF775A2" w:rsidR="1477CC3B">
        <w:rPr>
          <w:rFonts w:ascii="Arial" w:hAnsi="Arial" w:eastAsia="Arial" w:cs="Arial"/>
          <w:noProof w:val="0"/>
          <w:sz w:val="22"/>
          <w:szCs w:val="22"/>
          <w:lang w:val="en-GB"/>
        </w:rPr>
        <w:t xml:space="preserve">al culture and pay levels on employee retention: Focused on generational difference,” </w:t>
      </w:r>
      <w:r w:rsidRPr="4AF775A2" w:rsidR="1477CC3B">
        <w:rPr>
          <w:rFonts w:ascii="Arial" w:hAnsi="Arial" w:eastAsia="Arial" w:cs="Arial"/>
          <w:i w:val="1"/>
          <w:iCs w:val="1"/>
          <w:noProof w:val="0"/>
          <w:sz w:val="22"/>
          <w:szCs w:val="22"/>
          <w:lang w:val="en-GB"/>
        </w:rPr>
        <w:t>Administrative sciences</w:t>
      </w:r>
      <w:r w:rsidRPr="4AF775A2" w:rsidR="1477CC3B">
        <w:rPr>
          <w:rFonts w:ascii="Arial" w:hAnsi="Arial" w:eastAsia="Arial" w:cs="Arial"/>
          <w:noProof w:val="0"/>
          <w:sz w:val="22"/>
          <w:szCs w:val="22"/>
          <w:lang w:val="en-GB"/>
        </w:rPr>
        <w:t xml:space="preserve">, 15(4), pp. 1–19. Available at: </w:t>
      </w:r>
      <w:hyperlink r:id="Rf0e11e085cdd40b9">
        <w:r w:rsidRPr="4AF775A2" w:rsidR="1477CC3B">
          <w:rPr>
            <w:rStyle w:val="Hyperlink"/>
            <w:rFonts w:ascii="Arial" w:hAnsi="Arial" w:eastAsia="Arial" w:cs="Arial"/>
            <w:noProof w:val="0"/>
            <w:sz w:val="22"/>
            <w:szCs w:val="22"/>
            <w:lang w:val="en-GB"/>
          </w:rPr>
          <w:t>https://doi.org/10.3390/admsci15040125</w:t>
        </w:r>
      </w:hyperlink>
      <w:r w:rsidRPr="4AF775A2" w:rsidR="1477CC3B">
        <w:rPr>
          <w:rFonts w:ascii="Arial" w:hAnsi="Arial" w:eastAsia="Arial" w:cs="Arial"/>
          <w:noProof w:val="0"/>
          <w:sz w:val="22"/>
          <w:szCs w:val="22"/>
          <w:lang w:val="en-GB"/>
        </w:rPr>
        <w:t>.</w:t>
      </w:r>
    </w:p>
    <w:p w:rsidR="243BEF60" w:rsidP="4AF775A2" w:rsidRDefault="243BEF60" w14:paraId="2BFC406F" w14:textId="7F3D5C91">
      <w:pPr>
        <w:pStyle w:val="Normal"/>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7182F88" w:rsidP="4AF775A2" w:rsidRDefault="67182F88" w14:paraId="12C2BCD8" w14:textId="6F59A8D3">
      <w:pPr>
        <w:bidi w:val="0"/>
        <w:spacing w:before="0" w:beforeAutospacing="off" w:after="0" w:afterAutospacing="off"/>
        <w:ind/>
        <w:jc w:val="both"/>
        <w:rPr>
          <w:rFonts w:ascii="Arial" w:hAnsi="Arial" w:eastAsia="Arial" w:cs="Arial"/>
          <w:noProof w:val="0"/>
          <w:sz w:val="22"/>
          <w:szCs w:val="22"/>
          <w:lang w:val="en-GB"/>
        </w:rPr>
      </w:pPr>
      <w:r w:rsidRPr="4AF775A2" w:rsidR="1477CC3B">
        <w:rPr>
          <w:rFonts w:ascii="Arial" w:hAnsi="Arial" w:eastAsia="Arial" w:cs="Arial"/>
          <w:noProof w:val="0"/>
          <w:sz w:val="22"/>
          <w:szCs w:val="22"/>
          <w:lang w:val="en-GB"/>
        </w:rPr>
        <w:t xml:space="preserve">LEROUX-PARRA, M. (2019) “A TERMINAL PROFESSION: THE PILOT SHORTAGE AMID AN AVIATION BOOM,” </w:t>
      </w:r>
      <w:r w:rsidRPr="4AF775A2" w:rsidR="1477CC3B">
        <w:rPr>
          <w:rFonts w:ascii="Arial" w:hAnsi="Arial" w:eastAsia="Arial" w:cs="Arial"/>
          <w:i w:val="1"/>
          <w:iCs w:val="1"/>
          <w:noProof w:val="0"/>
          <w:sz w:val="22"/>
          <w:szCs w:val="22"/>
          <w:lang w:val="en-GB"/>
        </w:rPr>
        <w:t>Harvard international review</w:t>
      </w:r>
      <w:r w:rsidRPr="4AF775A2" w:rsidR="1477CC3B">
        <w:rPr>
          <w:rFonts w:ascii="Arial" w:hAnsi="Arial" w:eastAsia="Arial" w:cs="Arial"/>
          <w:noProof w:val="0"/>
          <w:sz w:val="22"/>
          <w:szCs w:val="22"/>
          <w:lang w:val="en-GB"/>
        </w:rPr>
        <w:t>, 40(3), pp. 11–13.</w:t>
      </w:r>
    </w:p>
    <w:p w:rsidR="67182F88" w:rsidP="4AF775A2" w:rsidRDefault="67182F88" w14:paraId="1A4E72E0" w14:textId="53C4F5A4">
      <w:pPr>
        <w:pStyle w:val="Normal"/>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7182F88" w:rsidP="4AF775A2" w:rsidRDefault="67182F88" w14:paraId="4571A05B" w14:textId="1F3DC323">
      <w:pPr>
        <w:bidi w:val="0"/>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F775A2" w:rsidR="7891BAC3">
        <w:rPr>
          <w:rFonts w:ascii="Arial" w:hAnsi="Arial" w:eastAsia="Arial" w:cs="Arial"/>
          <w:noProof w:val="0"/>
          <w:sz w:val="22"/>
          <w:szCs w:val="22"/>
          <w:lang w:val="en-GB"/>
        </w:rPr>
        <w:t xml:space="preserve">Li, M. </w:t>
      </w:r>
      <w:r w:rsidRPr="4AF775A2" w:rsidR="7891BAC3">
        <w:rPr>
          <w:rFonts w:ascii="Arial" w:hAnsi="Arial" w:eastAsia="Arial" w:cs="Arial"/>
          <w:i w:val="1"/>
          <w:iCs w:val="1"/>
          <w:noProof w:val="0"/>
          <w:sz w:val="22"/>
          <w:szCs w:val="22"/>
          <w:lang w:val="en-GB"/>
        </w:rPr>
        <w:t>et al.</w:t>
      </w:r>
      <w:r w:rsidRPr="4AF775A2" w:rsidR="7891BAC3">
        <w:rPr>
          <w:rFonts w:ascii="Arial" w:hAnsi="Arial" w:eastAsia="Arial" w:cs="Arial"/>
          <w:noProof w:val="0"/>
          <w:sz w:val="22"/>
          <w:szCs w:val="22"/>
          <w:lang w:val="en-GB"/>
        </w:rPr>
        <w:t xml:space="preserve"> (2024) “Untangling human resource management and employee wellbeing relationships: Differentiating job resource HR practices from challenge demand HR practices,” </w:t>
      </w:r>
      <w:r w:rsidRPr="4AF775A2" w:rsidR="7891BAC3">
        <w:rPr>
          <w:rFonts w:ascii="Arial" w:hAnsi="Arial" w:eastAsia="Arial" w:cs="Arial"/>
          <w:i w:val="1"/>
          <w:iCs w:val="1"/>
          <w:noProof w:val="0"/>
          <w:sz w:val="22"/>
          <w:szCs w:val="22"/>
          <w:lang w:val="en-GB"/>
        </w:rPr>
        <w:t>Human resource management journal</w:t>
      </w:r>
      <w:r w:rsidRPr="4AF775A2" w:rsidR="7891BAC3">
        <w:rPr>
          <w:rFonts w:ascii="Arial" w:hAnsi="Arial" w:eastAsia="Arial" w:cs="Arial"/>
          <w:noProof w:val="0"/>
          <w:sz w:val="22"/>
          <w:szCs w:val="22"/>
          <w:lang w:val="en-GB"/>
        </w:rPr>
        <w:t xml:space="preserve">, 34(1), pp. 214–235. Available at: </w:t>
      </w:r>
      <w:hyperlink r:id="R7df87b29d6f34bfa">
        <w:r w:rsidRPr="4AF775A2" w:rsidR="7891BAC3">
          <w:rPr>
            <w:rStyle w:val="Hyperlink"/>
            <w:rFonts w:ascii="Arial" w:hAnsi="Arial" w:eastAsia="Arial" w:cs="Arial"/>
            <w:noProof w:val="0"/>
            <w:sz w:val="22"/>
            <w:szCs w:val="22"/>
            <w:lang w:val="en-GB"/>
          </w:rPr>
          <w:t>https://doi.org/10.1111/1748-8583.12527</w:t>
        </w:r>
      </w:hyperlink>
      <w:r w:rsidRPr="4AF775A2" w:rsidR="7891BAC3">
        <w:rPr>
          <w:rFonts w:ascii="Arial" w:hAnsi="Arial" w:eastAsia="Arial" w:cs="Arial"/>
          <w:noProof w:val="0"/>
          <w:sz w:val="22"/>
          <w:szCs w:val="22"/>
          <w:lang w:val="en-GB"/>
        </w:rPr>
        <w:t>.</w:t>
      </w:r>
      <w:r w:rsidRPr="4AF775A2" w:rsidR="77F3E64F">
        <w:rPr>
          <w:rFonts w:ascii="Arial" w:hAnsi="Arial" w:eastAsia="Arial" w:cs="Arial"/>
          <w:noProof w:val="0"/>
          <w:sz w:val="22"/>
          <w:szCs w:val="22"/>
          <w:lang w:val="en-GB"/>
        </w:rPr>
        <w:t xml:space="preserve"> </w:t>
      </w:r>
    </w:p>
    <w:p w:rsidR="67182F88" w:rsidP="4AF775A2" w:rsidRDefault="67182F88" w14:paraId="5CD8B462" w14:textId="78792205">
      <w:pPr>
        <w:bidi w:val="0"/>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F775A2" w:rsidR="60D47C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Lorincová</w:t>
      </w:r>
      <w:r w:rsidRPr="4AF775A2" w:rsidR="60D47C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 et al. (2020) ‘Sustainability in Business Process Management as an Important Strategic Challenge in Human Resource Management’, </w:t>
      </w:r>
      <w:r w:rsidRPr="4AF775A2" w:rsidR="60D47C1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Sustainability (Basel, Switzerland)</w:t>
      </w:r>
      <w:r w:rsidRPr="4AF775A2" w:rsidR="60D47C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12(15), p. 5941–. Available at: </w:t>
      </w:r>
      <w:hyperlink r:id="R5f2953b089e74118">
        <w:r w:rsidRPr="4AF775A2" w:rsidR="60D47C1E">
          <w:rPr>
            <w:rStyle w:val="Hyperlink"/>
            <w:rFonts w:ascii="Arial" w:hAnsi="Arial" w:eastAsia="Arial" w:cs="Arial"/>
            <w:b w:val="0"/>
            <w:bCs w:val="0"/>
            <w:i w:val="0"/>
            <w:iCs w:val="0"/>
            <w:caps w:val="0"/>
            <w:smallCaps w:val="0"/>
            <w:strike w:val="0"/>
            <w:dstrike w:val="0"/>
            <w:noProof w:val="0"/>
            <w:color w:val="0563C1"/>
            <w:sz w:val="22"/>
            <w:szCs w:val="22"/>
            <w:u w:val="single"/>
            <w:lang w:val="en-GB"/>
          </w:rPr>
          <w:t>https://doi.org/10.3390/su12155941</w:t>
        </w:r>
      </w:hyperlink>
    </w:p>
    <w:p w:rsidR="034594A6" w:rsidP="4AF775A2" w:rsidRDefault="034594A6" w14:paraId="0626748E" w14:textId="2EEF77B3">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35B1F78" w:rsidP="4AF775A2" w:rsidRDefault="335B1F78" w14:paraId="60647F42" w14:textId="5D9919F8">
      <w:pPr>
        <w:bidi w:val="0"/>
        <w:spacing w:before="0" w:beforeAutospacing="off" w:after="0" w:afterAutospacing="off" w:line="360" w:lineRule="auto"/>
        <w:jc w:val="both"/>
        <w:rPr>
          <w:rFonts w:ascii="Arial" w:hAnsi="Arial" w:eastAsia="Arial" w:cs="Arial"/>
          <w:noProof w:val="0"/>
          <w:sz w:val="22"/>
          <w:szCs w:val="22"/>
          <w:lang w:val="en-GB"/>
        </w:rPr>
      </w:pPr>
      <w:r w:rsidRPr="4AF775A2" w:rsidR="335B1F78">
        <w:rPr>
          <w:rFonts w:ascii="Arial" w:hAnsi="Arial" w:eastAsia="Arial" w:cs="Arial"/>
          <w:noProof w:val="0"/>
          <w:sz w:val="22"/>
          <w:szCs w:val="22"/>
          <w:lang w:val="en-GB"/>
        </w:rPr>
        <w:t xml:space="preserve">Luscher, L.S., Lewis, </w:t>
      </w:r>
      <w:r w:rsidRPr="4AF775A2" w:rsidR="335B1F78">
        <w:rPr>
          <w:rFonts w:ascii="Arial" w:hAnsi="Arial" w:eastAsia="Arial" w:cs="Arial"/>
          <w:noProof w:val="0"/>
          <w:sz w:val="22"/>
          <w:szCs w:val="22"/>
          <w:lang w:val="en-GB"/>
        </w:rPr>
        <w:t>M.</w:t>
      </w:r>
      <w:r w:rsidRPr="4AF775A2" w:rsidR="335B1F78">
        <w:rPr>
          <w:rFonts w:ascii="Arial" w:hAnsi="Arial" w:eastAsia="Arial" w:cs="Arial"/>
          <w:noProof w:val="0"/>
          <w:sz w:val="22"/>
          <w:szCs w:val="22"/>
          <w:lang w:val="en-GB"/>
        </w:rPr>
        <w:t xml:space="preserve"> and Ingram, A. (2006) “The social construction of </w:t>
      </w:r>
      <w:r w:rsidRPr="4AF775A2" w:rsidR="4E716085">
        <w:rPr>
          <w:rFonts w:ascii="Arial" w:hAnsi="Arial" w:eastAsia="Arial" w:cs="Arial"/>
          <w:noProof w:val="0"/>
          <w:sz w:val="22"/>
          <w:szCs w:val="22"/>
          <w:lang w:val="en-GB"/>
        </w:rPr>
        <w:t>organisation</w:t>
      </w:r>
      <w:r w:rsidRPr="4AF775A2" w:rsidR="335B1F78">
        <w:rPr>
          <w:rFonts w:ascii="Arial" w:hAnsi="Arial" w:eastAsia="Arial" w:cs="Arial"/>
          <w:noProof w:val="0"/>
          <w:sz w:val="22"/>
          <w:szCs w:val="22"/>
          <w:lang w:val="en-GB"/>
        </w:rPr>
        <w:t xml:space="preserve">al change paradoxes,” </w:t>
      </w:r>
      <w:r w:rsidRPr="4AF775A2" w:rsidR="335B1F78">
        <w:rPr>
          <w:rFonts w:ascii="Arial" w:hAnsi="Arial" w:eastAsia="Arial" w:cs="Arial"/>
          <w:i w:val="1"/>
          <w:iCs w:val="1"/>
          <w:noProof w:val="0"/>
          <w:sz w:val="22"/>
          <w:szCs w:val="22"/>
          <w:lang w:val="en-GB"/>
        </w:rPr>
        <w:t xml:space="preserve">Journal of </w:t>
      </w:r>
      <w:r w:rsidRPr="4AF775A2" w:rsidR="4E716085">
        <w:rPr>
          <w:rFonts w:ascii="Arial" w:hAnsi="Arial" w:eastAsia="Arial" w:cs="Arial"/>
          <w:i w:val="1"/>
          <w:iCs w:val="1"/>
          <w:noProof w:val="0"/>
          <w:sz w:val="22"/>
          <w:szCs w:val="22"/>
          <w:lang w:val="en-GB"/>
        </w:rPr>
        <w:t>organisation</w:t>
      </w:r>
      <w:r w:rsidRPr="4AF775A2" w:rsidR="335B1F78">
        <w:rPr>
          <w:rFonts w:ascii="Arial" w:hAnsi="Arial" w:eastAsia="Arial" w:cs="Arial"/>
          <w:i w:val="1"/>
          <w:iCs w:val="1"/>
          <w:noProof w:val="0"/>
          <w:sz w:val="22"/>
          <w:szCs w:val="22"/>
          <w:lang w:val="en-GB"/>
        </w:rPr>
        <w:t>al change management</w:t>
      </w:r>
      <w:r w:rsidRPr="4AF775A2" w:rsidR="335B1F78">
        <w:rPr>
          <w:rFonts w:ascii="Arial" w:hAnsi="Arial" w:eastAsia="Arial" w:cs="Arial"/>
          <w:noProof w:val="0"/>
          <w:sz w:val="22"/>
          <w:szCs w:val="22"/>
          <w:lang w:val="en-GB"/>
        </w:rPr>
        <w:t xml:space="preserve">. Edited by A. Downs et al., 19(4), pp. 491–502. Available at: </w:t>
      </w:r>
      <w:hyperlink r:id="Rb4da597d551c4409">
        <w:r w:rsidRPr="4AF775A2" w:rsidR="335B1F78">
          <w:rPr>
            <w:rStyle w:val="Hyperlink"/>
            <w:rFonts w:ascii="Arial" w:hAnsi="Arial" w:eastAsia="Arial" w:cs="Arial"/>
            <w:noProof w:val="0"/>
            <w:sz w:val="22"/>
            <w:szCs w:val="22"/>
            <w:lang w:val="en-GB"/>
          </w:rPr>
          <w:t>https://doi.org/10.1108/09534810610676680</w:t>
        </w:r>
      </w:hyperlink>
      <w:r w:rsidRPr="4AF775A2" w:rsidR="335B1F78">
        <w:rPr>
          <w:rFonts w:ascii="Arial" w:hAnsi="Arial" w:eastAsia="Arial" w:cs="Arial"/>
          <w:noProof w:val="0"/>
          <w:sz w:val="22"/>
          <w:szCs w:val="22"/>
          <w:lang w:val="en-GB"/>
        </w:rPr>
        <w:t>.</w:t>
      </w:r>
    </w:p>
    <w:p w:rsidR="243BEF60" w:rsidP="4AF775A2" w:rsidRDefault="243BEF60" w14:paraId="12D9ECEF" w14:textId="28FC31B3">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0C489319" w14:textId="14BEC1DD">
      <w:pPr>
        <w:bidi w:val="0"/>
        <w:spacing w:before="0" w:beforeAutospacing="off" w:after="0" w:afterAutospacing="off"/>
        <w:jc w:val="both"/>
        <w:rPr>
          <w:rFonts w:ascii="Arial" w:hAnsi="Arial" w:eastAsia="Arial" w:cs="Arial"/>
          <w:noProof w:val="0"/>
          <w:sz w:val="22"/>
          <w:szCs w:val="22"/>
          <w:lang w:val="en-GB"/>
        </w:rPr>
      </w:pPr>
      <w:r w:rsidRPr="4AF775A2" w:rsidR="7E3E5A19">
        <w:rPr>
          <w:rFonts w:ascii="Arial" w:hAnsi="Arial" w:eastAsia="Arial" w:cs="Arial"/>
          <w:noProof w:val="0"/>
          <w:sz w:val="22"/>
          <w:szCs w:val="22"/>
          <w:lang w:val="en-GB"/>
        </w:rPr>
        <w:t xml:space="preserve">Lutte, R.K. and Mills, R.W. (2019) “Collaborating to train the next generation of pilots: Exploring partnerships between higher education and the airline industry,” </w:t>
      </w:r>
      <w:r w:rsidRPr="4AF775A2" w:rsidR="7E3E5A19">
        <w:rPr>
          <w:rFonts w:ascii="Arial" w:hAnsi="Arial" w:eastAsia="Arial" w:cs="Arial"/>
          <w:i w:val="1"/>
          <w:iCs w:val="1"/>
          <w:noProof w:val="0"/>
          <w:sz w:val="22"/>
          <w:szCs w:val="22"/>
          <w:lang w:val="en-GB"/>
        </w:rPr>
        <w:t>Industry &amp; higher education</w:t>
      </w:r>
      <w:r w:rsidRPr="4AF775A2" w:rsidR="7E3E5A19">
        <w:rPr>
          <w:rFonts w:ascii="Arial" w:hAnsi="Arial" w:eastAsia="Arial" w:cs="Arial"/>
          <w:noProof w:val="0"/>
          <w:sz w:val="22"/>
          <w:szCs w:val="22"/>
          <w:lang w:val="en-GB"/>
        </w:rPr>
        <w:t xml:space="preserve">, 33(6), pp. 448–458. Available at: </w:t>
      </w:r>
      <w:hyperlink r:id="Rd128a6f1e60043ab">
        <w:r w:rsidRPr="4AF775A2" w:rsidR="7E3E5A19">
          <w:rPr>
            <w:rStyle w:val="Hyperlink"/>
            <w:rFonts w:ascii="Arial" w:hAnsi="Arial" w:eastAsia="Arial" w:cs="Arial"/>
            <w:noProof w:val="0"/>
            <w:sz w:val="22"/>
            <w:szCs w:val="22"/>
            <w:lang w:val="en-GB"/>
          </w:rPr>
          <w:t>https://doi.org/10.1177/0950422219876472</w:t>
        </w:r>
      </w:hyperlink>
      <w:r w:rsidRPr="4AF775A2" w:rsidR="7E3E5A19">
        <w:rPr>
          <w:rFonts w:ascii="Arial" w:hAnsi="Arial" w:eastAsia="Arial" w:cs="Arial"/>
          <w:noProof w:val="0"/>
          <w:sz w:val="22"/>
          <w:szCs w:val="22"/>
          <w:lang w:val="en-GB"/>
        </w:rPr>
        <w:t>.</w:t>
      </w:r>
    </w:p>
    <w:p w:rsidR="243BEF60" w:rsidP="4AF775A2" w:rsidRDefault="243BEF60" w14:paraId="29247B6D" w14:textId="3E97E2F2">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49FFFFC7" w14:textId="5CF733D3">
      <w:pPr>
        <w:bidi w:val="0"/>
        <w:spacing w:before="0" w:beforeAutospacing="off" w:after="0" w:afterAutospacing="off"/>
        <w:jc w:val="both"/>
        <w:rPr>
          <w:rFonts w:ascii="Arial" w:hAnsi="Arial" w:eastAsia="Arial" w:cs="Arial"/>
          <w:noProof w:val="0"/>
          <w:sz w:val="22"/>
          <w:szCs w:val="22"/>
          <w:lang w:val="en-GB"/>
        </w:rPr>
      </w:pPr>
      <w:r w:rsidRPr="4AF775A2" w:rsidR="7E3E5A19">
        <w:rPr>
          <w:rFonts w:ascii="Arial" w:hAnsi="Arial" w:eastAsia="Arial" w:cs="Arial"/>
          <w:noProof w:val="0"/>
          <w:sz w:val="22"/>
          <w:szCs w:val="22"/>
          <w:lang w:val="en-GB"/>
        </w:rPr>
        <w:t xml:space="preserve">Mabaso, C. (2026) “Pay transparency and fairness perceptions in South African organisations: A qualitative study of employee attraction and retention,” </w:t>
      </w:r>
      <w:r w:rsidRPr="4AF775A2" w:rsidR="7E3E5A19">
        <w:rPr>
          <w:rFonts w:ascii="Arial" w:hAnsi="Arial" w:eastAsia="Arial" w:cs="Arial"/>
          <w:i w:val="1"/>
          <w:iCs w:val="1"/>
          <w:noProof w:val="0"/>
          <w:sz w:val="22"/>
          <w:szCs w:val="22"/>
          <w:lang w:val="en-GB"/>
        </w:rPr>
        <w:t>SA Journal of Industrial Psychology</w:t>
      </w:r>
      <w:r w:rsidRPr="4AF775A2" w:rsidR="7E3E5A19">
        <w:rPr>
          <w:rFonts w:ascii="Arial" w:hAnsi="Arial" w:eastAsia="Arial" w:cs="Arial"/>
          <w:noProof w:val="0"/>
          <w:sz w:val="22"/>
          <w:szCs w:val="22"/>
          <w:lang w:val="en-GB"/>
        </w:rPr>
        <w:t xml:space="preserve">, 52(4), pp. e1–e10. Available at: </w:t>
      </w:r>
      <w:hyperlink r:id="R968a1dcd9014485b">
        <w:r w:rsidRPr="4AF775A2" w:rsidR="7E3E5A19">
          <w:rPr>
            <w:rStyle w:val="Hyperlink"/>
            <w:rFonts w:ascii="Arial" w:hAnsi="Arial" w:eastAsia="Arial" w:cs="Arial"/>
            <w:noProof w:val="0"/>
            <w:sz w:val="22"/>
            <w:szCs w:val="22"/>
            <w:lang w:val="en-GB"/>
          </w:rPr>
          <w:t>https://doi.org/10.4102/SAJIP.v52i0.2409</w:t>
        </w:r>
      </w:hyperlink>
      <w:r w:rsidRPr="4AF775A2" w:rsidR="7E3E5A19">
        <w:rPr>
          <w:rFonts w:ascii="Arial" w:hAnsi="Arial" w:eastAsia="Arial" w:cs="Arial"/>
          <w:noProof w:val="0"/>
          <w:sz w:val="22"/>
          <w:szCs w:val="22"/>
          <w:lang w:val="en-GB"/>
        </w:rPr>
        <w:t>.</w:t>
      </w:r>
    </w:p>
    <w:p w:rsidR="243BEF60" w:rsidP="4AF775A2" w:rsidRDefault="243BEF60" w14:paraId="4BA30F49" w14:textId="292A54D5">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0B6DED56" w14:textId="14948F24">
      <w:pPr>
        <w:bidi w:val="0"/>
        <w:spacing w:before="0" w:beforeAutospacing="off" w:after="0" w:afterAutospacing="off"/>
        <w:jc w:val="both"/>
        <w:rPr>
          <w:rFonts w:ascii="Arial" w:hAnsi="Arial" w:eastAsia="Arial" w:cs="Arial"/>
          <w:noProof w:val="0"/>
          <w:sz w:val="22"/>
          <w:szCs w:val="22"/>
          <w:lang w:val="en-GB"/>
        </w:rPr>
      </w:pPr>
      <w:r w:rsidRPr="4AF775A2" w:rsidR="54836460">
        <w:rPr>
          <w:rFonts w:ascii="Arial" w:hAnsi="Arial" w:eastAsia="Arial" w:cs="Arial"/>
          <w:noProof w:val="0"/>
          <w:sz w:val="22"/>
          <w:szCs w:val="22"/>
          <w:lang w:val="en-GB"/>
        </w:rPr>
        <w:t xml:space="preserve">Majowska, M. and Austen, A. (2019) “Human Resources Management Effectiveness from a Multilevel Perspective,” </w:t>
      </w:r>
      <w:r w:rsidRPr="4AF775A2" w:rsidR="54836460">
        <w:rPr>
          <w:rFonts w:ascii="Arial" w:hAnsi="Arial" w:eastAsia="Arial" w:cs="Arial"/>
          <w:i w:val="1"/>
          <w:iCs w:val="1"/>
          <w:noProof w:val="0"/>
          <w:sz w:val="22"/>
          <w:szCs w:val="22"/>
          <w:lang w:val="en-GB"/>
        </w:rPr>
        <w:t>International Journal of Contemporary Management</w:t>
      </w:r>
      <w:r w:rsidRPr="4AF775A2" w:rsidR="54836460">
        <w:rPr>
          <w:rFonts w:ascii="Arial" w:hAnsi="Arial" w:eastAsia="Arial" w:cs="Arial"/>
          <w:noProof w:val="0"/>
          <w:sz w:val="22"/>
          <w:szCs w:val="22"/>
          <w:lang w:val="en-GB"/>
        </w:rPr>
        <w:t xml:space="preserve">, 18(4), pp. 7–31. Available at: </w:t>
      </w:r>
      <w:hyperlink r:id="R37ba7dd143fa4dbb">
        <w:r w:rsidRPr="4AF775A2" w:rsidR="54836460">
          <w:rPr>
            <w:rStyle w:val="Hyperlink"/>
            <w:rFonts w:ascii="Arial" w:hAnsi="Arial" w:eastAsia="Arial" w:cs="Arial"/>
            <w:noProof w:val="0"/>
            <w:sz w:val="22"/>
            <w:szCs w:val="22"/>
            <w:lang w:val="en-GB"/>
          </w:rPr>
          <w:t>https://doi.org/10.4467/24498939IJCM.19.013.11756</w:t>
        </w:r>
      </w:hyperlink>
      <w:r w:rsidRPr="4AF775A2" w:rsidR="54836460">
        <w:rPr>
          <w:rFonts w:ascii="Arial" w:hAnsi="Arial" w:eastAsia="Arial" w:cs="Arial"/>
          <w:noProof w:val="0"/>
          <w:sz w:val="22"/>
          <w:szCs w:val="22"/>
          <w:lang w:val="en-GB"/>
        </w:rPr>
        <w:t>.</w:t>
      </w:r>
    </w:p>
    <w:p w:rsidR="243BEF60" w:rsidP="4AF775A2" w:rsidRDefault="243BEF60" w14:paraId="5E7A94AA" w14:textId="3A25FA2B">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78DC115C" w14:textId="1A362119">
      <w:pPr>
        <w:bidi w:val="0"/>
        <w:spacing w:before="0" w:beforeAutospacing="off" w:after="0" w:afterAutospacing="off" w:line="360" w:lineRule="auto"/>
        <w:jc w:val="both"/>
        <w:rPr>
          <w:rFonts w:ascii="Arial" w:hAnsi="Arial" w:eastAsia="Arial" w:cs="Arial"/>
          <w:noProof w:val="0"/>
          <w:sz w:val="22"/>
          <w:szCs w:val="22"/>
          <w:lang w:val="en-GB"/>
        </w:rPr>
      </w:pPr>
      <w:r w:rsidRPr="4AF775A2" w:rsidR="4CB55D82">
        <w:rPr>
          <w:rFonts w:ascii="Arial" w:hAnsi="Arial" w:eastAsia="Arial" w:cs="Arial"/>
          <w:noProof w:val="0"/>
          <w:sz w:val="22"/>
          <w:szCs w:val="22"/>
          <w:lang w:val="en-GB"/>
        </w:rPr>
        <w:t xml:space="preserve">Mason, W.A. </w:t>
      </w:r>
      <w:r w:rsidRPr="4AF775A2" w:rsidR="4CB55D82">
        <w:rPr>
          <w:rFonts w:ascii="Arial" w:hAnsi="Arial" w:eastAsia="Arial" w:cs="Arial"/>
          <w:i w:val="1"/>
          <w:iCs w:val="1"/>
          <w:noProof w:val="0"/>
          <w:sz w:val="22"/>
          <w:szCs w:val="22"/>
          <w:lang w:val="en-GB"/>
        </w:rPr>
        <w:t>et al.</w:t>
      </w:r>
      <w:r w:rsidRPr="4AF775A2" w:rsidR="4CB55D82">
        <w:rPr>
          <w:rFonts w:ascii="Arial" w:hAnsi="Arial" w:eastAsia="Arial" w:cs="Arial"/>
          <w:noProof w:val="0"/>
          <w:sz w:val="22"/>
          <w:szCs w:val="22"/>
          <w:lang w:val="en-GB"/>
        </w:rPr>
        <w:t xml:space="preserve"> (2018) “Challenges Facing Evidence-Based Prevention: Incorporating an Abductive Theory of Method,” </w:t>
      </w:r>
      <w:r w:rsidRPr="4AF775A2" w:rsidR="4CB55D82">
        <w:rPr>
          <w:rFonts w:ascii="Arial" w:hAnsi="Arial" w:eastAsia="Arial" w:cs="Arial"/>
          <w:i w:val="1"/>
          <w:iCs w:val="1"/>
          <w:noProof w:val="0"/>
          <w:sz w:val="22"/>
          <w:szCs w:val="22"/>
          <w:lang w:val="en-GB"/>
        </w:rPr>
        <w:t>Evaluation &amp; the health professions</w:t>
      </w:r>
      <w:r w:rsidRPr="4AF775A2" w:rsidR="4CB55D82">
        <w:rPr>
          <w:rFonts w:ascii="Arial" w:hAnsi="Arial" w:eastAsia="Arial" w:cs="Arial"/>
          <w:noProof w:val="0"/>
          <w:sz w:val="22"/>
          <w:szCs w:val="22"/>
          <w:lang w:val="en-GB"/>
        </w:rPr>
        <w:t xml:space="preserve">, 41(2), pp. 155–182. Available at: </w:t>
      </w:r>
      <w:hyperlink r:id="Rbb63a68801a94ed1">
        <w:r w:rsidRPr="4AF775A2" w:rsidR="4CB55D82">
          <w:rPr>
            <w:rStyle w:val="Hyperlink"/>
            <w:rFonts w:ascii="Arial" w:hAnsi="Arial" w:eastAsia="Arial" w:cs="Arial"/>
            <w:noProof w:val="0"/>
            <w:sz w:val="22"/>
            <w:szCs w:val="22"/>
            <w:lang w:val="en-GB"/>
          </w:rPr>
          <w:t>https://doi.org/10.1177/0163278718772879</w:t>
        </w:r>
      </w:hyperlink>
      <w:r w:rsidRPr="4AF775A2" w:rsidR="4CB55D82">
        <w:rPr>
          <w:rFonts w:ascii="Arial" w:hAnsi="Arial" w:eastAsia="Arial" w:cs="Arial"/>
          <w:noProof w:val="0"/>
          <w:sz w:val="22"/>
          <w:szCs w:val="22"/>
          <w:lang w:val="en-GB"/>
        </w:rPr>
        <w:t>.</w:t>
      </w:r>
    </w:p>
    <w:p w:rsidR="243BEF60" w:rsidP="4AF775A2" w:rsidRDefault="243BEF60" w14:paraId="4C82235D" w14:textId="243B3D2A">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78809BF2" w14:textId="6354D93C">
      <w:pPr>
        <w:bidi w:val="0"/>
        <w:spacing w:before="0" w:beforeAutospacing="off" w:after="0" w:afterAutospacing="off"/>
        <w:jc w:val="both"/>
        <w:rPr>
          <w:rFonts w:ascii="Arial" w:hAnsi="Arial" w:eastAsia="Arial" w:cs="Arial"/>
          <w:noProof w:val="0"/>
          <w:sz w:val="22"/>
          <w:szCs w:val="22"/>
          <w:lang w:val="en-GB"/>
        </w:rPr>
      </w:pPr>
      <w:r w:rsidRPr="4AF775A2" w:rsidR="4913CB5D">
        <w:rPr>
          <w:rFonts w:ascii="Arial" w:hAnsi="Arial" w:eastAsia="Arial" w:cs="Arial"/>
          <w:noProof w:val="0"/>
          <w:sz w:val="22"/>
          <w:szCs w:val="22"/>
          <w:lang w:val="en-GB"/>
        </w:rPr>
        <w:t xml:space="preserve">Maxwell, G.A. and Grant, K. (2021) “Commercial airline pilots’ declining professional standing and increasing precarious employment,” </w:t>
      </w:r>
      <w:r w:rsidRPr="4AF775A2" w:rsidR="4913CB5D">
        <w:rPr>
          <w:rFonts w:ascii="Arial" w:hAnsi="Arial" w:eastAsia="Arial" w:cs="Arial"/>
          <w:i w:val="1"/>
          <w:iCs w:val="1"/>
          <w:noProof w:val="0"/>
          <w:sz w:val="22"/>
          <w:szCs w:val="22"/>
          <w:lang w:val="en-GB"/>
        </w:rPr>
        <w:t>International journal of human resource management</w:t>
      </w:r>
      <w:r w:rsidRPr="4AF775A2" w:rsidR="4913CB5D">
        <w:rPr>
          <w:rFonts w:ascii="Arial" w:hAnsi="Arial" w:eastAsia="Arial" w:cs="Arial"/>
          <w:noProof w:val="0"/>
          <w:sz w:val="22"/>
          <w:szCs w:val="22"/>
          <w:lang w:val="en-GB"/>
        </w:rPr>
        <w:t xml:space="preserve">, 32(7), pp. 1486–1508. Available at: </w:t>
      </w:r>
      <w:hyperlink r:id="R3956e11c4b1c47ab">
        <w:r w:rsidRPr="4AF775A2" w:rsidR="4913CB5D">
          <w:rPr>
            <w:rStyle w:val="Hyperlink"/>
            <w:rFonts w:ascii="Arial" w:hAnsi="Arial" w:eastAsia="Arial" w:cs="Arial"/>
            <w:noProof w:val="0"/>
            <w:sz w:val="22"/>
            <w:szCs w:val="22"/>
            <w:lang w:val="en-GB"/>
          </w:rPr>
          <w:t>https://doi.org/10.1080/09585192.2018.1528473</w:t>
        </w:r>
      </w:hyperlink>
      <w:r w:rsidRPr="4AF775A2" w:rsidR="4913CB5D">
        <w:rPr>
          <w:rFonts w:ascii="Arial" w:hAnsi="Arial" w:eastAsia="Arial" w:cs="Arial"/>
          <w:noProof w:val="0"/>
          <w:sz w:val="22"/>
          <w:szCs w:val="22"/>
          <w:lang w:val="en-GB"/>
        </w:rPr>
        <w:t>.</w:t>
      </w:r>
    </w:p>
    <w:p w:rsidR="243BEF60" w:rsidP="4AF775A2" w:rsidRDefault="243BEF60" w14:paraId="7D8F7171" w14:textId="216FF4C7">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02CEAB41" w14:textId="4DA80122">
      <w:pPr>
        <w:bidi w:val="0"/>
        <w:spacing w:before="0" w:beforeAutospacing="off" w:after="0" w:afterAutospacing="off"/>
        <w:jc w:val="both"/>
        <w:rPr>
          <w:rFonts w:ascii="Arial" w:hAnsi="Arial" w:eastAsia="Arial" w:cs="Arial"/>
          <w:noProof w:val="0"/>
          <w:sz w:val="22"/>
          <w:szCs w:val="22"/>
          <w:lang w:val="en-GB"/>
        </w:rPr>
      </w:pPr>
      <w:r w:rsidRPr="4AF775A2" w:rsidR="58075829">
        <w:rPr>
          <w:rFonts w:ascii="Arial" w:hAnsi="Arial" w:eastAsia="Arial" w:cs="Arial"/>
          <w:noProof w:val="0"/>
          <w:sz w:val="22"/>
          <w:szCs w:val="22"/>
          <w:lang w:val="en-GB"/>
        </w:rPr>
        <w:t xml:space="preserve">Melo, P., Machado, C. and Brewster, C. (2023) “Human resource management in small and medium-sized enterprises: A performance model definition,” </w:t>
      </w:r>
      <w:r w:rsidRPr="4AF775A2" w:rsidR="58075829">
        <w:rPr>
          <w:rFonts w:ascii="Arial" w:hAnsi="Arial" w:eastAsia="Arial" w:cs="Arial"/>
          <w:i w:val="1"/>
          <w:iCs w:val="1"/>
          <w:noProof w:val="0"/>
          <w:sz w:val="22"/>
          <w:szCs w:val="22"/>
          <w:lang w:val="en-GB"/>
        </w:rPr>
        <w:t>Strategic management (Online)</w:t>
      </w:r>
      <w:r w:rsidRPr="4AF775A2" w:rsidR="58075829">
        <w:rPr>
          <w:rFonts w:ascii="Arial" w:hAnsi="Arial" w:eastAsia="Arial" w:cs="Arial"/>
          <w:noProof w:val="0"/>
          <w:sz w:val="22"/>
          <w:szCs w:val="22"/>
          <w:lang w:val="en-GB"/>
        </w:rPr>
        <w:t xml:space="preserve">, 28(2), pp. 4–20. Available at: </w:t>
      </w:r>
      <w:hyperlink r:id="R84f1d46df4c04f23">
        <w:r w:rsidRPr="4AF775A2" w:rsidR="58075829">
          <w:rPr>
            <w:rStyle w:val="Hyperlink"/>
            <w:rFonts w:ascii="Arial" w:hAnsi="Arial" w:eastAsia="Arial" w:cs="Arial"/>
            <w:noProof w:val="0"/>
            <w:sz w:val="22"/>
            <w:szCs w:val="22"/>
            <w:lang w:val="en-GB"/>
          </w:rPr>
          <w:t>https://doi.org/10.5937/StraMan2200024N</w:t>
        </w:r>
      </w:hyperlink>
      <w:r w:rsidRPr="4AF775A2" w:rsidR="58075829">
        <w:rPr>
          <w:rFonts w:ascii="Arial" w:hAnsi="Arial" w:eastAsia="Arial" w:cs="Arial"/>
          <w:noProof w:val="0"/>
          <w:sz w:val="22"/>
          <w:szCs w:val="22"/>
          <w:lang w:val="en-GB"/>
        </w:rPr>
        <w:t>.</w:t>
      </w:r>
    </w:p>
    <w:p w:rsidR="243BEF60" w:rsidP="4AF775A2" w:rsidRDefault="243BEF60" w14:paraId="2569B1B9" w14:textId="6B244359">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23A43219" w14:textId="754411FF">
      <w:pPr>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 xml:space="preserve">Memon, M.A. </w:t>
      </w:r>
      <w:r w:rsidRPr="4AF775A2" w:rsidR="5B94CD6B">
        <w:rPr>
          <w:rFonts w:ascii="Arial" w:hAnsi="Arial" w:eastAsia="Arial" w:cs="Arial"/>
          <w:i w:val="1"/>
          <w:iCs w:val="1"/>
          <w:noProof w:val="0"/>
          <w:sz w:val="22"/>
          <w:szCs w:val="22"/>
          <w:lang w:val="en-GB"/>
        </w:rPr>
        <w:t>et al.</w:t>
      </w:r>
      <w:r w:rsidRPr="4AF775A2" w:rsidR="5B94CD6B">
        <w:rPr>
          <w:rFonts w:ascii="Arial" w:hAnsi="Arial" w:eastAsia="Arial" w:cs="Arial"/>
          <w:noProof w:val="0"/>
          <w:sz w:val="22"/>
          <w:szCs w:val="22"/>
          <w:lang w:val="en-GB"/>
        </w:rPr>
        <w:t xml:space="preserve"> (2021) “Satisfaction matters: the relationships between HRM practices, work engagement and turnover intention,” </w:t>
      </w:r>
      <w:r w:rsidRPr="4AF775A2" w:rsidR="5B94CD6B">
        <w:rPr>
          <w:rFonts w:ascii="Arial" w:hAnsi="Arial" w:eastAsia="Arial" w:cs="Arial"/>
          <w:i w:val="1"/>
          <w:iCs w:val="1"/>
          <w:noProof w:val="0"/>
          <w:sz w:val="22"/>
          <w:szCs w:val="22"/>
          <w:lang w:val="en-GB"/>
        </w:rPr>
        <w:t>International journal of manpower</w:t>
      </w:r>
      <w:r w:rsidRPr="4AF775A2" w:rsidR="5B94CD6B">
        <w:rPr>
          <w:rFonts w:ascii="Arial" w:hAnsi="Arial" w:eastAsia="Arial" w:cs="Arial"/>
          <w:noProof w:val="0"/>
          <w:sz w:val="22"/>
          <w:szCs w:val="22"/>
          <w:lang w:val="en-GB"/>
        </w:rPr>
        <w:t xml:space="preserve">, 42(1), pp. 21–50. Available at: </w:t>
      </w:r>
      <w:hyperlink r:id="R1ec5e9cbf9054b67">
        <w:r w:rsidRPr="4AF775A2" w:rsidR="5B94CD6B">
          <w:rPr>
            <w:rStyle w:val="Hyperlink"/>
            <w:rFonts w:ascii="Arial" w:hAnsi="Arial" w:eastAsia="Arial" w:cs="Arial"/>
            <w:noProof w:val="0"/>
            <w:sz w:val="22"/>
            <w:szCs w:val="22"/>
            <w:lang w:val="en-GB"/>
          </w:rPr>
          <w:t>https://doi.org/10.1108/IJM-04-2018-0127</w:t>
        </w:r>
      </w:hyperlink>
      <w:r w:rsidRPr="4AF775A2" w:rsidR="5B94CD6B">
        <w:rPr>
          <w:rFonts w:ascii="Arial" w:hAnsi="Arial" w:eastAsia="Arial" w:cs="Arial"/>
          <w:noProof w:val="0"/>
          <w:sz w:val="22"/>
          <w:szCs w:val="22"/>
          <w:lang w:val="en-GB"/>
        </w:rPr>
        <w:t>.</w:t>
      </w:r>
    </w:p>
    <w:p w:rsidR="243BEF60" w:rsidP="4AF775A2" w:rsidRDefault="243BEF60" w14:paraId="0073AFC2" w14:textId="5814B951">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53CFF59A" w14:textId="4F755C79">
      <w:pPr>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 xml:space="preserve">Muhr, S.L., Holck, L. and Just, S.N. (2022) “Ambiguous culture in Greenland police: Proposing a multi‐dimensional framework of </w:t>
      </w:r>
      <w:r w:rsidRPr="4AF775A2" w:rsidR="4E716085">
        <w:rPr>
          <w:rFonts w:ascii="Arial" w:hAnsi="Arial" w:eastAsia="Arial" w:cs="Arial"/>
          <w:noProof w:val="0"/>
          <w:sz w:val="22"/>
          <w:szCs w:val="22"/>
          <w:lang w:val="en-GB"/>
        </w:rPr>
        <w:t>organisation</w:t>
      </w:r>
      <w:r w:rsidRPr="4AF775A2" w:rsidR="5B94CD6B">
        <w:rPr>
          <w:rFonts w:ascii="Arial" w:hAnsi="Arial" w:eastAsia="Arial" w:cs="Arial"/>
          <w:noProof w:val="0"/>
          <w:sz w:val="22"/>
          <w:szCs w:val="22"/>
          <w:lang w:val="en-GB"/>
        </w:rPr>
        <w:t xml:space="preserve">al culture for Human Resource Management theory and practice,” </w:t>
      </w:r>
      <w:r w:rsidRPr="4AF775A2" w:rsidR="5B94CD6B">
        <w:rPr>
          <w:rFonts w:ascii="Arial" w:hAnsi="Arial" w:eastAsia="Arial" w:cs="Arial"/>
          <w:i w:val="1"/>
          <w:iCs w:val="1"/>
          <w:noProof w:val="0"/>
          <w:sz w:val="22"/>
          <w:szCs w:val="22"/>
          <w:lang w:val="en-GB"/>
        </w:rPr>
        <w:t>Human resource management journal</w:t>
      </w:r>
      <w:r w:rsidRPr="4AF775A2" w:rsidR="5B94CD6B">
        <w:rPr>
          <w:rFonts w:ascii="Arial" w:hAnsi="Arial" w:eastAsia="Arial" w:cs="Arial"/>
          <w:noProof w:val="0"/>
          <w:sz w:val="22"/>
          <w:szCs w:val="22"/>
          <w:lang w:val="en-GB"/>
        </w:rPr>
        <w:t xml:space="preserve">, 32(4), pp. 826–843. Available at: </w:t>
      </w:r>
      <w:hyperlink r:id="Rbaa4cc651e6d4ac8">
        <w:r w:rsidRPr="4AF775A2" w:rsidR="5B94CD6B">
          <w:rPr>
            <w:rStyle w:val="Hyperlink"/>
            <w:rFonts w:ascii="Arial" w:hAnsi="Arial" w:eastAsia="Arial" w:cs="Arial"/>
            <w:noProof w:val="0"/>
            <w:sz w:val="22"/>
            <w:szCs w:val="22"/>
            <w:lang w:val="en-GB"/>
          </w:rPr>
          <w:t>https://doi.org/10.1111/1748-8583.12472</w:t>
        </w:r>
      </w:hyperlink>
      <w:r w:rsidRPr="4AF775A2" w:rsidR="5B94CD6B">
        <w:rPr>
          <w:rFonts w:ascii="Arial" w:hAnsi="Arial" w:eastAsia="Arial" w:cs="Arial"/>
          <w:noProof w:val="0"/>
          <w:sz w:val="22"/>
          <w:szCs w:val="22"/>
          <w:lang w:val="en-GB"/>
        </w:rPr>
        <w:t>.</w:t>
      </w:r>
    </w:p>
    <w:p w:rsidR="243BEF60" w:rsidP="4AF775A2" w:rsidRDefault="243BEF60" w14:paraId="3352BD95" w14:textId="052185EB">
      <w:pPr>
        <w:bidi w:val="0"/>
        <w:spacing w:before="0" w:beforeAutospacing="off" w:after="0" w:afterAutospacing="off"/>
        <w:jc w:val="both"/>
        <w:rPr>
          <w:rFonts w:ascii="Arial" w:hAnsi="Arial" w:eastAsia="Arial" w:cs="Arial"/>
          <w:noProof w:val="0"/>
          <w:sz w:val="22"/>
          <w:szCs w:val="22"/>
          <w:lang w:val="en-GB"/>
        </w:rPr>
      </w:pPr>
    </w:p>
    <w:p w:rsidR="243BEF60" w:rsidP="4AF775A2" w:rsidRDefault="243BEF60" w14:paraId="1758A2C9" w14:textId="1DC1FFFE">
      <w:pPr>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Ndayirata</w:t>
      </w:r>
      <w:r w:rsidRPr="4AF775A2" w:rsidR="5B94CD6B">
        <w:rPr>
          <w:rFonts w:ascii="Arial" w:hAnsi="Arial" w:eastAsia="Arial" w:cs="Arial"/>
          <w:noProof w:val="0"/>
          <w:sz w:val="22"/>
          <w:szCs w:val="22"/>
          <w:lang w:val="en-GB"/>
        </w:rPr>
        <w:t xml:space="preserve">, S. </w:t>
      </w:r>
      <w:r w:rsidRPr="4AF775A2" w:rsidR="5B94CD6B">
        <w:rPr>
          <w:rFonts w:ascii="Arial" w:hAnsi="Arial" w:eastAsia="Arial" w:cs="Arial"/>
          <w:i w:val="1"/>
          <w:iCs w:val="1"/>
          <w:noProof w:val="0"/>
          <w:sz w:val="22"/>
          <w:szCs w:val="22"/>
          <w:lang w:val="en-GB"/>
        </w:rPr>
        <w:t>et al.</w:t>
      </w:r>
      <w:r w:rsidRPr="4AF775A2" w:rsidR="5B94CD6B">
        <w:rPr>
          <w:rFonts w:ascii="Arial" w:hAnsi="Arial" w:eastAsia="Arial" w:cs="Arial"/>
          <w:noProof w:val="0"/>
          <w:sz w:val="22"/>
          <w:szCs w:val="22"/>
          <w:lang w:val="en-GB"/>
        </w:rPr>
        <w:t xml:space="preserve"> (2025) “The mediating role of affective commitment in the relationship between HRM practices, satisfaction with work equipment, and turnover intentions,” </w:t>
      </w:r>
      <w:r w:rsidRPr="4AF775A2" w:rsidR="5B94CD6B">
        <w:rPr>
          <w:rFonts w:ascii="Arial" w:hAnsi="Arial" w:eastAsia="Arial" w:cs="Arial"/>
          <w:i w:val="1"/>
          <w:iCs w:val="1"/>
          <w:noProof w:val="0"/>
          <w:sz w:val="22"/>
          <w:szCs w:val="22"/>
          <w:lang w:val="en-GB"/>
        </w:rPr>
        <w:t xml:space="preserve">International studies of management &amp; </w:t>
      </w:r>
      <w:r w:rsidRPr="4AF775A2" w:rsidR="4E716085">
        <w:rPr>
          <w:rFonts w:ascii="Arial" w:hAnsi="Arial" w:eastAsia="Arial" w:cs="Arial"/>
          <w:i w:val="1"/>
          <w:iCs w:val="1"/>
          <w:noProof w:val="0"/>
          <w:sz w:val="22"/>
          <w:szCs w:val="22"/>
          <w:lang w:val="en-GB"/>
        </w:rPr>
        <w:t>organisation</w:t>
      </w:r>
      <w:r w:rsidRPr="4AF775A2" w:rsidR="5B94CD6B">
        <w:rPr>
          <w:rFonts w:ascii="Arial" w:hAnsi="Arial" w:eastAsia="Arial" w:cs="Arial"/>
          <w:noProof w:val="0"/>
          <w:sz w:val="22"/>
          <w:szCs w:val="22"/>
          <w:lang w:val="en-GB"/>
        </w:rPr>
        <w:t xml:space="preserve">, pp. 1–19. Available at: </w:t>
      </w:r>
      <w:hyperlink r:id="R9a87a74336ab42af">
        <w:r w:rsidRPr="4AF775A2" w:rsidR="5B94CD6B">
          <w:rPr>
            <w:rStyle w:val="Hyperlink"/>
            <w:rFonts w:ascii="Arial" w:hAnsi="Arial" w:eastAsia="Arial" w:cs="Arial"/>
            <w:noProof w:val="0"/>
            <w:sz w:val="22"/>
            <w:szCs w:val="22"/>
            <w:lang w:val="en-GB"/>
          </w:rPr>
          <w:t>https://doi.org/10.1080/00208825.2025.2554006</w:t>
        </w:r>
      </w:hyperlink>
      <w:r w:rsidRPr="4AF775A2" w:rsidR="5B94CD6B">
        <w:rPr>
          <w:rFonts w:ascii="Arial" w:hAnsi="Arial" w:eastAsia="Arial" w:cs="Arial"/>
          <w:noProof w:val="0"/>
          <w:sz w:val="22"/>
          <w:szCs w:val="22"/>
          <w:lang w:val="en-GB"/>
        </w:rPr>
        <w:t>.</w:t>
      </w:r>
    </w:p>
    <w:p w:rsidR="243BEF60" w:rsidP="4AF775A2" w:rsidRDefault="243BEF60" w14:paraId="65C6C1F2" w14:textId="31AF0552">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1CE443EC" w14:textId="780C56F9">
      <w:pPr>
        <w:pStyle w:val="Normal"/>
        <w:bidi w:val="0"/>
        <w:spacing w:before="0" w:beforeAutospacing="off" w:after="0" w:afterAutospacing="off"/>
        <w:jc w:val="both"/>
        <w:rPr>
          <w:rFonts w:ascii="Arial" w:hAnsi="Arial" w:eastAsia="Arial" w:cs="Arial"/>
          <w:noProof w:val="0"/>
          <w:sz w:val="22"/>
          <w:szCs w:val="22"/>
          <w:lang w:val="en-GB"/>
        </w:rPr>
      </w:pPr>
      <w:r w:rsidRPr="4AF775A2" w:rsidR="2F65602E">
        <w:rPr>
          <w:rFonts w:ascii="Arial" w:hAnsi="Arial" w:eastAsia="Arial" w:cs="Arial"/>
          <w:noProof w:val="0"/>
          <w:sz w:val="22"/>
          <w:szCs w:val="22"/>
          <w:lang w:val="en-GB"/>
        </w:rPr>
        <w:t xml:space="preserve">Nnditsheni, M. (no date) THE RELATIONSHIP BETWEEN JOB SATISFACTION AND EMPLOYEE RETENTION IN THE AVIATION INDUSTRY OF SOUTH AFRICA. Available at: </w:t>
      </w:r>
      <w:hyperlink r:id="R68b9599e692945b1">
        <w:r w:rsidRPr="4AF775A2" w:rsidR="2F65602E">
          <w:rPr>
            <w:rStyle w:val="Hyperlink"/>
            <w:rFonts w:ascii="Arial" w:hAnsi="Arial" w:eastAsia="Arial" w:cs="Arial"/>
            <w:noProof w:val="0"/>
            <w:sz w:val="22"/>
            <w:szCs w:val="22"/>
            <w:lang w:val="en-GB"/>
          </w:rPr>
          <w:t>https://internationalbusinessconference.com/wp-content/uploads/2024/10/CP149-Muofhe-Relationship-between-job-satisfaction-final-corrected.pdf</w:t>
        </w:r>
      </w:hyperlink>
      <w:r w:rsidRPr="4AF775A2" w:rsidR="2F65602E">
        <w:rPr>
          <w:rFonts w:ascii="Arial" w:hAnsi="Arial" w:eastAsia="Arial" w:cs="Arial"/>
          <w:noProof w:val="0"/>
          <w:sz w:val="22"/>
          <w:szCs w:val="22"/>
          <w:lang w:val="en-GB"/>
        </w:rPr>
        <w:t>.</w:t>
      </w:r>
    </w:p>
    <w:p w:rsidR="243BEF60" w:rsidP="4AF775A2" w:rsidRDefault="243BEF60" w14:paraId="0C9E6430" w14:textId="6A711AD8">
      <w:pPr>
        <w:pStyle w:val="Normal"/>
        <w:bidi w:val="0"/>
        <w:spacing w:before="0" w:beforeAutospacing="off" w:after="0" w:afterAutospacing="off"/>
        <w:jc w:val="both"/>
        <w:rPr>
          <w:rFonts w:ascii="Arial" w:hAnsi="Arial" w:eastAsia="Arial" w:cs="Arial"/>
          <w:noProof w:val="0"/>
          <w:sz w:val="22"/>
          <w:szCs w:val="22"/>
          <w:lang w:val="en-GB"/>
        </w:rPr>
      </w:pPr>
    </w:p>
    <w:p w:rsidR="243BEF60" w:rsidP="4AF775A2" w:rsidRDefault="243BEF60" w14:paraId="77FDEA30" w14:textId="7FF09A2B">
      <w:pPr>
        <w:pStyle w:val="Normal"/>
        <w:bidi w:val="0"/>
        <w:spacing w:before="0" w:beforeAutospacing="off" w:after="0" w:afterAutospacing="off"/>
        <w:jc w:val="both"/>
        <w:rPr>
          <w:rFonts w:ascii="Arial" w:hAnsi="Arial" w:eastAsia="Arial" w:cs="Arial"/>
          <w:noProof w:val="0"/>
          <w:sz w:val="22"/>
          <w:szCs w:val="22"/>
          <w:lang w:val="en-GB"/>
        </w:rPr>
      </w:pPr>
      <w:r w:rsidRPr="4AF775A2" w:rsidR="6C7DC64F">
        <w:rPr>
          <w:rFonts w:ascii="Arial" w:hAnsi="Arial" w:eastAsia="Arial" w:cs="Arial"/>
          <w:noProof w:val="0"/>
          <w:sz w:val="22"/>
          <w:szCs w:val="22"/>
          <w:lang w:val="en-GB"/>
        </w:rPr>
        <w:t>Odom, G. and Hyams-</w:t>
      </w:r>
      <w:r w:rsidRPr="4AF775A2" w:rsidR="6C7DC64F">
        <w:rPr>
          <w:rFonts w:ascii="Arial" w:hAnsi="Arial" w:eastAsia="Arial" w:cs="Arial"/>
          <w:noProof w:val="0"/>
          <w:sz w:val="22"/>
          <w:szCs w:val="22"/>
          <w:lang w:val="en-GB"/>
        </w:rPr>
        <w:t>Ssekasi</w:t>
      </w:r>
      <w:r w:rsidRPr="4AF775A2" w:rsidR="6C7DC64F">
        <w:rPr>
          <w:rFonts w:ascii="Arial" w:hAnsi="Arial" w:eastAsia="Arial" w:cs="Arial"/>
          <w:noProof w:val="0"/>
          <w:sz w:val="22"/>
          <w:szCs w:val="22"/>
          <w:lang w:val="en-GB"/>
        </w:rPr>
        <w:t>, D., (2023) An exploration of the implications of human resources analytics for workforce planning. Future of Business Administration, 1(2), pp.30-42.</w:t>
      </w:r>
    </w:p>
    <w:p w:rsidR="243BEF60" w:rsidP="4AF775A2" w:rsidRDefault="243BEF60" w14:paraId="4F213D49" w14:textId="6A84B597">
      <w:pPr>
        <w:pStyle w:val="Normal"/>
        <w:bidi w:val="0"/>
        <w:spacing w:before="0" w:beforeAutospacing="off" w:after="0" w:afterAutospacing="off"/>
        <w:jc w:val="both"/>
        <w:rPr>
          <w:rFonts w:ascii="Arial" w:hAnsi="Arial" w:eastAsia="Arial" w:cs="Arial"/>
          <w:noProof w:val="0"/>
          <w:sz w:val="22"/>
          <w:szCs w:val="22"/>
          <w:lang w:val="en-GB"/>
        </w:rPr>
      </w:pPr>
    </w:p>
    <w:p w:rsidR="243BEF60" w:rsidP="4AF775A2" w:rsidRDefault="243BEF60" w14:paraId="130EEADC" w14:textId="00D3984C">
      <w:pPr>
        <w:pStyle w:val="Normal"/>
        <w:bidi w:val="0"/>
        <w:spacing w:before="0" w:beforeAutospacing="off" w:after="0" w:afterAutospacing="off"/>
        <w:jc w:val="both"/>
        <w:rPr>
          <w:rFonts w:ascii="Arial" w:hAnsi="Arial" w:eastAsia="Arial" w:cs="Arial"/>
          <w:noProof w:val="0"/>
          <w:sz w:val="22"/>
          <w:szCs w:val="22"/>
          <w:lang w:val="en-GB"/>
        </w:rPr>
      </w:pPr>
      <w:r w:rsidRPr="4AF775A2" w:rsidR="4A2CF31E">
        <w:rPr>
          <w:rFonts w:ascii="Arial" w:hAnsi="Arial" w:eastAsia="Arial" w:cs="Arial"/>
          <w:noProof w:val="0"/>
          <w:sz w:val="22"/>
          <w:szCs w:val="22"/>
          <w:lang w:val="en-GB"/>
        </w:rPr>
        <w:t>Ogbonnaya, C. and Messersmith, J., 2019. Employee performance, well‐being, and differential effects of human resource management subdimensions: mutual gains or conflicting outcomes?. Human resource management journal, 29(3), pp.509-526.</w:t>
      </w:r>
    </w:p>
    <w:p w:rsidR="243BEF60" w:rsidP="4AF775A2" w:rsidRDefault="243BEF60" w14:paraId="06187FFC" w14:textId="17D197A1">
      <w:pPr>
        <w:pStyle w:val="Normal"/>
        <w:bidi w:val="0"/>
        <w:spacing w:before="0" w:beforeAutospacing="off" w:after="0" w:afterAutospacing="off"/>
        <w:jc w:val="both"/>
        <w:rPr>
          <w:rFonts w:ascii="Arial" w:hAnsi="Arial" w:eastAsia="Arial" w:cs="Arial"/>
          <w:noProof w:val="0"/>
          <w:sz w:val="22"/>
          <w:szCs w:val="22"/>
          <w:lang w:val="en-GB"/>
        </w:rPr>
      </w:pPr>
    </w:p>
    <w:p w:rsidR="243BEF60" w:rsidP="4AF775A2" w:rsidRDefault="243BEF60" w14:paraId="42F38E21" w14:textId="4AAA77C1">
      <w:pPr>
        <w:pStyle w:val="Normal"/>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 xml:space="preserve">Padmavathi, T. (2023) “Does Sustainable Work Environment Influence Work Engagement, Job Satisfaction and Employee Retention? Perspectives from E-Commerce Industry,” </w:t>
      </w:r>
      <w:r w:rsidRPr="4AF775A2" w:rsidR="5B94CD6B">
        <w:rPr>
          <w:rFonts w:ascii="Arial" w:hAnsi="Arial" w:eastAsia="Arial" w:cs="Arial"/>
          <w:i w:val="1"/>
          <w:iCs w:val="1"/>
          <w:noProof w:val="0"/>
          <w:sz w:val="22"/>
          <w:szCs w:val="22"/>
          <w:lang w:val="en-GB"/>
        </w:rPr>
        <w:t>RGSA :</w:t>
      </w:r>
      <w:r w:rsidRPr="4AF775A2" w:rsidR="5B94CD6B">
        <w:rPr>
          <w:rFonts w:ascii="Arial" w:hAnsi="Arial" w:eastAsia="Arial" w:cs="Arial"/>
          <w:i w:val="1"/>
          <w:iCs w:val="1"/>
          <w:noProof w:val="0"/>
          <w:sz w:val="22"/>
          <w:szCs w:val="22"/>
          <w:lang w:val="en-GB"/>
        </w:rPr>
        <w:t xml:space="preserve"> Revista de </w:t>
      </w:r>
      <w:r w:rsidRPr="4AF775A2" w:rsidR="5B94CD6B">
        <w:rPr>
          <w:rFonts w:ascii="Arial" w:hAnsi="Arial" w:eastAsia="Arial" w:cs="Arial"/>
          <w:i w:val="1"/>
          <w:iCs w:val="1"/>
          <w:noProof w:val="0"/>
          <w:sz w:val="22"/>
          <w:szCs w:val="22"/>
          <w:lang w:val="en-GB"/>
        </w:rPr>
        <w:t>Gestão</w:t>
      </w:r>
      <w:r w:rsidRPr="4AF775A2" w:rsidR="5B94CD6B">
        <w:rPr>
          <w:rFonts w:ascii="Arial" w:hAnsi="Arial" w:eastAsia="Arial" w:cs="Arial"/>
          <w:i w:val="1"/>
          <w:iCs w:val="1"/>
          <w:noProof w:val="0"/>
          <w:sz w:val="22"/>
          <w:szCs w:val="22"/>
          <w:lang w:val="en-GB"/>
        </w:rPr>
        <w:t xml:space="preserve"> Social e Ambiental</w:t>
      </w:r>
      <w:r w:rsidRPr="4AF775A2" w:rsidR="5B94CD6B">
        <w:rPr>
          <w:rFonts w:ascii="Arial" w:hAnsi="Arial" w:eastAsia="Arial" w:cs="Arial"/>
          <w:noProof w:val="0"/>
          <w:sz w:val="22"/>
          <w:szCs w:val="22"/>
          <w:lang w:val="en-GB"/>
        </w:rPr>
        <w:t xml:space="preserve">, 17(4), pp. e03392-13. Available at: </w:t>
      </w:r>
      <w:hyperlink r:id="R986ff1bc55f94e44">
        <w:r w:rsidRPr="4AF775A2" w:rsidR="5B94CD6B">
          <w:rPr>
            <w:rStyle w:val="Hyperlink"/>
            <w:rFonts w:ascii="Arial" w:hAnsi="Arial" w:eastAsia="Arial" w:cs="Arial"/>
            <w:noProof w:val="0"/>
            <w:sz w:val="22"/>
            <w:szCs w:val="22"/>
            <w:lang w:val="en-GB"/>
          </w:rPr>
          <w:t>https://doi.org/10.24857/rgsa.v17n4-002</w:t>
        </w:r>
      </w:hyperlink>
      <w:r w:rsidRPr="4AF775A2" w:rsidR="5B94CD6B">
        <w:rPr>
          <w:rFonts w:ascii="Arial" w:hAnsi="Arial" w:eastAsia="Arial" w:cs="Arial"/>
          <w:noProof w:val="0"/>
          <w:sz w:val="22"/>
          <w:szCs w:val="22"/>
          <w:lang w:val="en-GB"/>
        </w:rPr>
        <w:t>.</w:t>
      </w:r>
    </w:p>
    <w:p w:rsidR="243BEF60" w:rsidP="4AF775A2" w:rsidRDefault="243BEF60" w14:paraId="08992028" w14:textId="7FC4316E">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341ABCE7" w14:textId="4D7C25BF">
      <w:pPr>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 xml:space="preserve">Pahos, N. and Galanaki, E. (2022) “Performance Effects of High Performance Work Systems on Committed, Long-Term Employees: A Multilevel Study,” </w:t>
      </w:r>
      <w:r w:rsidRPr="4AF775A2" w:rsidR="5B94CD6B">
        <w:rPr>
          <w:rFonts w:ascii="Arial" w:hAnsi="Arial" w:eastAsia="Arial" w:cs="Arial"/>
          <w:i w:val="1"/>
          <w:iCs w:val="1"/>
          <w:noProof w:val="0"/>
          <w:sz w:val="22"/>
          <w:szCs w:val="22"/>
          <w:lang w:val="en-GB"/>
        </w:rPr>
        <w:t>Frontiers in psychology</w:t>
      </w:r>
      <w:r w:rsidRPr="4AF775A2" w:rsidR="5B94CD6B">
        <w:rPr>
          <w:rFonts w:ascii="Arial" w:hAnsi="Arial" w:eastAsia="Arial" w:cs="Arial"/>
          <w:noProof w:val="0"/>
          <w:sz w:val="22"/>
          <w:szCs w:val="22"/>
          <w:lang w:val="en-GB"/>
        </w:rPr>
        <w:t xml:space="preserve">, 13, p. 825397. Available at: </w:t>
      </w:r>
      <w:hyperlink r:id="R3fe5c43e94914538">
        <w:r w:rsidRPr="4AF775A2" w:rsidR="5B94CD6B">
          <w:rPr>
            <w:rStyle w:val="Hyperlink"/>
            <w:rFonts w:ascii="Arial" w:hAnsi="Arial" w:eastAsia="Arial" w:cs="Arial"/>
            <w:noProof w:val="0"/>
            <w:sz w:val="22"/>
            <w:szCs w:val="22"/>
            <w:lang w:val="en-GB"/>
          </w:rPr>
          <w:t>https://doi.org/10.3389/fpsyg.2022.825397</w:t>
        </w:r>
      </w:hyperlink>
      <w:r w:rsidRPr="4AF775A2" w:rsidR="5B94CD6B">
        <w:rPr>
          <w:rFonts w:ascii="Arial" w:hAnsi="Arial" w:eastAsia="Arial" w:cs="Arial"/>
          <w:noProof w:val="0"/>
          <w:sz w:val="22"/>
          <w:szCs w:val="22"/>
          <w:lang w:val="en-GB"/>
        </w:rPr>
        <w:t>.</w:t>
      </w:r>
    </w:p>
    <w:p w:rsidR="243BEF60" w:rsidP="4AF775A2" w:rsidRDefault="243BEF60" w14:paraId="7AA90452" w14:textId="0A29F8D4">
      <w:pPr>
        <w:bidi w:val="0"/>
        <w:spacing w:before="0" w:beforeAutospacing="off" w:after="0" w:afterAutospacing="off"/>
        <w:jc w:val="both"/>
        <w:rPr>
          <w:rFonts w:ascii="Arial" w:hAnsi="Arial" w:eastAsia="Arial" w:cs="Arial"/>
          <w:noProof w:val="0"/>
          <w:sz w:val="22"/>
          <w:szCs w:val="22"/>
          <w:lang w:val="en-GB"/>
        </w:rPr>
      </w:pPr>
    </w:p>
    <w:p w:rsidR="243BEF60" w:rsidP="4AF775A2" w:rsidRDefault="243BEF60" w14:paraId="4730C35C" w14:textId="0E276100">
      <w:pPr>
        <w:bidi w:val="0"/>
        <w:spacing w:before="0" w:beforeAutospacing="off" w:after="0" w:afterAutospacing="off"/>
        <w:jc w:val="both"/>
        <w:rPr>
          <w:rFonts w:ascii="Arial" w:hAnsi="Arial" w:eastAsia="Arial" w:cs="Arial"/>
          <w:noProof w:val="0"/>
          <w:sz w:val="22"/>
          <w:szCs w:val="22"/>
          <w:lang w:val="en-GB"/>
        </w:rPr>
      </w:pPr>
      <w:r w:rsidRPr="4AF775A2" w:rsidR="4202753D">
        <w:rPr>
          <w:rFonts w:ascii="Arial" w:hAnsi="Arial" w:eastAsia="Arial" w:cs="Arial"/>
          <w:noProof w:val="0"/>
          <w:sz w:val="22"/>
          <w:szCs w:val="22"/>
          <w:lang w:val="en-GB"/>
        </w:rPr>
        <w:t>Park, T.K. and Pierce, B., (2024) A Mediating Effect of Public Service Motivation on Retention Intention Among Child Welfare Students: Task Self-Efficacy. Journal of Evidence-Based Social Work, 21(6), pp.641-653.</w:t>
      </w:r>
    </w:p>
    <w:p w:rsidR="243BEF60" w:rsidP="4AF775A2" w:rsidRDefault="243BEF60" w14:paraId="568344EB" w14:textId="3A5DC75F">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623DD590" w14:textId="4B56FA0C">
      <w:pPr>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Pathomphatthaphan</w:t>
      </w:r>
      <w:r w:rsidRPr="4AF775A2" w:rsidR="5B94CD6B">
        <w:rPr>
          <w:rFonts w:ascii="Arial" w:hAnsi="Arial" w:eastAsia="Arial" w:cs="Arial"/>
          <w:noProof w:val="0"/>
          <w:sz w:val="22"/>
          <w:szCs w:val="22"/>
          <w:lang w:val="en-GB"/>
        </w:rPr>
        <w:t xml:space="preserve">, S., Das, </w:t>
      </w:r>
      <w:r w:rsidRPr="4AF775A2" w:rsidR="5B94CD6B">
        <w:rPr>
          <w:rFonts w:ascii="Arial" w:hAnsi="Arial" w:eastAsia="Arial" w:cs="Arial"/>
          <w:noProof w:val="0"/>
          <w:sz w:val="22"/>
          <w:szCs w:val="22"/>
          <w:lang w:val="en-GB"/>
        </w:rPr>
        <w:t>S.</w:t>
      </w:r>
      <w:r w:rsidRPr="4AF775A2" w:rsidR="5B94CD6B">
        <w:rPr>
          <w:rFonts w:ascii="Arial" w:hAnsi="Arial" w:eastAsia="Arial" w:cs="Arial"/>
          <w:noProof w:val="0"/>
          <w:sz w:val="22"/>
          <w:szCs w:val="22"/>
          <w:lang w:val="en-GB"/>
        </w:rPr>
        <w:t xml:space="preserve"> and Lalatendu Kesari Jena (2024) “Agile SHRM practices and employee-organisational outcomes during new normal: evidence from India and Thailand,” </w:t>
      </w:r>
      <w:r w:rsidRPr="4AF775A2" w:rsidR="5B94CD6B">
        <w:rPr>
          <w:rFonts w:ascii="Arial" w:hAnsi="Arial" w:eastAsia="Arial" w:cs="Arial"/>
          <w:i w:val="1"/>
          <w:iCs w:val="1"/>
          <w:noProof w:val="0"/>
          <w:sz w:val="22"/>
          <w:szCs w:val="22"/>
          <w:lang w:val="en-GB"/>
        </w:rPr>
        <w:t xml:space="preserve">Journal of </w:t>
      </w:r>
      <w:r w:rsidRPr="4AF775A2" w:rsidR="4E716085">
        <w:rPr>
          <w:rFonts w:ascii="Arial" w:hAnsi="Arial" w:eastAsia="Arial" w:cs="Arial"/>
          <w:i w:val="1"/>
          <w:iCs w:val="1"/>
          <w:noProof w:val="0"/>
          <w:sz w:val="22"/>
          <w:szCs w:val="22"/>
          <w:lang w:val="en-GB"/>
        </w:rPr>
        <w:t>organisation</w:t>
      </w:r>
      <w:r w:rsidRPr="4AF775A2" w:rsidR="5B94CD6B">
        <w:rPr>
          <w:rFonts w:ascii="Arial" w:hAnsi="Arial" w:eastAsia="Arial" w:cs="Arial"/>
          <w:i w:val="1"/>
          <w:iCs w:val="1"/>
          <w:noProof w:val="0"/>
          <w:sz w:val="22"/>
          <w:szCs w:val="22"/>
          <w:lang w:val="en-GB"/>
        </w:rPr>
        <w:t xml:space="preserve">al </w:t>
      </w:r>
      <w:r w:rsidRPr="4AF775A2" w:rsidR="5B94CD6B">
        <w:rPr>
          <w:rFonts w:ascii="Arial" w:hAnsi="Arial" w:eastAsia="Arial" w:cs="Arial"/>
          <w:i w:val="1"/>
          <w:iCs w:val="1"/>
          <w:noProof w:val="0"/>
          <w:sz w:val="22"/>
          <w:szCs w:val="22"/>
          <w:lang w:val="en-GB"/>
        </w:rPr>
        <w:t>effectiveness :</w:t>
      </w:r>
      <w:r w:rsidRPr="4AF775A2" w:rsidR="5B94CD6B">
        <w:rPr>
          <w:rFonts w:ascii="Arial" w:hAnsi="Arial" w:eastAsia="Arial" w:cs="Arial"/>
          <w:i w:val="1"/>
          <w:iCs w:val="1"/>
          <w:noProof w:val="0"/>
          <w:sz w:val="22"/>
          <w:szCs w:val="22"/>
          <w:lang w:val="en-GB"/>
        </w:rPr>
        <w:t xml:space="preserve"> people and performance</w:t>
      </w:r>
      <w:r w:rsidRPr="4AF775A2" w:rsidR="5B94CD6B">
        <w:rPr>
          <w:rFonts w:ascii="Arial" w:hAnsi="Arial" w:eastAsia="Arial" w:cs="Arial"/>
          <w:noProof w:val="0"/>
          <w:sz w:val="22"/>
          <w:szCs w:val="22"/>
          <w:lang w:val="en-GB"/>
        </w:rPr>
        <w:t xml:space="preserve">, 11(2), pp. 347–374. Available at: </w:t>
      </w:r>
      <w:hyperlink r:id="Raab86b0ec4144ecb">
        <w:r w:rsidRPr="4AF775A2" w:rsidR="5B94CD6B">
          <w:rPr>
            <w:rStyle w:val="Hyperlink"/>
            <w:rFonts w:ascii="Arial" w:hAnsi="Arial" w:eastAsia="Arial" w:cs="Arial"/>
            <w:noProof w:val="0"/>
            <w:sz w:val="22"/>
            <w:szCs w:val="22"/>
            <w:lang w:val="en-GB"/>
          </w:rPr>
          <w:t>https://doi.org/10.1108/JOEPP-07-2023-0288</w:t>
        </w:r>
      </w:hyperlink>
      <w:r w:rsidRPr="4AF775A2" w:rsidR="5B94CD6B">
        <w:rPr>
          <w:rFonts w:ascii="Arial" w:hAnsi="Arial" w:eastAsia="Arial" w:cs="Arial"/>
          <w:noProof w:val="0"/>
          <w:sz w:val="22"/>
          <w:szCs w:val="22"/>
          <w:lang w:val="en-GB"/>
        </w:rPr>
        <w:t>.</w:t>
      </w:r>
    </w:p>
    <w:p w:rsidR="243BEF60" w:rsidP="4AF775A2" w:rsidRDefault="243BEF60" w14:paraId="30714779" w14:textId="5935FC72">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46CCF588" w14:textId="7C5AC568">
      <w:pPr>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 xml:space="preserve">Peyrat-Guillard, D., Grefe, G. and Subramanian, J. (2023) “Understanding quondam commitments to retain employees: insights from the case of flight attendants and pilots,” </w:t>
      </w:r>
      <w:r w:rsidRPr="4AF775A2" w:rsidR="5B94CD6B">
        <w:rPr>
          <w:rFonts w:ascii="Arial" w:hAnsi="Arial" w:eastAsia="Arial" w:cs="Arial"/>
          <w:i w:val="1"/>
          <w:iCs w:val="1"/>
          <w:noProof w:val="0"/>
          <w:sz w:val="22"/>
          <w:szCs w:val="22"/>
          <w:lang w:val="en-GB"/>
        </w:rPr>
        <w:t>International journal of contemporary hospitality management</w:t>
      </w:r>
      <w:r w:rsidRPr="4AF775A2" w:rsidR="5B94CD6B">
        <w:rPr>
          <w:rFonts w:ascii="Arial" w:hAnsi="Arial" w:eastAsia="Arial" w:cs="Arial"/>
          <w:noProof w:val="0"/>
          <w:sz w:val="22"/>
          <w:szCs w:val="22"/>
          <w:lang w:val="en-GB"/>
        </w:rPr>
        <w:t xml:space="preserve">, 35(1), pp. 274–301. Available at: </w:t>
      </w:r>
      <w:hyperlink r:id="R9ddd5a6b364541cb">
        <w:r w:rsidRPr="4AF775A2" w:rsidR="5B94CD6B">
          <w:rPr>
            <w:rStyle w:val="Hyperlink"/>
            <w:rFonts w:ascii="Arial" w:hAnsi="Arial" w:eastAsia="Arial" w:cs="Arial"/>
            <w:noProof w:val="0"/>
            <w:sz w:val="22"/>
            <w:szCs w:val="22"/>
            <w:lang w:val="en-GB"/>
          </w:rPr>
          <w:t>https://doi.org/10.1108/IJCHM-02-2022-0211</w:t>
        </w:r>
      </w:hyperlink>
      <w:r w:rsidRPr="4AF775A2" w:rsidR="5B94CD6B">
        <w:rPr>
          <w:rFonts w:ascii="Arial" w:hAnsi="Arial" w:eastAsia="Arial" w:cs="Arial"/>
          <w:noProof w:val="0"/>
          <w:sz w:val="22"/>
          <w:szCs w:val="22"/>
          <w:lang w:val="en-GB"/>
        </w:rPr>
        <w:t>.</w:t>
      </w:r>
    </w:p>
    <w:p w:rsidR="243BEF60" w:rsidP="4AF775A2" w:rsidRDefault="243BEF60" w14:paraId="672C9FBE" w14:textId="79986BF0">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1F6557C9" w14:textId="4BD6176C">
      <w:pPr>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 xml:space="preserve">Ramírez Lozano, J.P., Peñaflor-Guerra, R. and Sanagustín-Fons, V. (2023) “Leadership, communication, and job satisfaction for employee engagement and sustainability of family businesses in Latin America,” </w:t>
      </w:r>
      <w:r w:rsidRPr="4AF775A2" w:rsidR="5B94CD6B">
        <w:rPr>
          <w:rFonts w:ascii="Arial" w:hAnsi="Arial" w:eastAsia="Arial" w:cs="Arial"/>
          <w:i w:val="1"/>
          <w:iCs w:val="1"/>
          <w:noProof w:val="0"/>
          <w:sz w:val="22"/>
          <w:szCs w:val="22"/>
          <w:lang w:val="en-GB"/>
        </w:rPr>
        <w:t>Administrative sciences</w:t>
      </w:r>
      <w:r w:rsidRPr="4AF775A2" w:rsidR="5B94CD6B">
        <w:rPr>
          <w:rFonts w:ascii="Arial" w:hAnsi="Arial" w:eastAsia="Arial" w:cs="Arial"/>
          <w:noProof w:val="0"/>
          <w:sz w:val="22"/>
          <w:szCs w:val="22"/>
          <w:lang w:val="en-GB"/>
        </w:rPr>
        <w:t xml:space="preserve">, 13(6), pp. 1–18. Available at: </w:t>
      </w:r>
      <w:hyperlink r:id="R357613b3d5fc497f">
        <w:r w:rsidRPr="4AF775A2" w:rsidR="5B94CD6B">
          <w:rPr>
            <w:rStyle w:val="Hyperlink"/>
            <w:rFonts w:ascii="Arial" w:hAnsi="Arial" w:eastAsia="Arial" w:cs="Arial"/>
            <w:noProof w:val="0"/>
            <w:sz w:val="22"/>
            <w:szCs w:val="22"/>
            <w:lang w:val="en-GB"/>
          </w:rPr>
          <w:t>https://doi.org/10.3390/admsci13060137</w:t>
        </w:r>
      </w:hyperlink>
      <w:r w:rsidRPr="4AF775A2" w:rsidR="5B94CD6B">
        <w:rPr>
          <w:rFonts w:ascii="Arial" w:hAnsi="Arial" w:eastAsia="Arial" w:cs="Arial"/>
          <w:noProof w:val="0"/>
          <w:sz w:val="22"/>
          <w:szCs w:val="22"/>
          <w:lang w:val="en-GB"/>
        </w:rPr>
        <w:t>.</w:t>
      </w:r>
    </w:p>
    <w:p w:rsidR="243BEF60" w:rsidP="4AF775A2" w:rsidRDefault="243BEF60" w14:paraId="48F55565" w14:textId="7B63E9DC">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2372A27D" w14:textId="2EEAE268">
      <w:pPr>
        <w:bidi w:val="0"/>
        <w:spacing w:before="0" w:beforeAutospacing="off" w:after="0" w:afterAutospacing="off"/>
        <w:jc w:val="both"/>
        <w:rPr>
          <w:rFonts w:ascii="Arial" w:hAnsi="Arial" w:eastAsia="Arial" w:cs="Arial"/>
          <w:noProof w:val="0"/>
          <w:sz w:val="22"/>
          <w:szCs w:val="22"/>
          <w:lang w:val="en-GB"/>
        </w:rPr>
      </w:pPr>
      <w:r w:rsidRPr="4AF775A2" w:rsidR="5B94CD6B">
        <w:rPr>
          <w:rFonts w:ascii="Arial" w:hAnsi="Arial" w:eastAsia="Arial" w:cs="Arial"/>
          <w:noProof w:val="0"/>
          <w:sz w:val="22"/>
          <w:szCs w:val="22"/>
          <w:lang w:val="en-GB"/>
        </w:rPr>
        <w:t xml:space="preserve">Renaud, S. </w:t>
      </w:r>
      <w:r w:rsidRPr="4AF775A2" w:rsidR="5B94CD6B">
        <w:rPr>
          <w:rFonts w:ascii="Arial" w:hAnsi="Arial" w:eastAsia="Arial" w:cs="Arial"/>
          <w:i w:val="1"/>
          <w:iCs w:val="1"/>
          <w:noProof w:val="0"/>
          <w:sz w:val="22"/>
          <w:szCs w:val="22"/>
          <w:lang w:val="en-GB"/>
        </w:rPr>
        <w:t>et al.</w:t>
      </w:r>
      <w:r w:rsidRPr="4AF775A2" w:rsidR="5B94CD6B">
        <w:rPr>
          <w:rFonts w:ascii="Arial" w:hAnsi="Arial" w:eastAsia="Arial" w:cs="Arial"/>
          <w:noProof w:val="0"/>
          <w:sz w:val="22"/>
          <w:szCs w:val="22"/>
          <w:lang w:val="en-GB"/>
        </w:rPr>
        <w:t xml:space="preserve"> (2015) “What are the best HRM practices for retaining experts? A longitudinal study in the Canadian information technology sector,” </w:t>
      </w:r>
      <w:r w:rsidRPr="4AF775A2" w:rsidR="5B94CD6B">
        <w:rPr>
          <w:rFonts w:ascii="Arial" w:hAnsi="Arial" w:eastAsia="Arial" w:cs="Arial"/>
          <w:i w:val="1"/>
          <w:iCs w:val="1"/>
          <w:noProof w:val="0"/>
          <w:sz w:val="22"/>
          <w:szCs w:val="22"/>
          <w:lang w:val="en-GB"/>
        </w:rPr>
        <w:t>International journal of manpower</w:t>
      </w:r>
      <w:r w:rsidRPr="4AF775A2" w:rsidR="5B94CD6B">
        <w:rPr>
          <w:rFonts w:ascii="Arial" w:hAnsi="Arial" w:eastAsia="Arial" w:cs="Arial"/>
          <w:noProof w:val="0"/>
          <w:sz w:val="22"/>
          <w:szCs w:val="22"/>
          <w:lang w:val="en-GB"/>
        </w:rPr>
        <w:t xml:space="preserve">, 36(3), pp. 416–432. Available at: </w:t>
      </w:r>
      <w:hyperlink r:id="R0e92eed85b72465a">
        <w:r w:rsidRPr="4AF775A2" w:rsidR="5B94CD6B">
          <w:rPr>
            <w:rStyle w:val="Hyperlink"/>
            <w:rFonts w:ascii="Arial" w:hAnsi="Arial" w:eastAsia="Arial" w:cs="Arial"/>
            <w:noProof w:val="0"/>
            <w:sz w:val="22"/>
            <w:szCs w:val="22"/>
            <w:lang w:val="en-GB"/>
          </w:rPr>
          <w:t>https://doi.org/10.1108/IJM-03-2014-0078</w:t>
        </w:r>
      </w:hyperlink>
      <w:r w:rsidRPr="4AF775A2" w:rsidR="5B94CD6B">
        <w:rPr>
          <w:rFonts w:ascii="Arial" w:hAnsi="Arial" w:eastAsia="Arial" w:cs="Arial"/>
          <w:noProof w:val="0"/>
          <w:sz w:val="22"/>
          <w:szCs w:val="22"/>
          <w:lang w:val="en-GB"/>
        </w:rPr>
        <w:t>.</w:t>
      </w:r>
    </w:p>
    <w:p w:rsidR="243BEF60" w:rsidP="4AF775A2" w:rsidRDefault="243BEF60" w14:paraId="062B78B3" w14:textId="6EB6F8A8">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4797D398" w14:textId="1C370245">
      <w:pPr>
        <w:bidi w:val="0"/>
        <w:spacing w:before="0" w:beforeAutospacing="off" w:after="0" w:afterAutospacing="off" w:line="360" w:lineRule="auto"/>
        <w:jc w:val="both"/>
        <w:rPr>
          <w:rFonts w:ascii="Arial" w:hAnsi="Arial" w:eastAsia="Arial" w:cs="Arial"/>
          <w:noProof w:val="0"/>
          <w:sz w:val="22"/>
          <w:szCs w:val="22"/>
          <w:lang w:val="en-GB"/>
        </w:rPr>
      </w:pPr>
      <w:r w:rsidRPr="4AF775A2" w:rsidR="29A5DEF6">
        <w:rPr>
          <w:rFonts w:ascii="Arial" w:hAnsi="Arial" w:eastAsia="Arial" w:cs="Arial"/>
          <w:noProof w:val="0"/>
          <w:sz w:val="22"/>
          <w:szCs w:val="22"/>
          <w:lang w:val="en-GB"/>
        </w:rPr>
        <w:t xml:space="preserve">Rodgers, M. </w:t>
      </w:r>
      <w:r w:rsidRPr="4AF775A2" w:rsidR="29A5DEF6">
        <w:rPr>
          <w:rFonts w:ascii="Arial" w:hAnsi="Arial" w:eastAsia="Arial" w:cs="Arial"/>
          <w:i w:val="1"/>
          <w:iCs w:val="1"/>
          <w:noProof w:val="0"/>
          <w:sz w:val="22"/>
          <w:szCs w:val="22"/>
          <w:lang w:val="en-GB"/>
        </w:rPr>
        <w:t>et al.</w:t>
      </w:r>
      <w:r w:rsidRPr="4AF775A2" w:rsidR="29A5DEF6">
        <w:rPr>
          <w:rFonts w:ascii="Arial" w:hAnsi="Arial" w:eastAsia="Arial" w:cs="Arial"/>
          <w:noProof w:val="0"/>
          <w:sz w:val="22"/>
          <w:szCs w:val="22"/>
          <w:lang w:val="en-GB"/>
        </w:rPr>
        <w:t xml:space="preserve"> (2009) “Testing Methodological Guidance on the Conduct of Narrative Synthesis in Systematic Reviews: Effectiveness of Interventions to Promote Smoke Alarm Ownership and Function,” </w:t>
      </w:r>
      <w:r w:rsidRPr="4AF775A2" w:rsidR="29A5DEF6">
        <w:rPr>
          <w:rFonts w:ascii="Arial" w:hAnsi="Arial" w:eastAsia="Arial" w:cs="Arial"/>
          <w:i w:val="1"/>
          <w:iCs w:val="1"/>
          <w:noProof w:val="0"/>
          <w:sz w:val="22"/>
          <w:szCs w:val="22"/>
          <w:lang w:val="en-GB"/>
        </w:rPr>
        <w:t>Evaluation (London, England. 1995)</w:t>
      </w:r>
      <w:r w:rsidRPr="4AF775A2" w:rsidR="29A5DEF6">
        <w:rPr>
          <w:rFonts w:ascii="Arial" w:hAnsi="Arial" w:eastAsia="Arial" w:cs="Arial"/>
          <w:noProof w:val="0"/>
          <w:sz w:val="22"/>
          <w:szCs w:val="22"/>
          <w:lang w:val="en-GB"/>
        </w:rPr>
        <w:t xml:space="preserve">, 15(1), pp. 49–73. Available at: </w:t>
      </w:r>
      <w:hyperlink r:id="Redb183fd87a0499e">
        <w:r w:rsidRPr="4AF775A2" w:rsidR="29A5DEF6">
          <w:rPr>
            <w:rStyle w:val="Hyperlink"/>
            <w:rFonts w:ascii="Arial" w:hAnsi="Arial" w:eastAsia="Arial" w:cs="Arial"/>
            <w:noProof w:val="0"/>
            <w:sz w:val="22"/>
            <w:szCs w:val="22"/>
            <w:lang w:val="en-GB"/>
          </w:rPr>
          <w:t>https://doi.org/10.1177/1356389008097871</w:t>
        </w:r>
      </w:hyperlink>
      <w:r w:rsidRPr="4AF775A2" w:rsidR="29A5DEF6">
        <w:rPr>
          <w:rFonts w:ascii="Arial" w:hAnsi="Arial" w:eastAsia="Arial" w:cs="Arial"/>
          <w:noProof w:val="0"/>
          <w:sz w:val="22"/>
          <w:szCs w:val="22"/>
          <w:lang w:val="en-GB"/>
        </w:rPr>
        <w:t>.</w:t>
      </w:r>
    </w:p>
    <w:p w:rsidR="243BEF60" w:rsidP="4AF775A2" w:rsidRDefault="243BEF60" w14:paraId="48C22784" w14:textId="707AA7CA">
      <w:pPr>
        <w:pStyle w:val="Normal"/>
        <w:bidi w:val="0"/>
        <w:spacing w:before="0" w:beforeAutospacing="off" w:after="0" w:afterAutospacing="off" w:line="360" w:lineRule="auto"/>
        <w:jc w:val="both"/>
        <w:rPr>
          <w:rFonts w:ascii="Arial" w:hAnsi="Arial" w:eastAsia="Arial" w:cs="Arial"/>
          <w:noProof w:val="0"/>
          <w:sz w:val="22"/>
          <w:szCs w:val="22"/>
          <w:lang w:val="en-GB"/>
        </w:rPr>
      </w:pPr>
    </w:p>
    <w:p w:rsidR="7791E989" w:rsidP="4AF775A2" w:rsidRDefault="7791E989" w14:paraId="67663555" w14:textId="4ABC7EE7">
      <w:pPr>
        <w:bidi w:val="0"/>
        <w:spacing w:before="0" w:beforeAutospacing="off" w:after="0" w:afterAutospacing="off"/>
        <w:jc w:val="both"/>
        <w:rPr>
          <w:rFonts w:ascii="Arial" w:hAnsi="Arial" w:eastAsia="Arial" w:cs="Arial"/>
          <w:noProof w:val="0"/>
          <w:sz w:val="22"/>
          <w:szCs w:val="22"/>
          <w:lang w:val="en-GB"/>
        </w:rPr>
      </w:pPr>
      <w:r w:rsidRPr="4AF775A2" w:rsidR="7791E989">
        <w:rPr>
          <w:rFonts w:ascii="Arial" w:hAnsi="Arial" w:eastAsia="Arial" w:cs="Arial"/>
          <w:noProof w:val="0"/>
          <w:sz w:val="22"/>
          <w:szCs w:val="22"/>
          <w:lang w:val="en-GB"/>
        </w:rPr>
        <w:t xml:space="preserve">Ruthig, J.C. </w:t>
      </w:r>
      <w:r w:rsidRPr="4AF775A2" w:rsidR="7791E989">
        <w:rPr>
          <w:rFonts w:ascii="Arial" w:hAnsi="Arial" w:eastAsia="Arial" w:cs="Arial"/>
          <w:i w:val="1"/>
          <w:iCs w:val="1"/>
          <w:noProof w:val="0"/>
          <w:sz w:val="22"/>
          <w:szCs w:val="22"/>
          <w:lang w:val="en-GB"/>
        </w:rPr>
        <w:t>et al.</w:t>
      </w:r>
      <w:r w:rsidRPr="4AF775A2" w:rsidR="7791E989">
        <w:rPr>
          <w:rFonts w:ascii="Arial" w:hAnsi="Arial" w:eastAsia="Arial" w:cs="Arial"/>
          <w:noProof w:val="0"/>
          <w:sz w:val="22"/>
          <w:szCs w:val="22"/>
          <w:lang w:val="en-GB"/>
        </w:rPr>
        <w:t xml:space="preserve"> (2026) “Barriers to symptom disclosure and healthcare seeking among civilian aviation pilot trainees,” </w:t>
      </w:r>
      <w:r w:rsidRPr="4AF775A2" w:rsidR="7791E989">
        <w:rPr>
          <w:rFonts w:ascii="Arial" w:hAnsi="Arial" w:eastAsia="Arial" w:cs="Arial"/>
          <w:i w:val="1"/>
          <w:iCs w:val="1"/>
          <w:noProof w:val="0"/>
          <w:sz w:val="22"/>
          <w:szCs w:val="22"/>
          <w:lang w:val="en-GB"/>
        </w:rPr>
        <w:t>Journal of health psychology</w:t>
      </w:r>
      <w:r w:rsidRPr="4AF775A2" w:rsidR="7791E989">
        <w:rPr>
          <w:rFonts w:ascii="Arial" w:hAnsi="Arial" w:eastAsia="Arial" w:cs="Arial"/>
          <w:noProof w:val="0"/>
          <w:sz w:val="22"/>
          <w:szCs w:val="22"/>
          <w:lang w:val="en-GB"/>
        </w:rPr>
        <w:t xml:space="preserve">, p. 13591053251410633. Available at: </w:t>
      </w:r>
      <w:hyperlink r:id="R1821703e783c4140">
        <w:r w:rsidRPr="4AF775A2" w:rsidR="7791E989">
          <w:rPr>
            <w:rStyle w:val="Hyperlink"/>
            <w:rFonts w:ascii="Arial" w:hAnsi="Arial" w:eastAsia="Arial" w:cs="Arial"/>
            <w:noProof w:val="0"/>
            <w:sz w:val="22"/>
            <w:szCs w:val="22"/>
            <w:lang w:val="en-GB"/>
          </w:rPr>
          <w:t>https://doi.org/10.1177/13591053251410633</w:t>
        </w:r>
      </w:hyperlink>
      <w:r w:rsidRPr="4AF775A2" w:rsidR="7791E989">
        <w:rPr>
          <w:rFonts w:ascii="Arial" w:hAnsi="Arial" w:eastAsia="Arial" w:cs="Arial"/>
          <w:noProof w:val="0"/>
          <w:sz w:val="22"/>
          <w:szCs w:val="22"/>
          <w:lang w:val="en-GB"/>
        </w:rPr>
        <w:t>.</w:t>
      </w:r>
    </w:p>
    <w:p w:rsidR="4AF775A2" w:rsidP="4AF775A2" w:rsidRDefault="4AF775A2" w14:paraId="0A4BE285" w14:textId="6CE211BB">
      <w:pPr>
        <w:pStyle w:val="Normal"/>
        <w:bidi w:val="0"/>
        <w:spacing w:before="0" w:beforeAutospacing="off" w:after="0" w:afterAutospacing="off" w:line="360" w:lineRule="auto"/>
        <w:jc w:val="both"/>
        <w:rPr>
          <w:rFonts w:ascii="Arial" w:hAnsi="Arial" w:eastAsia="Arial" w:cs="Arial"/>
          <w:noProof w:val="0"/>
          <w:sz w:val="22"/>
          <w:szCs w:val="22"/>
          <w:lang w:val="en-GB"/>
        </w:rPr>
      </w:pPr>
    </w:p>
    <w:p w:rsidR="7791E989" w:rsidP="4AF775A2" w:rsidRDefault="7791E989" w14:paraId="02A4A883" w14:textId="4E1BB9D3">
      <w:pPr>
        <w:bidi w:val="0"/>
        <w:spacing w:before="0" w:beforeAutospacing="off" w:after="0" w:afterAutospacing="off"/>
        <w:jc w:val="both"/>
        <w:rPr>
          <w:rFonts w:ascii="Arial" w:hAnsi="Arial" w:eastAsia="Arial" w:cs="Arial"/>
          <w:noProof w:val="0"/>
          <w:sz w:val="22"/>
          <w:szCs w:val="22"/>
          <w:lang w:val="en-GB"/>
        </w:rPr>
      </w:pPr>
      <w:r w:rsidRPr="4AF775A2" w:rsidR="7791E989">
        <w:rPr>
          <w:rFonts w:ascii="Arial" w:hAnsi="Arial" w:eastAsia="Arial" w:cs="Arial"/>
          <w:noProof w:val="0"/>
          <w:sz w:val="22"/>
          <w:szCs w:val="22"/>
          <w:lang w:val="en-GB"/>
        </w:rPr>
        <w:t xml:space="preserve">Sarmad, M. </w:t>
      </w:r>
      <w:r w:rsidRPr="4AF775A2" w:rsidR="7791E989">
        <w:rPr>
          <w:rFonts w:ascii="Arial" w:hAnsi="Arial" w:eastAsia="Arial" w:cs="Arial"/>
          <w:i w:val="1"/>
          <w:iCs w:val="1"/>
          <w:noProof w:val="0"/>
          <w:sz w:val="22"/>
          <w:szCs w:val="22"/>
          <w:lang w:val="en-GB"/>
        </w:rPr>
        <w:t>et al.</w:t>
      </w:r>
      <w:r w:rsidRPr="4AF775A2" w:rsidR="7791E989">
        <w:rPr>
          <w:rFonts w:ascii="Arial" w:hAnsi="Arial" w:eastAsia="Arial" w:cs="Arial"/>
          <w:noProof w:val="0"/>
          <w:sz w:val="22"/>
          <w:szCs w:val="22"/>
          <w:lang w:val="en-GB"/>
        </w:rPr>
        <w:t xml:space="preserve"> (2016) “Motivation and Compensation as Predictors of Employees’ Retention: Evidence </w:t>
      </w:r>
      <w:r w:rsidRPr="4AF775A2" w:rsidR="7791E989">
        <w:rPr>
          <w:rFonts w:ascii="Arial" w:hAnsi="Arial" w:eastAsia="Arial" w:cs="Arial"/>
          <w:noProof w:val="0"/>
          <w:sz w:val="22"/>
          <w:szCs w:val="22"/>
          <w:lang w:val="en-GB"/>
        </w:rPr>
        <w:t>From</w:t>
      </w:r>
      <w:r w:rsidRPr="4AF775A2" w:rsidR="7791E989">
        <w:rPr>
          <w:rFonts w:ascii="Arial" w:hAnsi="Arial" w:eastAsia="Arial" w:cs="Arial"/>
          <w:noProof w:val="0"/>
          <w:sz w:val="22"/>
          <w:szCs w:val="22"/>
          <w:lang w:val="en-GB"/>
        </w:rPr>
        <w:t xml:space="preserve"> Public Sector Oil and Gas Selling </w:t>
      </w:r>
      <w:r w:rsidRPr="4AF775A2" w:rsidR="4E716085">
        <w:rPr>
          <w:rFonts w:ascii="Arial" w:hAnsi="Arial" w:eastAsia="Arial" w:cs="Arial"/>
          <w:noProof w:val="0"/>
          <w:sz w:val="22"/>
          <w:szCs w:val="22"/>
          <w:lang w:val="en-GB"/>
        </w:rPr>
        <w:t>Organisation</w:t>
      </w:r>
      <w:r w:rsidRPr="4AF775A2" w:rsidR="7791E989">
        <w:rPr>
          <w:rFonts w:ascii="Arial" w:hAnsi="Arial" w:eastAsia="Arial" w:cs="Arial"/>
          <w:noProof w:val="0"/>
          <w:sz w:val="22"/>
          <w:szCs w:val="22"/>
          <w:lang w:val="en-GB"/>
        </w:rPr>
        <w:t xml:space="preserve">s,” </w:t>
      </w:r>
      <w:r w:rsidRPr="4AF775A2" w:rsidR="7791E989">
        <w:rPr>
          <w:rFonts w:ascii="Arial" w:hAnsi="Arial" w:eastAsia="Arial" w:cs="Arial"/>
          <w:i w:val="1"/>
          <w:iCs w:val="1"/>
          <w:noProof w:val="0"/>
          <w:sz w:val="22"/>
          <w:szCs w:val="22"/>
          <w:lang w:val="en-GB"/>
        </w:rPr>
        <w:t>Journal of behavioural sciences</w:t>
      </w:r>
      <w:r w:rsidRPr="4AF775A2" w:rsidR="7791E989">
        <w:rPr>
          <w:rFonts w:ascii="Arial" w:hAnsi="Arial" w:eastAsia="Arial" w:cs="Arial"/>
          <w:noProof w:val="0"/>
          <w:sz w:val="22"/>
          <w:szCs w:val="22"/>
          <w:lang w:val="en-GB"/>
        </w:rPr>
        <w:t>, 26(2), p. 174.</w:t>
      </w:r>
    </w:p>
    <w:p w:rsidR="4AF775A2" w:rsidP="4AF775A2" w:rsidRDefault="4AF775A2" w14:paraId="7AB31A06" w14:textId="3DCC264D">
      <w:pPr>
        <w:pStyle w:val="Normal"/>
        <w:bidi w:val="0"/>
        <w:spacing w:before="0" w:beforeAutospacing="off" w:after="0" w:afterAutospacing="off" w:line="360" w:lineRule="auto"/>
        <w:jc w:val="both"/>
        <w:rPr>
          <w:rFonts w:ascii="Arial" w:hAnsi="Arial" w:eastAsia="Arial" w:cs="Arial"/>
          <w:noProof w:val="0"/>
          <w:sz w:val="22"/>
          <w:szCs w:val="22"/>
          <w:lang w:val="en-GB"/>
        </w:rPr>
      </w:pPr>
    </w:p>
    <w:p w:rsidR="116719BB" w:rsidP="4AF775A2" w:rsidRDefault="116719BB" w14:paraId="00FDED68" w14:textId="730AA76F">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4AF775A2" w:rsidR="116719BB">
        <w:rPr>
          <w:rFonts w:ascii="Arial" w:hAnsi="Arial" w:eastAsia="Arial" w:cs="Arial"/>
          <w:b w:val="0"/>
          <w:bCs w:val="0"/>
          <w:i w:val="0"/>
          <w:iCs w:val="0"/>
          <w:caps w:val="0"/>
          <w:smallCaps w:val="0"/>
          <w:noProof w:val="0"/>
          <w:color w:val="222222"/>
          <w:sz w:val="22"/>
          <w:szCs w:val="22"/>
          <w:lang w:val="en-GB"/>
        </w:rPr>
        <w:t>Saunders, M., et al., (2007) Research Methods for Business Students Fourth Edition.</w:t>
      </w:r>
    </w:p>
    <w:p w:rsidR="4AF775A2" w:rsidP="4AF775A2" w:rsidRDefault="4AF775A2" w14:paraId="267540CD" w14:textId="3EEC723B">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3D5F9F70" w:rsidP="4AF775A2" w:rsidRDefault="3D5F9F70" w14:paraId="725B9438" w14:textId="1C700880">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4AF775A2" w:rsidR="3D5F9F70">
        <w:rPr>
          <w:rFonts w:ascii="Arial" w:hAnsi="Arial" w:eastAsia="Arial" w:cs="Arial"/>
          <w:b w:val="0"/>
          <w:bCs w:val="0"/>
          <w:i w:val="0"/>
          <w:iCs w:val="0"/>
          <w:caps w:val="0"/>
          <w:smallCaps w:val="0"/>
          <w:noProof w:val="0"/>
          <w:color w:val="222222"/>
          <w:sz w:val="22"/>
          <w:szCs w:val="22"/>
          <w:lang w:val="en-GB"/>
        </w:rPr>
        <w:t xml:space="preserve">Saunders, M., Lewis, </w:t>
      </w:r>
      <w:r w:rsidRPr="4AF775A2" w:rsidR="3D5F9F70">
        <w:rPr>
          <w:rFonts w:ascii="Arial" w:hAnsi="Arial" w:eastAsia="Arial" w:cs="Arial"/>
          <w:b w:val="0"/>
          <w:bCs w:val="0"/>
          <w:i w:val="0"/>
          <w:iCs w:val="0"/>
          <w:caps w:val="0"/>
          <w:smallCaps w:val="0"/>
          <w:noProof w:val="0"/>
          <w:color w:val="222222"/>
          <w:sz w:val="22"/>
          <w:szCs w:val="22"/>
          <w:lang w:val="en-GB"/>
        </w:rPr>
        <w:t>P.</w:t>
      </w:r>
      <w:r w:rsidRPr="4AF775A2" w:rsidR="3D5F9F70">
        <w:rPr>
          <w:rFonts w:ascii="Arial" w:hAnsi="Arial" w:eastAsia="Arial" w:cs="Arial"/>
          <w:b w:val="0"/>
          <w:bCs w:val="0"/>
          <w:i w:val="0"/>
          <w:iCs w:val="0"/>
          <w:caps w:val="0"/>
          <w:smallCaps w:val="0"/>
          <w:noProof w:val="0"/>
          <w:color w:val="222222"/>
          <w:sz w:val="22"/>
          <w:szCs w:val="22"/>
          <w:lang w:val="en-GB"/>
        </w:rPr>
        <w:t xml:space="preserve"> and Thornhill, A. (2019) Research Methods for Business Students</w:t>
      </w:r>
      <w:r w:rsidRPr="4AF775A2" w:rsidR="2ABBF66F">
        <w:rPr>
          <w:rFonts w:ascii="Arial" w:hAnsi="Arial" w:eastAsia="Arial" w:cs="Arial"/>
          <w:b w:val="0"/>
          <w:bCs w:val="0"/>
          <w:i w:val="0"/>
          <w:iCs w:val="0"/>
          <w:caps w:val="0"/>
          <w:smallCaps w:val="0"/>
          <w:noProof w:val="0"/>
          <w:color w:val="222222"/>
          <w:sz w:val="22"/>
          <w:szCs w:val="22"/>
          <w:lang w:val="en-GB"/>
        </w:rPr>
        <w:t xml:space="preserve"> 8</w:t>
      </w:r>
      <w:r w:rsidRPr="4AF775A2" w:rsidR="2ABBF66F">
        <w:rPr>
          <w:rFonts w:ascii="Arial" w:hAnsi="Arial" w:eastAsia="Arial" w:cs="Arial"/>
          <w:b w:val="0"/>
          <w:bCs w:val="0"/>
          <w:i w:val="0"/>
          <w:iCs w:val="0"/>
          <w:caps w:val="0"/>
          <w:smallCaps w:val="0"/>
          <w:noProof w:val="0"/>
          <w:color w:val="222222"/>
          <w:sz w:val="22"/>
          <w:szCs w:val="22"/>
          <w:vertAlign w:val="superscript"/>
          <w:lang w:val="en-GB"/>
        </w:rPr>
        <w:t>th</w:t>
      </w:r>
      <w:r w:rsidRPr="4AF775A2" w:rsidR="2ABBF66F">
        <w:rPr>
          <w:rFonts w:ascii="Arial" w:hAnsi="Arial" w:eastAsia="Arial" w:cs="Arial"/>
          <w:b w:val="0"/>
          <w:bCs w:val="0"/>
          <w:i w:val="0"/>
          <w:iCs w:val="0"/>
          <w:caps w:val="0"/>
          <w:smallCaps w:val="0"/>
          <w:noProof w:val="0"/>
          <w:color w:val="222222"/>
          <w:sz w:val="22"/>
          <w:szCs w:val="22"/>
          <w:lang w:val="en-GB"/>
        </w:rPr>
        <w:t xml:space="preserve"> edn. Harlow: Pearson</w:t>
      </w:r>
    </w:p>
    <w:p w:rsidR="4AF775A2" w:rsidP="4AF775A2" w:rsidRDefault="4AF775A2" w14:paraId="0BCD1C46" w14:textId="4A1850A0">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4AF775A2" w:rsidRDefault="6D746E34" w14:paraId="5650B518" w14:textId="26C21C12">
      <w:pPr>
        <w:bidi w:val="0"/>
        <w:spacing w:before="0" w:beforeAutospacing="off" w:after="0" w:afterAutospacing="off"/>
        <w:jc w:val="both"/>
        <w:rPr>
          <w:rFonts w:ascii="Arial" w:hAnsi="Arial" w:eastAsia="Arial" w:cs="Arial"/>
          <w:noProof w:val="0"/>
          <w:sz w:val="22"/>
          <w:szCs w:val="22"/>
          <w:lang w:val="en-GB"/>
        </w:rPr>
      </w:pPr>
      <w:r w:rsidRPr="4AF775A2" w:rsidR="6D746E34">
        <w:rPr>
          <w:rFonts w:ascii="Arial" w:hAnsi="Arial" w:eastAsia="Arial" w:cs="Arial"/>
          <w:noProof w:val="0"/>
          <w:sz w:val="22"/>
          <w:szCs w:val="22"/>
          <w:lang w:val="en-GB"/>
        </w:rPr>
        <w:t xml:space="preserve">Serfointein, E. and Govender, K.K. (2020) “Stakeholders’ views regarding macro-environment impacts on commercial flight operations in South Africa,” </w:t>
      </w:r>
      <w:r w:rsidRPr="4AF775A2" w:rsidR="6D746E34">
        <w:rPr>
          <w:rFonts w:ascii="Arial" w:hAnsi="Arial" w:eastAsia="Arial" w:cs="Arial"/>
          <w:i w:val="1"/>
          <w:iCs w:val="1"/>
          <w:noProof w:val="0"/>
          <w:sz w:val="22"/>
          <w:szCs w:val="22"/>
          <w:lang w:val="en-GB"/>
        </w:rPr>
        <w:t>Journal of transport and supply chain management</w:t>
      </w:r>
      <w:r w:rsidRPr="4AF775A2" w:rsidR="6D746E34">
        <w:rPr>
          <w:rFonts w:ascii="Arial" w:hAnsi="Arial" w:eastAsia="Arial" w:cs="Arial"/>
          <w:noProof w:val="0"/>
          <w:sz w:val="22"/>
          <w:szCs w:val="22"/>
          <w:lang w:val="en-GB"/>
        </w:rPr>
        <w:t xml:space="preserve">, 14(1), pp. 1–11. Available at: </w:t>
      </w:r>
      <w:hyperlink r:id="R436e5939a4e94ec5">
        <w:r w:rsidRPr="4AF775A2" w:rsidR="6D746E34">
          <w:rPr>
            <w:rStyle w:val="Hyperlink"/>
            <w:rFonts w:ascii="Arial" w:hAnsi="Arial" w:eastAsia="Arial" w:cs="Arial"/>
            <w:noProof w:val="0"/>
            <w:sz w:val="22"/>
            <w:szCs w:val="22"/>
            <w:lang w:val="en-GB"/>
          </w:rPr>
          <w:t>https://doi.org/10.4102/jtscm.v14i0.511</w:t>
        </w:r>
      </w:hyperlink>
      <w:r w:rsidRPr="4AF775A2" w:rsidR="6D746E34">
        <w:rPr>
          <w:rFonts w:ascii="Arial" w:hAnsi="Arial" w:eastAsia="Arial" w:cs="Arial"/>
          <w:noProof w:val="0"/>
          <w:sz w:val="22"/>
          <w:szCs w:val="22"/>
          <w:lang w:val="en-GB"/>
        </w:rPr>
        <w:t>.</w:t>
      </w:r>
    </w:p>
    <w:p w:rsidR="4AF775A2" w:rsidP="4AF775A2" w:rsidRDefault="4AF775A2" w14:paraId="0ADE9B38" w14:textId="760FBDCA">
      <w:pPr>
        <w:bidi w:val="0"/>
        <w:spacing w:before="0" w:beforeAutospacing="off" w:after="0" w:afterAutospacing="off"/>
        <w:jc w:val="both"/>
        <w:rPr>
          <w:rFonts w:ascii="Arial" w:hAnsi="Arial" w:eastAsia="Arial" w:cs="Arial"/>
          <w:noProof w:val="0"/>
          <w:sz w:val="22"/>
          <w:szCs w:val="22"/>
          <w:lang w:val="en-GB"/>
        </w:rPr>
      </w:pPr>
    </w:p>
    <w:p w:rsidR="1077984E" w:rsidP="4AF775A2" w:rsidRDefault="1077984E" w14:paraId="31850B2B" w14:textId="5A70D8A2">
      <w:pPr>
        <w:bidi w:val="0"/>
        <w:spacing w:before="0" w:beforeAutospacing="off" w:after="0" w:afterAutospacing="off"/>
        <w:jc w:val="both"/>
        <w:rPr>
          <w:rFonts w:ascii="Arial" w:hAnsi="Arial" w:eastAsia="Arial" w:cs="Arial"/>
          <w:noProof w:val="0"/>
          <w:sz w:val="22"/>
          <w:szCs w:val="22"/>
          <w:lang w:val="en-GB"/>
        </w:rPr>
      </w:pPr>
      <w:r w:rsidRPr="4AF775A2" w:rsidR="1077984E">
        <w:rPr>
          <w:rFonts w:ascii="Arial" w:hAnsi="Arial" w:eastAsia="Arial" w:cs="Arial"/>
          <w:noProof w:val="0"/>
          <w:sz w:val="22"/>
          <w:szCs w:val="22"/>
          <w:lang w:val="en-GB"/>
        </w:rPr>
        <w:t>Shanker, M., 2020. Recruitment process and its impact on retention of commercial pilots in Indian aviation industry. Business Process Management Journal, 26(3), pp.736-751.</w:t>
      </w:r>
    </w:p>
    <w:p w:rsidR="4AF775A2" w:rsidP="4AF775A2" w:rsidRDefault="4AF775A2" w14:paraId="4EB563EB" w14:textId="2C8B35FE">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4AF775A2" w:rsidRDefault="6D746E34" w14:paraId="105157DA" w14:textId="53577BC6">
      <w:pPr>
        <w:bidi w:val="0"/>
        <w:spacing w:before="0" w:beforeAutospacing="off" w:after="0" w:afterAutospacing="off"/>
        <w:jc w:val="both"/>
        <w:rPr>
          <w:rFonts w:ascii="Arial" w:hAnsi="Arial" w:eastAsia="Arial" w:cs="Arial"/>
          <w:noProof w:val="0"/>
          <w:sz w:val="22"/>
          <w:szCs w:val="22"/>
          <w:lang w:val="en-GB"/>
        </w:rPr>
      </w:pPr>
      <w:r w:rsidRPr="4AF775A2" w:rsidR="6D746E34">
        <w:rPr>
          <w:rFonts w:ascii="Arial" w:hAnsi="Arial" w:eastAsia="Arial" w:cs="Arial"/>
          <w:noProof w:val="0"/>
          <w:sz w:val="22"/>
          <w:szCs w:val="22"/>
          <w:lang w:val="en-GB"/>
        </w:rPr>
        <w:t xml:space="preserve">Sluss, D.M., Klimchak, </w:t>
      </w:r>
      <w:r w:rsidRPr="4AF775A2" w:rsidR="6D746E34">
        <w:rPr>
          <w:rFonts w:ascii="Arial" w:hAnsi="Arial" w:eastAsia="Arial" w:cs="Arial"/>
          <w:noProof w:val="0"/>
          <w:sz w:val="22"/>
          <w:szCs w:val="22"/>
          <w:lang w:val="en-GB"/>
        </w:rPr>
        <w:t>M.</w:t>
      </w:r>
      <w:r w:rsidRPr="4AF775A2" w:rsidR="6D746E34">
        <w:rPr>
          <w:rFonts w:ascii="Arial" w:hAnsi="Arial" w:eastAsia="Arial" w:cs="Arial"/>
          <w:noProof w:val="0"/>
          <w:sz w:val="22"/>
          <w:szCs w:val="22"/>
          <w:lang w:val="en-GB"/>
        </w:rPr>
        <w:t xml:space="preserve"> and Holmes, J.J. (2008) “Perceived </w:t>
      </w:r>
      <w:r w:rsidRPr="4AF775A2" w:rsidR="4E716085">
        <w:rPr>
          <w:rFonts w:ascii="Arial" w:hAnsi="Arial" w:eastAsia="Arial" w:cs="Arial"/>
          <w:noProof w:val="0"/>
          <w:sz w:val="22"/>
          <w:szCs w:val="22"/>
          <w:lang w:val="en-GB"/>
        </w:rPr>
        <w:t>organisation</w:t>
      </w:r>
      <w:r w:rsidRPr="4AF775A2" w:rsidR="6D746E34">
        <w:rPr>
          <w:rFonts w:ascii="Arial" w:hAnsi="Arial" w:eastAsia="Arial" w:cs="Arial"/>
          <w:noProof w:val="0"/>
          <w:sz w:val="22"/>
          <w:szCs w:val="22"/>
          <w:lang w:val="en-GB"/>
        </w:rPr>
        <w:t xml:space="preserve">al support as a mediator between relational exchange and </w:t>
      </w:r>
      <w:r w:rsidRPr="4AF775A2" w:rsidR="4E716085">
        <w:rPr>
          <w:rFonts w:ascii="Arial" w:hAnsi="Arial" w:eastAsia="Arial" w:cs="Arial"/>
          <w:noProof w:val="0"/>
          <w:sz w:val="22"/>
          <w:szCs w:val="22"/>
          <w:lang w:val="en-GB"/>
        </w:rPr>
        <w:t>organisation</w:t>
      </w:r>
      <w:r w:rsidRPr="4AF775A2" w:rsidR="6D746E34">
        <w:rPr>
          <w:rFonts w:ascii="Arial" w:hAnsi="Arial" w:eastAsia="Arial" w:cs="Arial"/>
          <w:noProof w:val="0"/>
          <w:sz w:val="22"/>
          <w:szCs w:val="22"/>
          <w:lang w:val="en-GB"/>
        </w:rPr>
        <w:t xml:space="preserve">al identification,” </w:t>
      </w:r>
      <w:r w:rsidRPr="4AF775A2" w:rsidR="6D746E34">
        <w:rPr>
          <w:rFonts w:ascii="Arial" w:hAnsi="Arial" w:eastAsia="Arial" w:cs="Arial"/>
          <w:i w:val="1"/>
          <w:iCs w:val="1"/>
          <w:noProof w:val="0"/>
          <w:sz w:val="22"/>
          <w:szCs w:val="22"/>
          <w:lang w:val="en-GB"/>
        </w:rPr>
        <w:t xml:space="preserve">Journal of vocational </w:t>
      </w:r>
      <w:r w:rsidRPr="4AF775A2" w:rsidR="6D746E34">
        <w:rPr>
          <w:rFonts w:ascii="Arial" w:hAnsi="Arial" w:eastAsia="Arial" w:cs="Arial"/>
          <w:i w:val="1"/>
          <w:iCs w:val="1"/>
          <w:noProof w:val="0"/>
          <w:sz w:val="22"/>
          <w:szCs w:val="22"/>
          <w:lang w:val="en-GB"/>
        </w:rPr>
        <w:t>behavior</w:t>
      </w:r>
      <w:r w:rsidRPr="4AF775A2" w:rsidR="6D746E34">
        <w:rPr>
          <w:rFonts w:ascii="Arial" w:hAnsi="Arial" w:eastAsia="Arial" w:cs="Arial"/>
          <w:noProof w:val="0"/>
          <w:sz w:val="22"/>
          <w:szCs w:val="22"/>
          <w:lang w:val="en-GB"/>
        </w:rPr>
        <w:t xml:space="preserve">, 73(3), pp. 457–464. Available at: </w:t>
      </w:r>
      <w:hyperlink r:id="R0c8245c78e054a2b">
        <w:r w:rsidRPr="4AF775A2" w:rsidR="6D746E34">
          <w:rPr>
            <w:rStyle w:val="Hyperlink"/>
            <w:rFonts w:ascii="Arial" w:hAnsi="Arial" w:eastAsia="Arial" w:cs="Arial"/>
            <w:noProof w:val="0"/>
            <w:sz w:val="22"/>
            <w:szCs w:val="22"/>
            <w:lang w:val="en-GB"/>
          </w:rPr>
          <w:t>https://doi.org/10.1016/j.jvb.2008.09.001</w:t>
        </w:r>
      </w:hyperlink>
      <w:r w:rsidRPr="4AF775A2" w:rsidR="6D746E34">
        <w:rPr>
          <w:rFonts w:ascii="Arial" w:hAnsi="Arial" w:eastAsia="Arial" w:cs="Arial"/>
          <w:noProof w:val="0"/>
          <w:sz w:val="22"/>
          <w:szCs w:val="22"/>
          <w:lang w:val="en-GB"/>
        </w:rPr>
        <w:t>.</w:t>
      </w:r>
    </w:p>
    <w:p w:rsidR="4AF775A2" w:rsidP="4AF775A2" w:rsidRDefault="4AF775A2" w14:paraId="78F4E599" w14:textId="1889B06F">
      <w:pPr>
        <w:bidi w:val="0"/>
        <w:spacing w:before="0" w:beforeAutospacing="off" w:after="0" w:afterAutospacing="off"/>
        <w:jc w:val="both"/>
        <w:rPr>
          <w:rFonts w:ascii="Arial" w:hAnsi="Arial" w:eastAsia="Arial" w:cs="Arial"/>
          <w:noProof w:val="0"/>
          <w:sz w:val="22"/>
          <w:szCs w:val="22"/>
          <w:lang w:val="en-GB"/>
        </w:rPr>
      </w:pPr>
    </w:p>
    <w:p w:rsidR="6D746E34" w:rsidP="4AF775A2" w:rsidRDefault="6D746E34" w14:paraId="337CA7CF" w14:textId="024DB90A">
      <w:pPr>
        <w:bidi w:val="0"/>
        <w:spacing w:before="0" w:beforeAutospacing="off" w:after="0" w:afterAutospacing="off" w:line="360" w:lineRule="auto"/>
        <w:jc w:val="both"/>
        <w:rPr>
          <w:rFonts w:ascii="Arial" w:hAnsi="Arial" w:eastAsia="Arial" w:cs="Arial"/>
          <w:noProof w:val="0"/>
          <w:sz w:val="22"/>
          <w:szCs w:val="22"/>
          <w:lang w:val="en-GB"/>
        </w:rPr>
      </w:pPr>
      <w:r w:rsidRPr="4AF775A2" w:rsidR="6D746E34">
        <w:rPr>
          <w:rFonts w:ascii="Arial" w:hAnsi="Arial" w:eastAsia="Arial" w:cs="Arial"/>
          <w:noProof w:val="0"/>
          <w:sz w:val="22"/>
          <w:szCs w:val="22"/>
          <w:lang w:val="en-GB"/>
        </w:rPr>
        <w:t xml:space="preserve">Snyder, H. (2019) “Literature review as a research methodology: An overview and guidelines,” </w:t>
      </w:r>
      <w:r w:rsidRPr="4AF775A2" w:rsidR="6D746E34">
        <w:rPr>
          <w:rFonts w:ascii="Arial" w:hAnsi="Arial" w:eastAsia="Arial" w:cs="Arial"/>
          <w:i w:val="1"/>
          <w:iCs w:val="1"/>
          <w:noProof w:val="0"/>
          <w:sz w:val="22"/>
          <w:szCs w:val="22"/>
          <w:lang w:val="en-GB"/>
        </w:rPr>
        <w:t>Journal of business research</w:t>
      </w:r>
      <w:r w:rsidRPr="4AF775A2" w:rsidR="6D746E34">
        <w:rPr>
          <w:rFonts w:ascii="Arial" w:hAnsi="Arial" w:eastAsia="Arial" w:cs="Arial"/>
          <w:noProof w:val="0"/>
          <w:sz w:val="22"/>
          <w:szCs w:val="22"/>
          <w:lang w:val="en-GB"/>
        </w:rPr>
        <w:t xml:space="preserve">, 104, pp. 333–339. Available at: </w:t>
      </w:r>
      <w:hyperlink r:id="R116c48a959be4c09">
        <w:r w:rsidRPr="4AF775A2" w:rsidR="6D746E34">
          <w:rPr>
            <w:rStyle w:val="Hyperlink"/>
            <w:rFonts w:ascii="Arial" w:hAnsi="Arial" w:eastAsia="Arial" w:cs="Arial"/>
            <w:noProof w:val="0"/>
            <w:sz w:val="22"/>
            <w:szCs w:val="22"/>
            <w:lang w:val="en-GB"/>
          </w:rPr>
          <w:t>https://doi.org/10.1016/j.jbusres.2019.07.039</w:t>
        </w:r>
      </w:hyperlink>
      <w:r w:rsidRPr="4AF775A2" w:rsidR="6D746E34">
        <w:rPr>
          <w:rFonts w:ascii="Arial" w:hAnsi="Arial" w:eastAsia="Arial" w:cs="Arial"/>
          <w:noProof w:val="0"/>
          <w:sz w:val="22"/>
          <w:szCs w:val="22"/>
          <w:lang w:val="en-GB"/>
        </w:rPr>
        <w:t>.</w:t>
      </w:r>
    </w:p>
    <w:p w:rsidR="4AF775A2" w:rsidP="4AF775A2" w:rsidRDefault="4AF775A2" w14:paraId="7697288E" w14:textId="3D32C1B0">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4AF775A2" w:rsidRDefault="6D746E34" w14:paraId="5989EF51" w14:textId="1DD301CC">
      <w:pPr>
        <w:bidi w:val="0"/>
        <w:spacing w:before="0" w:beforeAutospacing="off" w:after="0" w:afterAutospacing="off"/>
        <w:jc w:val="both"/>
        <w:rPr>
          <w:rFonts w:ascii="Arial" w:hAnsi="Arial" w:eastAsia="Arial" w:cs="Arial"/>
          <w:noProof w:val="0"/>
          <w:sz w:val="22"/>
          <w:szCs w:val="22"/>
          <w:lang w:val="en-GB"/>
        </w:rPr>
      </w:pPr>
      <w:r w:rsidRPr="4AF775A2" w:rsidR="6D746E34">
        <w:rPr>
          <w:rFonts w:ascii="Arial" w:hAnsi="Arial" w:eastAsia="Arial" w:cs="Arial"/>
          <w:noProof w:val="0"/>
          <w:sz w:val="22"/>
          <w:szCs w:val="22"/>
          <w:lang w:val="en-GB"/>
        </w:rPr>
        <w:t xml:space="preserve">Steen, R. </w:t>
      </w:r>
      <w:r w:rsidRPr="4AF775A2" w:rsidR="6D746E34">
        <w:rPr>
          <w:rFonts w:ascii="Arial" w:hAnsi="Arial" w:eastAsia="Arial" w:cs="Arial"/>
          <w:i w:val="1"/>
          <w:iCs w:val="1"/>
          <w:noProof w:val="0"/>
          <w:sz w:val="22"/>
          <w:szCs w:val="22"/>
          <w:lang w:val="en-GB"/>
        </w:rPr>
        <w:t>et al.</w:t>
      </w:r>
      <w:r w:rsidRPr="4AF775A2" w:rsidR="6D746E34">
        <w:rPr>
          <w:rFonts w:ascii="Arial" w:hAnsi="Arial" w:eastAsia="Arial" w:cs="Arial"/>
          <w:noProof w:val="0"/>
          <w:sz w:val="22"/>
          <w:szCs w:val="22"/>
          <w:lang w:val="en-GB"/>
        </w:rPr>
        <w:t xml:space="preserve"> (2024) “Dark knights: Exploring resilience and hidden workarounds in commercial aviation through mixed methods,” </w:t>
      </w:r>
      <w:r w:rsidRPr="4AF775A2" w:rsidR="6D746E34">
        <w:rPr>
          <w:rFonts w:ascii="Arial" w:hAnsi="Arial" w:eastAsia="Arial" w:cs="Arial"/>
          <w:i w:val="1"/>
          <w:iCs w:val="1"/>
          <w:noProof w:val="0"/>
          <w:sz w:val="22"/>
          <w:szCs w:val="22"/>
          <w:lang w:val="en-GB"/>
        </w:rPr>
        <w:t>Safety science</w:t>
      </w:r>
      <w:r w:rsidRPr="4AF775A2" w:rsidR="6D746E34">
        <w:rPr>
          <w:rFonts w:ascii="Arial" w:hAnsi="Arial" w:eastAsia="Arial" w:cs="Arial"/>
          <w:noProof w:val="0"/>
          <w:sz w:val="22"/>
          <w:szCs w:val="22"/>
          <w:lang w:val="en-GB"/>
        </w:rPr>
        <w:t xml:space="preserve">, 175. Available at: </w:t>
      </w:r>
      <w:hyperlink r:id="R4a07f9660663415b">
        <w:r w:rsidRPr="4AF775A2" w:rsidR="6D746E34">
          <w:rPr>
            <w:rStyle w:val="Hyperlink"/>
            <w:rFonts w:ascii="Arial" w:hAnsi="Arial" w:eastAsia="Arial" w:cs="Arial"/>
            <w:noProof w:val="0"/>
            <w:sz w:val="22"/>
            <w:szCs w:val="22"/>
            <w:lang w:val="en-GB"/>
          </w:rPr>
          <w:t>https://doi.org/10.1016/j.ssci.2024.106498</w:t>
        </w:r>
      </w:hyperlink>
      <w:r w:rsidRPr="4AF775A2" w:rsidR="6D746E34">
        <w:rPr>
          <w:rFonts w:ascii="Arial" w:hAnsi="Arial" w:eastAsia="Arial" w:cs="Arial"/>
          <w:noProof w:val="0"/>
          <w:sz w:val="22"/>
          <w:szCs w:val="22"/>
          <w:lang w:val="en-GB"/>
        </w:rPr>
        <w:t>.</w:t>
      </w:r>
    </w:p>
    <w:p w:rsidR="4AF775A2" w:rsidP="4AF775A2" w:rsidRDefault="4AF775A2" w14:paraId="65410D30" w14:textId="62AC11EA">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4AF775A2" w:rsidRDefault="6D746E34" w14:paraId="61BE5987" w14:textId="47E8C98A">
      <w:pPr>
        <w:bidi w:val="0"/>
        <w:spacing w:before="0" w:beforeAutospacing="off" w:after="0" w:afterAutospacing="off"/>
        <w:jc w:val="both"/>
        <w:rPr>
          <w:rFonts w:ascii="Arial" w:hAnsi="Arial" w:eastAsia="Arial" w:cs="Arial"/>
          <w:noProof w:val="0"/>
          <w:sz w:val="22"/>
          <w:szCs w:val="22"/>
          <w:lang w:val="en-GB"/>
        </w:rPr>
      </w:pPr>
      <w:r w:rsidRPr="4AF775A2" w:rsidR="6D746E34">
        <w:rPr>
          <w:rFonts w:ascii="Arial" w:hAnsi="Arial" w:eastAsia="Arial" w:cs="Arial"/>
          <w:noProof w:val="0"/>
          <w:sz w:val="22"/>
          <w:szCs w:val="22"/>
          <w:lang w:val="en-GB"/>
        </w:rPr>
        <w:t xml:space="preserve">Su, S., Baird, K. and Munir, R. (2023) “Organisational resilience: the role of organisational culture from an organisational life cycle perspective,” </w:t>
      </w:r>
      <w:r w:rsidRPr="4AF775A2" w:rsidR="6D746E34">
        <w:rPr>
          <w:rFonts w:ascii="Arial" w:hAnsi="Arial" w:eastAsia="Arial" w:cs="Arial"/>
          <w:i w:val="1"/>
          <w:iCs w:val="1"/>
          <w:noProof w:val="0"/>
          <w:sz w:val="22"/>
          <w:szCs w:val="22"/>
          <w:lang w:val="en-GB"/>
        </w:rPr>
        <w:t>International journal of manpower</w:t>
      </w:r>
      <w:r w:rsidRPr="4AF775A2" w:rsidR="6D746E34">
        <w:rPr>
          <w:rFonts w:ascii="Arial" w:hAnsi="Arial" w:eastAsia="Arial" w:cs="Arial"/>
          <w:noProof w:val="0"/>
          <w:sz w:val="22"/>
          <w:szCs w:val="22"/>
          <w:lang w:val="en-GB"/>
        </w:rPr>
        <w:t xml:space="preserve">, 44(3), pp. 403–421. Available at: </w:t>
      </w:r>
      <w:hyperlink r:id="Ra5eb5266409d47e2">
        <w:r w:rsidRPr="4AF775A2" w:rsidR="6D746E34">
          <w:rPr>
            <w:rStyle w:val="Hyperlink"/>
            <w:rFonts w:ascii="Arial" w:hAnsi="Arial" w:eastAsia="Arial" w:cs="Arial"/>
            <w:noProof w:val="0"/>
            <w:sz w:val="22"/>
            <w:szCs w:val="22"/>
            <w:lang w:val="en-GB"/>
          </w:rPr>
          <w:t>https://doi.org/10.1108/IJM-11-2021-0631</w:t>
        </w:r>
      </w:hyperlink>
      <w:r w:rsidRPr="4AF775A2" w:rsidR="6D746E34">
        <w:rPr>
          <w:rFonts w:ascii="Arial" w:hAnsi="Arial" w:eastAsia="Arial" w:cs="Arial"/>
          <w:noProof w:val="0"/>
          <w:sz w:val="22"/>
          <w:szCs w:val="22"/>
          <w:lang w:val="en-GB"/>
        </w:rPr>
        <w:t>.</w:t>
      </w:r>
    </w:p>
    <w:p w:rsidR="4AF775A2" w:rsidP="4AF775A2" w:rsidRDefault="4AF775A2" w14:paraId="1C7CC972" w14:textId="65ABAC92">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4AF775A2" w:rsidRDefault="6D746E34" w14:paraId="00C696AA" w14:textId="0CC110D2">
      <w:pPr>
        <w:bidi w:val="0"/>
        <w:spacing w:before="0" w:beforeAutospacing="off" w:after="0" w:afterAutospacing="off"/>
        <w:jc w:val="both"/>
        <w:rPr>
          <w:rFonts w:ascii="Arial" w:hAnsi="Arial" w:eastAsia="Arial" w:cs="Arial"/>
          <w:noProof w:val="0"/>
          <w:sz w:val="22"/>
          <w:szCs w:val="22"/>
          <w:lang w:val="en-GB"/>
        </w:rPr>
      </w:pPr>
      <w:r w:rsidRPr="4AF775A2" w:rsidR="6D746E34">
        <w:rPr>
          <w:rFonts w:ascii="Arial" w:hAnsi="Arial" w:eastAsia="Arial" w:cs="Arial"/>
          <w:noProof w:val="0"/>
          <w:sz w:val="22"/>
          <w:szCs w:val="22"/>
          <w:lang w:val="en-GB"/>
        </w:rPr>
        <w:t xml:space="preserve">Tej, J. </w:t>
      </w:r>
      <w:r w:rsidRPr="4AF775A2" w:rsidR="6D746E34">
        <w:rPr>
          <w:rFonts w:ascii="Arial" w:hAnsi="Arial" w:eastAsia="Arial" w:cs="Arial"/>
          <w:i w:val="1"/>
          <w:iCs w:val="1"/>
          <w:noProof w:val="0"/>
          <w:sz w:val="22"/>
          <w:szCs w:val="22"/>
          <w:lang w:val="en-GB"/>
        </w:rPr>
        <w:t>et al.</w:t>
      </w:r>
      <w:r w:rsidRPr="4AF775A2" w:rsidR="6D746E34">
        <w:rPr>
          <w:rFonts w:ascii="Arial" w:hAnsi="Arial" w:eastAsia="Arial" w:cs="Arial"/>
          <w:noProof w:val="0"/>
          <w:sz w:val="22"/>
          <w:szCs w:val="22"/>
          <w:lang w:val="en-GB"/>
        </w:rPr>
        <w:t xml:space="preserve"> (2021) “Examining HRM Practices in Relation to the Retention and Commitment of Talented Employees,” </w:t>
      </w:r>
      <w:r w:rsidRPr="4AF775A2" w:rsidR="6D746E34">
        <w:rPr>
          <w:rFonts w:ascii="Arial" w:hAnsi="Arial" w:eastAsia="Arial" w:cs="Arial"/>
          <w:i w:val="1"/>
          <w:iCs w:val="1"/>
          <w:noProof w:val="0"/>
          <w:sz w:val="22"/>
          <w:szCs w:val="22"/>
          <w:lang w:val="en-GB"/>
        </w:rPr>
        <w:t>Sustainability</w:t>
      </w:r>
      <w:r w:rsidRPr="4AF775A2" w:rsidR="6D746E34">
        <w:rPr>
          <w:rFonts w:ascii="Arial" w:hAnsi="Arial" w:eastAsia="Arial" w:cs="Arial"/>
          <w:noProof w:val="0"/>
          <w:sz w:val="22"/>
          <w:szCs w:val="22"/>
          <w:lang w:val="en-GB"/>
        </w:rPr>
        <w:t xml:space="preserve">, 13(24), p. 13923. Available at: </w:t>
      </w:r>
      <w:hyperlink r:id="Rdd1a6ecdc8db4e83">
        <w:r w:rsidRPr="4AF775A2" w:rsidR="6D746E34">
          <w:rPr>
            <w:rStyle w:val="Hyperlink"/>
            <w:rFonts w:ascii="Arial" w:hAnsi="Arial" w:eastAsia="Arial" w:cs="Arial"/>
            <w:noProof w:val="0"/>
            <w:sz w:val="22"/>
            <w:szCs w:val="22"/>
            <w:lang w:val="en-GB"/>
          </w:rPr>
          <w:t>https://doi.org/10.3390/su132413923</w:t>
        </w:r>
      </w:hyperlink>
      <w:r w:rsidRPr="4AF775A2" w:rsidR="6D746E34">
        <w:rPr>
          <w:rFonts w:ascii="Arial" w:hAnsi="Arial" w:eastAsia="Arial" w:cs="Arial"/>
          <w:noProof w:val="0"/>
          <w:sz w:val="22"/>
          <w:szCs w:val="22"/>
          <w:lang w:val="en-GB"/>
        </w:rPr>
        <w:t>.</w:t>
      </w:r>
    </w:p>
    <w:p w:rsidR="4AF775A2" w:rsidP="4AF775A2" w:rsidRDefault="4AF775A2" w14:paraId="3DC70DDC" w14:textId="4D97C4BA">
      <w:pPr>
        <w:bidi w:val="0"/>
        <w:spacing w:before="0" w:beforeAutospacing="off" w:after="0" w:afterAutospacing="off" w:line="360" w:lineRule="auto"/>
        <w:jc w:val="both"/>
        <w:rPr>
          <w:rFonts w:ascii="Arial" w:hAnsi="Arial" w:eastAsia="Arial" w:cs="Arial"/>
          <w:noProof w:val="0"/>
          <w:sz w:val="22"/>
          <w:szCs w:val="22"/>
          <w:lang w:val="en-GB"/>
        </w:rPr>
      </w:pPr>
    </w:p>
    <w:p w:rsidR="3CFF5116" w:rsidP="4AF775A2" w:rsidRDefault="3CFF5116" w14:paraId="66A42349" w14:textId="57FE4C1B">
      <w:pPr>
        <w:bidi w:val="0"/>
        <w:spacing w:before="0" w:beforeAutospacing="off" w:after="0" w:afterAutospacing="off" w:line="360" w:lineRule="auto"/>
        <w:jc w:val="both"/>
        <w:rPr>
          <w:rFonts w:ascii="Arial" w:hAnsi="Arial" w:eastAsia="Arial" w:cs="Arial"/>
          <w:noProof w:val="0"/>
          <w:sz w:val="22"/>
          <w:szCs w:val="22"/>
          <w:lang w:val="en-GB"/>
        </w:rPr>
      </w:pPr>
      <w:r w:rsidRPr="4AF775A2" w:rsidR="3CFF5116">
        <w:rPr>
          <w:rFonts w:ascii="Arial" w:hAnsi="Arial" w:eastAsia="Arial" w:cs="Arial"/>
          <w:noProof w:val="0"/>
          <w:sz w:val="22"/>
          <w:szCs w:val="22"/>
          <w:lang w:val="en-GB"/>
        </w:rPr>
        <w:t xml:space="preserve">Thompson, P. (2011) “The trouble with HRM,” </w:t>
      </w:r>
      <w:r w:rsidRPr="4AF775A2" w:rsidR="3CFF5116">
        <w:rPr>
          <w:rFonts w:ascii="Arial" w:hAnsi="Arial" w:eastAsia="Arial" w:cs="Arial"/>
          <w:i w:val="1"/>
          <w:iCs w:val="1"/>
          <w:noProof w:val="0"/>
          <w:sz w:val="22"/>
          <w:szCs w:val="22"/>
          <w:lang w:val="en-GB"/>
        </w:rPr>
        <w:t>Human resource management journal</w:t>
      </w:r>
      <w:r w:rsidRPr="4AF775A2" w:rsidR="3CFF5116">
        <w:rPr>
          <w:rFonts w:ascii="Arial" w:hAnsi="Arial" w:eastAsia="Arial" w:cs="Arial"/>
          <w:noProof w:val="0"/>
          <w:sz w:val="22"/>
          <w:szCs w:val="22"/>
          <w:lang w:val="en-GB"/>
        </w:rPr>
        <w:t xml:space="preserve">, 21(4), pp. 355–367. Available at: </w:t>
      </w:r>
      <w:hyperlink r:id="R8d963ab96b9a4780">
        <w:r w:rsidRPr="4AF775A2" w:rsidR="3CFF5116">
          <w:rPr>
            <w:rStyle w:val="Hyperlink"/>
            <w:rFonts w:ascii="Arial" w:hAnsi="Arial" w:eastAsia="Arial" w:cs="Arial"/>
            <w:noProof w:val="0"/>
            <w:sz w:val="22"/>
            <w:szCs w:val="22"/>
            <w:lang w:val="en-GB"/>
          </w:rPr>
          <w:t>https://doi.org/10.1111/j.1748-8583.2011.00180.x</w:t>
        </w:r>
      </w:hyperlink>
      <w:r w:rsidRPr="4AF775A2" w:rsidR="3CFF5116">
        <w:rPr>
          <w:rFonts w:ascii="Arial" w:hAnsi="Arial" w:eastAsia="Arial" w:cs="Arial"/>
          <w:noProof w:val="0"/>
          <w:sz w:val="22"/>
          <w:szCs w:val="22"/>
          <w:lang w:val="en-GB"/>
        </w:rPr>
        <w:t>.</w:t>
      </w:r>
    </w:p>
    <w:p w:rsidR="034594A6" w:rsidP="4AF775A2" w:rsidRDefault="034594A6" w14:paraId="23D4DCBF" w14:textId="3D490263">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7FD983E1" w:rsidP="4AF775A2" w:rsidRDefault="7FD983E1" w14:paraId="28CBD388" w14:textId="292BAA7D">
      <w:pPr>
        <w:bidi w:val="0"/>
        <w:spacing w:before="0" w:beforeAutospacing="off" w:after="0" w:afterAutospacing="off" w:line="360" w:lineRule="auto"/>
        <w:jc w:val="both"/>
        <w:rPr>
          <w:rFonts w:ascii="Arial" w:hAnsi="Arial" w:eastAsia="Arial" w:cs="Arial"/>
          <w:noProof w:val="0"/>
          <w:sz w:val="22"/>
          <w:szCs w:val="22"/>
          <w:lang w:val="en-GB"/>
        </w:rPr>
      </w:pPr>
      <w:r w:rsidRPr="4AF775A2" w:rsidR="7FD983E1">
        <w:rPr>
          <w:rFonts w:ascii="Arial" w:hAnsi="Arial" w:eastAsia="Arial" w:cs="Arial"/>
          <w:noProof w:val="0"/>
          <w:sz w:val="22"/>
          <w:szCs w:val="22"/>
          <w:lang w:val="en-GB"/>
        </w:rPr>
        <w:t xml:space="preserve">Uddin, N. and Hossain, F. (2015) “Evolution of Modern Management through Taylorism: An Adjustment of Scientific Management Comprising Behavioral Science,” </w:t>
      </w:r>
      <w:r w:rsidRPr="4AF775A2" w:rsidR="7FD983E1">
        <w:rPr>
          <w:rFonts w:ascii="Arial" w:hAnsi="Arial" w:eastAsia="Arial" w:cs="Arial"/>
          <w:i w:val="1"/>
          <w:iCs w:val="1"/>
          <w:noProof w:val="0"/>
          <w:sz w:val="22"/>
          <w:szCs w:val="22"/>
          <w:lang w:val="en-GB"/>
        </w:rPr>
        <w:t>Procedia computer science</w:t>
      </w:r>
      <w:r w:rsidRPr="4AF775A2" w:rsidR="7FD983E1">
        <w:rPr>
          <w:rFonts w:ascii="Arial" w:hAnsi="Arial" w:eastAsia="Arial" w:cs="Arial"/>
          <w:noProof w:val="0"/>
          <w:sz w:val="22"/>
          <w:szCs w:val="22"/>
          <w:lang w:val="en-GB"/>
        </w:rPr>
        <w:t xml:space="preserve">, 62, pp. 578–584. Available at: </w:t>
      </w:r>
      <w:hyperlink r:id="Rfdc100cb1cd74e42">
        <w:r w:rsidRPr="4AF775A2" w:rsidR="7FD983E1">
          <w:rPr>
            <w:rStyle w:val="Hyperlink"/>
            <w:rFonts w:ascii="Arial" w:hAnsi="Arial" w:eastAsia="Arial" w:cs="Arial"/>
            <w:noProof w:val="0"/>
            <w:sz w:val="22"/>
            <w:szCs w:val="22"/>
            <w:lang w:val="en-GB"/>
          </w:rPr>
          <w:t>https://doi.org/10.1016/j.procs.2015.08.537</w:t>
        </w:r>
      </w:hyperlink>
      <w:r w:rsidRPr="4AF775A2" w:rsidR="7FD983E1">
        <w:rPr>
          <w:rFonts w:ascii="Arial" w:hAnsi="Arial" w:eastAsia="Arial" w:cs="Arial"/>
          <w:noProof w:val="0"/>
          <w:sz w:val="22"/>
          <w:szCs w:val="22"/>
          <w:lang w:val="en-GB"/>
        </w:rPr>
        <w:t>.</w:t>
      </w:r>
    </w:p>
    <w:p w:rsidR="243BEF60" w:rsidP="4AF775A2" w:rsidRDefault="243BEF60" w14:paraId="5C67A17B" w14:textId="7AF4E5C9">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03D8D69F" w14:textId="3CB5BCF8">
      <w:pPr>
        <w:bidi w:val="0"/>
        <w:spacing w:before="0" w:beforeAutospacing="off" w:after="0" w:afterAutospacing="off"/>
        <w:jc w:val="both"/>
        <w:rPr>
          <w:rFonts w:ascii="Arial" w:hAnsi="Arial" w:eastAsia="Arial" w:cs="Arial"/>
          <w:noProof w:val="0"/>
          <w:sz w:val="22"/>
          <w:szCs w:val="22"/>
          <w:lang w:val="en-GB"/>
        </w:rPr>
      </w:pPr>
      <w:r w:rsidRPr="4AF775A2" w:rsidR="1C81BA86">
        <w:rPr>
          <w:rFonts w:ascii="Arial" w:hAnsi="Arial" w:eastAsia="Arial" w:cs="Arial"/>
          <w:noProof w:val="0"/>
          <w:sz w:val="22"/>
          <w:szCs w:val="22"/>
          <w:lang w:val="en-GB"/>
        </w:rPr>
        <w:t xml:space="preserve">Urbini, F. </w:t>
      </w:r>
      <w:r w:rsidRPr="4AF775A2" w:rsidR="1C81BA86">
        <w:rPr>
          <w:rFonts w:ascii="Arial" w:hAnsi="Arial" w:eastAsia="Arial" w:cs="Arial"/>
          <w:i w:val="1"/>
          <w:iCs w:val="1"/>
          <w:noProof w:val="0"/>
          <w:sz w:val="22"/>
          <w:szCs w:val="22"/>
          <w:lang w:val="en-GB"/>
        </w:rPr>
        <w:t>et al.</w:t>
      </w:r>
      <w:r w:rsidRPr="4AF775A2" w:rsidR="1C81BA86">
        <w:rPr>
          <w:rFonts w:ascii="Arial" w:hAnsi="Arial" w:eastAsia="Arial" w:cs="Arial"/>
          <w:noProof w:val="0"/>
          <w:sz w:val="22"/>
          <w:szCs w:val="22"/>
          <w:lang w:val="en-GB"/>
        </w:rPr>
        <w:t xml:space="preserve"> (2021) “HRM Practices and Work Engagement Relationship: Differences Concerning Individual Adaptability,” </w:t>
      </w:r>
      <w:r w:rsidRPr="4AF775A2" w:rsidR="1C81BA86">
        <w:rPr>
          <w:rFonts w:ascii="Arial" w:hAnsi="Arial" w:eastAsia="Arial" w:cs="Arial"/>
          <w:i w:val="1"/>
          <w:iCs w:val="1"/>
          <w:noProof w:val="0"/>
          <w:sz w:val="22"/>
          <w:szCs w:val="22"/>
          <w:lang w:val="en-GB"/>
        </w:rPr>
        <w:t>Sustainability</w:t>
      </w:r>
      <w:r w:rsidRPr="4AF775A2" w:rsidR="1C81BA86">
        <w:rPr>
          <w:rFonts w:ascii="Arial" w:hAnsi="Arial" w:eastAsia="Arial" w:cs="Arial"/>
          <w:noProof w:val="0"/>
          <w:sz w:val="22"/>
          <w:szCs w:val="22"/>
          <w:lang w:val="en-GB"/>
        </w:rPr>
        <w:t xml:space="preserve">, 13(19), p. 10666. Available at: </w:t>
      </w:r>
      <w:hyperlink r:id="Rcf0267250a884e0e">
        <w:r w:rsidRPr="4AF775A2" w:rsidR="1C81BA86">
          <w:rPr>
            <w:rStyle w:val="Hyperlink"/>
            <w:rFonts w:ascii="Arial" w:hAnsi="Arial" w:eastAsia="Arial" w:cs="Arial"/>
            <w:noProof w:val="0"/>
            <w:sz w:val="22"/>
            <w:szCs w:val="22"/>
            <w:lang w:val="en-GB"/>
          </w:rPr>
          <w:t>https://doi.org/10.3390/su131910666</w:t>
        </w:r>
      </w:hyperlink>
      <w:r w:rsidRPr="4AF775A2" w:rsidR="1C81BA86">
        <w:rPr>
          <w:rFonts w:ascii="Arial" w:hAnsi="Arial" w:eastAsia="Arial" w:cs="Arial"/>
          <w:noProof w:val="0"/>
          <w:sz w:val="22"/>
          <w:szCs w:val="22"/>
          <w:lang w:val="en-GB"/>
        </w:rPr>
        <w:t>.</w:t>
      </w:r>
    </w:p>
    <w:p w:rsidR="243BEF60" w:rsidP="4AF775A2" w:rsidRDefault="243BEF60" w14:paraId="3025012B" w14:textId="3BAFDC23">
      <w:pPr>
        <w:bidi w:val="0"/>
        <w:spacing w:before="0" w:beforeAutospacing="off" w:after="0" w:afterAutospacing="off" w:line="360" w:lineRule="auto"/>
        <w:jc w:val="both"/>
        <w:rPr>
          <w:rFonts w:ascii="Arial" w:hAnsi="Arial" w:eastAsia="Arial" w:cs="Arial"/>
          <w:noProof w:val="0"/>
          <w:sz w:val="22"/>
          <w:szCs w:val="22"/>
          <w:lang w:val="en-GB"/>
        </w:rPr>
      </w:pPr>
    </w:p>
    <w:p w:rsidR="243BEF60" w:rsidP="4AF775A2" w:rsidRDefault="243BEF60" w14:paraId="66469920" w14:textId="787E8D12">
      <w:pPr>
        <w:bidi w:val="0"/>
        <w:spacing w:before="0" w:beforeAutospacing="off" w:after="0" w:afterAutospacing="off"/>
        <w:jc w:val="both"/>
        <w:rPr>
          <w:rFonts w:ascii="Arial" w:hAnsi="Arial" w:eastAsia="Arial" w:cs="Arial"/>
          <w:noProof w:val="0"/>
          <w:sz w:val="22"/>
          <w:szCs w:val="22"/>
          <w:lang w:val="en-GB"/>
        </w:rPr>
      </w:pPr>
      <w:r w:rsidRPr="4AF775A2" w:rsidR="1C81BA86">
        <w:rPr>
          <w:rFonts w:ascii="Arial" w:hAnsi="Arial" w:eastAsia="Arial" w:cs="Arial"/>
          <w:noProof w:val="0"/>
          <w:sz w:val="22"/>
          <w:szCs w:val="22"/>
          <w:lang w:val="en-GB"/>
        </w:rPr>
        <w:t xml:space="preserve">Vu, T.-V. (2022) “Perceived socially responsible HRM, employee </w:t>
      </w:r>
      <w:r w:rsidRPr="4AF775A2" w:rsidR="4E716085">
        <w:rPr>
          <w:rFonts w:ascii="Arial" w:hAnsi="Arial" w:eastAsia="Arial" w:cs="Arial"/>
          <w:noProof w:val="0"/>
          <w:sz w:val="22"/>
          <w:szCs w:val="22"/>
          <w:lang w:val="en-GB"/>
        </w:rPr>
        <w:t>organisation</w:t>
      </w:r>
      <w:r w:rsidRPr="4AF775A2" w:rsidR="1C81BA86">
        <w:rPr>
          <w:rFonts w:ascii="Arial" w:hAnsi="Arial" w:eastAsia="Arial" w:cs="Arial"/>
          <w:noProof w:val="0"/>
          <w:sz w:val="22"/>
          <w:szCs w:val="22"/>
          <w:lang w:val="en-GB"/>
        </w:rPr>
        <w:t xml:space="preserve">al identification, and job performance: the moderating effect of perceived </w:t>
      </w:r>
      <w:r w:rsidRPr="4AF775A2" w:rsidR="4E716085">
        <w:rPr>
          <w:rFonts w:ascii="Arial" w:hAnsi="Arial" w:eastAsia="Arial" w:cs="Arial"/>
          <w:noProof w:val="0"/>
          <w:sz w:val="22"/>
          <w:szCs w:val="22"/>
          <w:lang w:val="en-GB"/>
        </w:rPr>
        <w:t>organisation</w:t>
      </w:r>
      <w:r w:rsidRPr="4AF775A2" w:rsidR="1C81BA86">
        <w:rPr>
          <w:rFonts w:ascii="Arial" w:hAnsi="Arial" w:eastAsia="Arial" w:cs="Arial"/>
          <w:noProof w:val="0"/>
          <w:sz w:val="22"/>
          <w:szCs w:val="22"/>
          <w:lang w:val="en-GB"/>
        </w:rPr>
        <w:t xml:space="preserve">al response to a global crisis,” </w:t>
      </w:r>
      <w:r w:rsidRPr="4AF775A2" w:rsidR="1C81BA86">
        <w:rPr>
          <w:rFonts w:ascii="Arial" w:hAnsi="Arial" w:eastAsia="Arial" w:cs="Arial"/>
          <w:i w:val="1"/>
          <w:iCs w:val="1"/>
          <w:noProof w:val="0"/>
          <w:sz w:val="22"/>
          <w:szCs w:val="22"/>
          <w:lang w:val="en-GB"/>
        </w:rPr>
        <w:t>Heliyon</w:t>
      </w:r>
      <w:r w:rsidRPr="4AF775A2" w:rsidR="1C81BA86">
        <w:rPr>
          <w:rFonts w:ascii="Arial" w:hAnsi="Arial" w:eastAsia="Arial" w:cs="Arial"/>
          <w:noProof w:val="0"/>
          <w:sz w:val="22"/>
          <w:szCs w:val="22"/>
          <w:lang w:val="en-GB"/>
        </w:rPr>
        <w:t xml:space="preserve">, 8(11). Available at: </w:t>
      </w:r>
      <w:hyperlink r:id="R7200c127b9cf4587">
        <w:r w:rsidRPr="4AF775A2" w:rsidR="1C81BA86">
          <w:rPr>
            <w:rStyle w:val="Hyperlink"/>
            <w:rFonts w:ascii="Arial" w:hAnsi="Arial" w:eastAsia="Arial" w:cs="Arial"/>
            <w:noProof w:val="0"/>
            <w:sz w:val="22"/>
            <w:szCs w:val="22"/>
            <w:lang w:val="en-GB"/>
          </w:rPr>
          <w:t>https://doi.org/10.1016/j.heliyon.2022.e11563</w:t>
        </w:r>
      </w:hyperlink>
      <w:r w:rsidRPr="4AF775A2" w:rsidR="1C81BA86">
        <w:rPr>
          <w:rFonts w:ascii="Arial" w:hAnsi="Arial" w:eastAsia="Arial" w:cs="Arial"/>
          <w:noProof w:val="0"/>
          <w:sz w:val="22"/>
          <w:szCs w:val="22"/>
          <w:lang w:val="en-GB"/>
        </w:rPr>
        <w:t>.</w:t>
      </w:r>
    </w:p>
    <w:p w:rsidR="243BEF60" w:rsidP="4AF775A2" w:rsidRDefault="243BEF60" w14:paraId="15D6191B" w14:textId="680DD004">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C81BA86" w:rsidP="4AF775A2" w:rsidRDefault="1C81BA86" w14:paraId="1FE84640" w14:textId="1E2FACF8">
      <w:pPr>
        <w:bidi w:val="0"/>
        <w:spacing w:before="0" w:beforeAutospacing="off" w:after="0" w:afterAutospacing="off"/>
        <w:jc w:val="both"/>
        <w:rPr>
          <w:rFonts w:ascii="Arial" w:hAnsi="Arial" w:eastAsia="Arial" w:cs="Arial"/>
          <w:noProof w:val="0"/>
          <w:sz w:val="22"/>
          <w:szCs w:val="22"/>
          <w:lang w:val="en-GB"/>
        </w:rPr>
      </w:pPr>
      <w:r w:rsidRPr="4AF775A2" w:rsidR="1C81BA86">
        <w:rPr>
          <w:rFonts w:ascii="Arial" w:hAnsi="Arial" w:eastAsia="Arial" w:cs="Arial"/>
          <w:noProof w:val="0"/>
          <w:sz w:val="22"/>
          <w:szCs w:val="22"/>
          <w:lang w:val="en-GB"/>
        </w:rPr>
        <w:t xml:space="preserve">Walthall, H. </w:t>
      </w:r>
      <w:r w:rsidRPr="4AF775A2" w:rsidR="1C81BA86">
        <w:rPr>
          <w:rFonts w:ascii="Arial" w:hAnsi="Arial" w:eastAsia="Arial" w:cs="Arial"/>
          <w:i w:val="1"/>
          <w:iCs w:val="1"/>
          <w:noProof w:val="0"/>
          <w:sz w:val="22"/>
          <w:szCs w:val="22"/>
          <w:lang w:val="en-GB"/>
        </w:rPr>
        <w:t>et al.</w:t>
      </w:r>
      <w:r w:rsidRPr="4AF775A2" w:rsidR="1C81BA86">
        <w:rPr>
          <w:rFonts w:ascii="Arial" w:hAnsi="Arial" w:eastAsia="Arial" w:cs="Arial"/>
          <w:noProof w:val="0"/>
          <w:sz w:val="22"/>
          <w:szCs w:val="22"/>
          <w:lang w:val="en-GB"/>
        </w:rPr>
        <w:t xml:space="preserve"> (2022) “Patients′ and clinicians′ experiences of remote consultation? A narrative synthesis,” </w:t>
      </w:r>
      <w:r w:rsidRPr="4AF775A2" w:rsidR="1C81BA86">
        <w:rPr>
          <w:rFonts w:ascii="Arial" w:hAnsi="Arial" w:eastAsia="Arial" w:cs="Arial"/>
          <w:i w:val="1"/>
          <w:iCs w:val="1"/>
          <w:noProof w:val="0"/>
          <w:sz w:val="22"/>
          <w:szCs w:val="22"/>
          <w:lang w:val="en-GB"/>
        </w:rPr>
        <w:t>Journal of advanced nursing</w:t>
      </w:r>
      <w:r w:rsidRPr="4AF775A2" w:rsidR="1C81BA86">
        <w:rPr>
          <w:rFonts w:ascii="Arial" w:hAnsi="Arial" w:eastAsia="Arial" w:cs="Arial"/>
          <w:noProof w:val="0"/>
          <w:sz w:val="22"/>
          <w:szCs w:val="22"/>
          <w:lang w:val="en-GB"/>
        </w:rPr>
        <w:t xml:space="preserve">, 78(7), pp. 1954–1967. Available at: </w:t>
      </w:r>
      <w:hyperlink r:id="Rc9eb65ecb08a4f17">
        <w:r w:rsidRPr="4AF775A2" w:rsidR="1C81BA86">
          <w:rPr>
            <w:rStyle w:val="Hyperlink"/>
            <w:rFonts w:ascii="Arial" w:hAnsi="Arial" w:eastAsia="Arial" w:cs="Arial"/>
            <w:noProof w:val="0"/>
            <w:sz w:val="22"/>
            <w:szCs w:val="22"/>
            <w:lang w:val="en-GB"/>
          </w:rPr>
          <w:t>https://doi.org/10.1111/jan.15230</w:t>
        </w:r>
      </w:hyperlink>
      <w:r w:rsidRPr="4AF775A2" w:rsidR="1C81BA86">
        <w:rPr>
          <w:rFonts w:ascii="Arial" w:hAnsi="Arial" w:eastAsia="Arial" w:cs="Arial"/>
          <w:noProof w:val="0"/>
          <w:sz w:val="22"/>
          <w:szCs w:val="22"/>
          <w:lang w:val="en-GB"/>
        </w:rPr>
        <w:t>.</w:t>
      </w:r>
    </w:p>
    <w:p w:rsidR="4AF775A2" w:rsidP="4AF775A2" w:rsidRDefault="4AF775A2" w14:paraId="1D0E97D5" w14:textId="7CA6DA47">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C81BA86" w:rsidP="4AF775A2" w:rsidRDefault="1C81BA86" w14:paraId="75CF2BE4" w14:textId="6777E8FB">
      <w:pPr>
        <w:bidi w:val="0"/>
        <w:spacing w:before="0" w:beforeAutospacing="off" w:after="0" w:afterAutospacing="off"/>
        <w:jc w:val="both"/>
        <w:rPr>
          <w:rFonts w:ascii="Arial" w:hAnsi="Arial" w:eastAsia="Arial" w:cs="Arial"/>
          <w:noProof w:val="0"/>
          <w:sz w:val="22"/>
          <w:szCs w:val="22"/>
          <w:lang w:val="en-GB"/>
        </w:rPr>
      </w:pPr>
      <w:r w:rsidRPr="4AF775A2" w:rsidR="1C81BA86">
        <w:rPr>
          <w:rFonts w:ascii="Arial" w:hAnsi="Arial" w:eastAsia="Arial" w:cs="Arial"/>
          <w:noProof w:val="0"/>
          <w:sz w:val="22"/>
          <w:szCs w:val="22"/>
          <w:lang w:val="en-GB"/>
        </w:rPr>
        <w:t xml:space="preserve">Wikström, E. </w:t>
      </w:r>
      <w:r w:rsidRPr="4AF775A2" w:rsidR="1C81BA86">
        <w:rPr>
          <w:rFonts w:ascii="Arial" w:hAnsi="Arial" w:eastAsia="Arial" w:cs="Arial"/>
          <w:i w:val="1"/>
          <w:iCs w:val="1"/>
          <w:noProof w:val="0"/>
          <w:sz w:val="22"/>
          <w:szCs w:val="22"/>
          <w:lang w:val="en-GB"/>
        </w:rPr>
        <w:t>et al.</w:t>
      </w:r>
      <w:r w:rsidRPr="4AF775A2" w:rsidR="1C81BA86">
        <w:rPr>
          <w:rFonts w:ascii="Arial" w:hAnsi="Arial" w:eastAsia="Arial" w:cs="Arial"/>
          <w:noProof w:val="0"/>
          <w:sz w:val="22"/>
          <w:szCs w:val="22"/>
          <w:lang w:val="en-GB"/>
        </w:rPr>
        <w:t xml:space="preserve"> (2023) “Mentoring programmes – building capacity for learning and retaining workers in the workplace,” </w:t>
      </w:r>
      <w:r w:rsidRPr="4AF775A2" w:rsidR="1C81BA86">
        <w:rPr>
          <w:rFonts w:ascii="Arial" w:hAnsi="Arial" w:eastAsia="Arial" w:cs="Arial"/>
          <w:i w:val="1"/>
          <w:iCs w:val="1"/>
          <w:noProof w:val="0"/>
          <w:sz w:val="22"/>
          <w:szCs w:val="22"/>
          <w:lang w:val="en-GB"/>
        </w:rPr>
        <w:t>The journal of workplace learning</w:t>
      </w:r>
      <w:r w:rsidRPr="4AF775A2" w:rsidR="1C81BA86">
        <w:rPr>
          <w:rFonts w:ascii="Arial" w:hAnsi="Arial" w:eastAsia="Arial" w:cs="Arial"/>
          <w:noProof w:val="0"/>
          <w:sz w:val="22"/>
          <w:szCs w:val="22"/>
          <w:lang w:val="en-GB"/>
        </w:rPr>
        <w:t xml:space="preserve">, 35(8), pp. 732–751. Available at: </w:t>
      </w:r>
      <w:hyperlink r:id="R9557f3d64f8d42b8">
        <w:r w:rsidRPr="4AF775A2" w:rsidR="1C81BA86">
          <w:rPr>
            <w:rStyle w:val="Hyperlink"/>
            <w:rFonts w:ascii="Arial" w:hAnsi="Arial" w:eastAsia="Arial" w:cs="Arial"/>
            <w:noProof w:val="0"/>
            <w:sz w:val="22"/>
            <w:szCs w:val="22"/>
            <w:lang w:val="en-GB"/>
          </w:rPr>
          <w:t>https://doi.org/10.1108/JWL-01-2023-0003</w:t>
        </w:r>
      </w:hyperlink>
      <w:r w:rsidRPr="4AF775A2" w:rsidR="1C81BA86">
        <w:rPr>
          <w:rFonts w:ascii="Arial" w:hAnsi="Arial" w:eastAsia="Arial" w:cs="Arial"/>
          <w:noProof w:val="0"/>
          <w:sz w:val="22"/>
          <w:szCs w:val="22"/>
          <w:lang w:val="en-GB"/>
        </w:rPr>
        <w:t>.</w:t>
      </w:r>
    </w:p>
    <w:p w:rsidR="4AF775A2" w:rsidP="4AF775A2" w:rsidRDefault="4AF775A2" w14:paraId="4BE107A0" w14:textId="7A9100F0">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C81BA86" w:rsidP="4AF775A2" w:rsidRDefault="1C81BA86" w14:paraId="3A84477F" w14:textId="2CD38F97">
      <w:pPr>
        <w:bidi w:val="0"/>
        <w:spacing w:before="0" w:beforeAutospacing="off" w:after="0" w:afterAutospacing="off"/>
        <w:jc w:val="both"/>
        <w:rPr>
          <w:rFonts w:ascii="Arial" w:hAnsi="Arial" w:eastAsia="Arial" w:cs="Arial"/>
          <w:noProof w:val="0"/>
          <w:sz w:val="22"/>
          <w:szCs w:val="22"/>
          <w:lang w:val="en-GB"/>
        </w:rPr>
      </w:pPr>
      <w:r w:rsidRPr="4AF775A2" w:rsidR="1C81BA86">
        <w:rPr>
          <w:rFonts w:ascii="Arial" w:hAnsi="Arial" w:eastAsia="Arial" w:cs="Arial"/>
          <w:noProof w:val="0"/>
          <w:sz w:val="22"/>
          <w:szCs w:val="22"/>
          <w:lang w:val="en-GB"/>
        </w:rPr>
        <w:t xml:space="preserve">Yaşar Dinçer, F.C. and Yirmibeşoğlu, G. (2024) “Constraints on women pilots in airline industry: A rising sector of international trade,” </w:t>
      </w:r>
      <w:r w:rsidRPr="4AF775A2" w:rsidR="1C81BA86">
        <w:rPr>
          <w:rFonts w:ascii="Arial" w:hAnsi="Arial" w:eastAsia="Arial" w:cs="Arial"/>
          <w:i w:val="1"/>
          <w:iCs w:val="1"/>
          <w:noProof w:val="0"/>
          <w:sz w:val="22"/>
          <w:szCs w:val="22"/>
          <w:lang w:val="en-GB"/>
        </w:rPr>
        <w:t>Journal of air transport management</w:t>
      </w:r>
      <w:r w:rsidRPr="4AF775A2" w:rsidR="1C81BA86">
        <w:rPr>
          <w:rFonts w:ascii="Arial" w:hAnsi="Arial" w:eastAsia="Arial" w:cs="Arial"/>
          <w:noProof w:val="0"/>
          <w:sz w:val="22"/>
          <w:szCs w:val="22"/>
          <w:lang w:val="en-GB"/>
        </w:rPr>
        <w:t xml:space="preserve">, 115. Available at: </w:t>
      </w:r>
      <w:hyperlink r:id="Ra96c1186a09a4e35">
        <w:r w:rsidRPr="4AF775A2" w:rsidR="1C81BA86">
          <w:rPr>
            <w:rStyle w:val="Hyperlink"/>
            <w:rFonts w:ascii="Arial" w:hAnsi="Arial" w:eastAsia="Arial" w:cs="Arial"/>
            <w:noProof w:val="0"/>
            <w:sz w:val="22"/>
            <w:szCs w:val="22"/>
            <w:lang w:val="en-GB"/>
          </w:rPr>
          <w:t>https://doi.org/10.1016/j.jairtraman.2024.102538</w:t>
        </w:r>
      </w:hyperlink>
      <w:r w:rsidRPr="4AF775A2" w:rsidR="1C81BA86">
        <w:rPr>
          <w:rFonts w:ascii="Arial" w:hAnsi="Arial" w:eastAsia="Arial" w:cs="Arial"/>
          <w:noProof w:val="0"/>
          <w:sz w:val="22"/>
          <w:szCs w:val="22"/>
          <w:lang w:val="en-GB"/>
        </w:rPr>
        <w:t>.</w:t>
      </w:r>
    </w:p>
    <w:p w:rsidR="4AF775A2" w:rsidP="4AF775A2" w:rsidRDefault="4AF775A2" w14:paraId="30D17FD0" w14:textId="73156FF8">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4D9AE83" w:rsidP="4AF775A2" w:rsidRDefault="44D9AE83" w14:paraId="670218D8" w14:textId="735B70E5">
      <w:pPr>
        <w:bidi w:val="0"/>
        <w:spacing w:before="0" w:beforeAutospacing="off" w:after="0" w:afterAutospacing="off"/>
        <w:jc w:val="both"/>
        <w:rPr>
          <w:rFonts w:ascii="Arial" w:hAnsi="Arial" w:eastAsia="Arial" w:cs="Arial"/>
          <w:noProof w:val="0"/>
          <w:sz w:val="22"/>
          <w:szCs w:val="22"/>
          <w:lang w:val="en-GB"/>
        </w:rPr>
      </w:pPr>
      <w:r w:rsidRPr="4AF775A2" w:rsidR="44D9AE83">
        <w:rPr>
          <w:rFonts w:ascii="Arial" w:hAnsi="Arial" w:eastAsia="Arial" w:cs="Arial"/>
          <w:noProof w:val="0"/>
          <w:sz w:val="22"/>
          <w:szCs w:val="22"/>
          <w:lang w:val="en-GB"/>
        </w:rPr>
        <w:t xml:space="preserve">Zhang, Z. and Jia, M. (2010) “Using social exchange theory to predict the effects of high-performance human resource practices on corporate entrepreneurship: Evidence from China,” </w:t>
      </w:r>
      <w:r w:rsidRPr="4AF775A2" w:rsidR="44D9AE83">
        <w:rPr>
          <w:rFonts w:ascii="Arial" w:hAnsi="Arial" w:eastAsia="Arial" w:cs="Arial"/>
          <w:i w:val="1"/>
          <w:iCs w:val="1"/>
          <w:noProof w:val="0"/>
          <w:sz w:val="22"/>
          <w:szCs w:val="22"/>
          <w:lang w:val="en-GB"/>
        </w:rPr>
        <w:t>Human resource management</w:t>
      </w:r>
      <w:r w:rsidRPr="4AF775A2" w:rsidR="44D9AE83">
        <w:rPr>
          <w:rFonts w:ascii="Arial" w:hAnsi="Arial" w:eastAsia="Arial" w:cs="Arial"/>
          <w:noProof w:val="0"/>
          <w:sz w:val="22"/>
          <w:szCs w:val="22"/>
          <w:lang w:val="en-GB"/>
        </w:rPr>
        <w:t xml:space="preserve">, 49(4), pp. 743–765. Available at: </w:t>
      </w:r>
      <w:hyperlink r:id="Ra6b206ea6fa74954">
        <w:r w:rsidRPr="4AF775A2" w:rsidR="44D9AE83">
          <w:rPr>
            <w:rStyle w:val="Hyperlink"/>
            <w:rFonts w:ascii="Arial" w:hAnsi="Arial" w:eastAsia="Arial" w:cs="Arial"/>
            <w:noProof w:val="0"/>
            <w:sz w:val="22"/>
            <w:szCs w:val="22"/>
            <w:lang w:val="en-GB"/>
          </w:rPr>
          <w:t>https://doi.org/10.1002/hrm.20378</w:t>
        </w:r>
      </w:hyperlink>
      <w:r w:rsidRPr="4AF775A2" w:rsidR="44D9AE83">
        <w:rPr>
          <w:rFonts w:ascii="Arial" w:hAnsi="Arial" w:eastAsia="Arial" w:cs="Arial"/>
          <w:noProof w:val="0"/>
          <w:sz w:val="22"/>
          <w:szCs w:val="22"/>
          <w:lang w:val="en-GB"/>
        </w:rPr>
        <w:t>.</w:t>
      </w:r>
    </w:p>
    <w:p w:rsidR="4AF775A2" w:rsidP="4AF775A2" w:rsidRDefault="4AF775A2" w14:paraId="43EA04A3" w14:textId="59F8F322">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763AEA8" w:rsidP="4AF775A2" w:rsidRDefault="7763AEA8" w14:paraId="05F1470A" w14:textId="611298C7">
      <w:pPr>
        <w:pStyle w:val="Normal"/>
        <w:bidi w:val="0"/>
        <w:spacing w:before="0" w:beforeAutospacing="off" w:after="0" w:afterAutospacing="off" w:line="360" w:lineRule="auto"/>
        <w:jc w:val="both"/>
        <w:rPr>
          <w:rFonts w:ascii="Arial" w:hAnsi="Arial" w:eastAsia="Arial" w:cs="Arial"/>
          <w:noProof w:val="0"/>
          <w:sz w:val="22"/>
          <w:szCs w:val="22"/>
          <w:lang w:val="en-GB"/>
        </w:rPr>
      </w:pPr>
      <w:r w:rsidRPr="4AF775A2" w:rsidR="7763AEA8">
        <w:rPr>
          <w:rFonts w:ascii="Arial" w:hAnsi="Arial" w:eastAsia="Arial" w:cs="Arial"/>
          <w:b w:val="0"/>
          <w:bCs w:val="0"/>
          <w:i w:val="0"/>
          <w:iCs w:val="0"/>
          <w:caps w:val="0"/>
          <w:smallCaps w:val="0"/>
          <w:noProof w:val="0"/>
          <w:color w:val="222222"/>
          <w:sz w:val="22"/>
          <w:szCs w:val="22"/>
          <w:lang w:val="en-GB"/>
        </w:rPr>
        <w:t>Ziakkas</w:t>
      </w:r>
      <w:r w:rsidRPr="4AF775A2" w:rsidR="7763AEA8">
        <w:rPr>
          <w:rFonts w:ascii="Arial" w:hAnsi="Arial" w:eastAsia="Arial" w:cs="Arial"/>
          <w:b w:val="0"/>
          <w:bCs w:val="0"/>
          <w:i w:val="0"/>
          <w:iCs w:val="0"/>
          <w:caps w:val="0"/>
          <w:smallCaps w:val="0"/>
          <w:noProof w:val="0"/>
          <w:color w:val="222222"/>
          <w:sz w:val="22"/>
          <w:szCs w:val="22"/>
          <w:lang w:val="en-GB"/>
        </w:rPr>
        <w:t xml:space="preserve">, D., Michael, W.S. and </w:t>
      </w:r>
      <w:r w:rsidRPr="4AF775A2" w:rsidR="7763AEA8">
        <w:rPr>
          <w:rFonts w:ascii="Arial" w:hAnsi="Arial" w:eastAsia="Arial" w:cs="Arial"/>
          <w:b w:val="0"/>
          <w:bCs w:val="0"/>
          <w:i w:val="0"/>
          <w:iCs w:val="0"/>
          <w:caps w:val="0"/>
          <w:smallCaps w:val="0"/>
          <w:noProof w:val="0"/>
          <w:color w:val="222222"/>
          <w:sz w:val="22"/>
          <w:szCs w:val="22"/>
          <w:lang w:val="en-GB"/>
        </w:rPr>
        <w:t>Pechlivanis</w:t>
      </w:r>
      <w:r w:rsidRPr="4AF775A2" w:rsidR="7763AEA8">
        <w:rPr>
          <w:rFonts w:ascii="Arial" w:hAnsi="Arial" w:eastAsia="Arial" w:cs="Arial"/>
          <w:b w:val="0"/>
          <w:bCs w:val="0"/>
          <w:i w:val="0"/>
          <w:iCs w:val="0"/>
          <w:caps w:val="0"/>
          <w:smallCaps w:val="0"/>
          <w:noProof w:val="0"/>
          <w:color w:val="222222"/>
          <w:sz w:val="22"/>
          <w:szCs w:val="22"/>
          <w:lang w:val="en-GB"/>
        </w:rPr>
        <w:t xml:space="preserve">, K., </w:t>
      </w:r>
      <w:r w:rsidRPr="4AF775A2" w:rsidR="31A91001">
        <w:rPr>
          <w:rFonts w:ascii="Arial" w:hAnsi="Arial" w:eastAsia="Arial" w:cs="Arial"/>
          <w:b w:val="0"/>
          <w:bCs w:val="0"/>
          <w:i w:val="0"/>
          <w:iCs w:val="0"/>
          <w:caps w:val="0"/>
          <w:smallCaps w:val="0"/>
          <w:noProof w:val="0"/>
          <w:color w:val="222222"/>
          <w:sz w:val="22"/>
          <w:szCs w:val="22"/>
          <w:lang w:val="en-GB"/>
        </w:rPr>
        <w:t>(</w:t>
      </w:r>
      <w:r w:rsidRPr="4AF775A2" w:rsidR="7763AEA8">
        <w:rPr>
          <w:rFonts w:ascii="Arial" w:hAnsi="Arial" w:eastAsia="Arial" w:cs="Arial"/>
          <w:b w:val="0"/>
          <w:bCs w:val="0"/>
          <w:i w:val="0"/>
          <w:iCs w:val="0"/>
          <w:caps w:val="0"/>
          <w:smallCaps w:val="0"/>
          <w:noProof w:val="0"/>
          <w:color w:val="222222"/>
          <w:sz w:val="22"/>
          <w:szCs w:val="22"/>
          <w:lang w:val="en-GB"/>
        </w:rPr>
        <w:t>2022</w:t>
      </w:r>
      <w:r w:rsidRPr="4AF775A2" w:rsidR="3432DD51">
        <w:rPr>
          <w:rFonts w:ascii="Arial" w:hAnsi="Arial" w:eastAsia="Arial" w:cs="Arial"/>
          <w:b w:val="0"/>
          <w:bCs w:val="0"/>
          <w:i w:val="0"/>
          <w:iCs w:val="0"/>
          <w:caps w:val="0"/>
          <w:smallCaps w:val="0"/>
          <w:noProof w:val="0"/>
          <w:color w:val="222222"/>
          <w:sz w:val="22"/>
          <w:szCs w:val="22"/>
          <w:lang w:val="en-GB"/>
        </w:rPr>
        <w:t>)</w:t>
      </w:r>
      <w:r w:rsidRPr="4AF775A2" w:rsidR="7763AEA8">
        <w:rPr>
          <w:rFonts w:ascii="Arial" w:hAnsi="Arial" w:eastAsia="Arial" w:cs="Arial"/>
          <w:b w:val="0"/>
          <w:bCs w:val="0"/>
          <w:i w:val="0"/>
          <w:iCs w:val="0"/>
          <w:caps w:val="0"/>
          <w:smallCaps w:val="0"/>
          <w:noProof w:val="0"/>
          <w:color w:val="222222"/>
          <w:sz w:val="22"/>
          <w:szCs w:val="22"/>
          <w:lang w:val="en-GB"/>
        </w:rPr>
        <w:t xml:space="preserve"> The implementation of competency-based training and assessment (CBTA) framework in aviation </w:t>
      </w:r>
      <w:r w:rsidRPr="4AF775A2" w:rsidR="7763AEA8">
        <w:rPr>
          <w:rFonts w:ascii="Arial" w:hAnsi="Arial" w:eastAsia="Arial" w:cs="Arial"/>
          <w:b w:val="0"/>
          <w:bCs w:val="0"/>
          <w:i w:val="0"/>
          <w:iCs w:val="0"/>
          <w:caps w:val="0"/>
          <w:smallCaps w:val="0"/>
          <w:noProof w:val="0"/>
          <w:color w:val="222222"/>
          <w:sz w:val="22"/>
          <w:szCs w:val="22"/>
          <w:lang w:val="en-GB"/>
        </w:rPr>
        <w:t>manpower</w:t>
      </w:r>
      <w:r w:rsidRPr="4AF775A2" w:rsidR="7763AEA8">
        <w:rPr>
          <w:rFonts w:ascii="Arial" w:hAnsi="Arial" w:eastAsia="Arial" w:cs="Arial"/>
          <w:b w:val="0"/>
          <w:bCs w:val="0"/>
          <w:i w:val="0"/>
          <w:iCs w:val="0"/>
          <w:caps w:val="0"/>
          <w:smallCaps w:val="0"/>
          <w:noProof w:val="0"/>
          <w:color w:val="222222"/>
          <w:sz w:val="22"/>
          <w:szCs w:val="22"/>
          <w:lang w:val="en-GB"/>
        </w:rPr>
        <w:t xml:space="preserve"> planning. </w:t>
      </w:r>
      <w:r w:rsidRPr="4AF775A2" w:rsidR="7763AEA8">
        <w:rPr>
          <w:rFonts w:ascii="Arial" w:hAnsi="Arial" w:eastAsia="Arial" w:cs="Arial"/>
          <w:b w:val="0"/>
          <w:bCs w:val="0"/>
          <w:i w:val="1"/>
          <w:iCs w:val="1"/>
          <w:caps w:val="0"/>
          <w:smallCaps w:val="0"/>
          <w:noProof w:val="0"/>
          <w:color w:val="222222"/>
          <w:sz w:val="22"/>
          <w:szCs w:val="22"/>
          <w:lang w:val="en-GB"/>
        </w:rPr>
        <w:t>Transportation Research Procedia</w:t>
      </w:r>
      <w:r w:rsidRPr="4AF775A2" w:rsidR="7763AEA8">
        <w:rPr>
          <w:rFonts w:ascii="Arial" w:hAnsi="Arial" w:eastAsia="Arial" w:cs="Arial"/>
          <w:b w:val="0"/>
          <w:bCs w:val="0"/>
          <w:i w:val="0"/>
          <w:iCs w:val="0"/>
          <w:caps w:val="0"/>
          <w:smallCaps w:val="0"/>
          <w:noProof w:val="0"/>
          <w:color w:val="222222"/>
          <w:sz w:val="22"/>
          <w:szCs w:val="22"/>
          <w:lang w:val="en-GB"/>
        </w:rPr>
        <w:t xml:space="preserve">, </w:t>
      </w:r>
      <w:r w:rsidRPr="4AF775A2" w:rsidR="7763AEA8">
        <w:rPr>
          <w:rFonts w:ascii="Arial" w:hAnsi="Arial" w:eastAsia="Arial" w:cs="Arial"/>
          <w:b w:val="0"/>
          <w:bCs w:val="0"/>
          <w:i w:val="1"/>
          <w:iCs w:val="1"/>
          <w:caps w:val="0"/>
          <w:smallCaps w:val="0"/>
          <w:noProof w:val="0"/>
          <w:color w:val="222222"/>
          <w:sz w:val="22"/>
          <w:szCs w:val="22"/>
          <w:lang w:val="en-GB"/>
        </w:rPr>
        <w:t>66</w:t>
      </w:r>
      <w:r w:rsidRPr="4AF775A2" w:rsidR="7763AEA8">
        <w:rPr>
          <w:rFonts w:ascii="Arial" w:hAnsi="Arial" w:eastAsia="Arial" w:cs="Arial"/>
          <w:b w:val="0"/>
          <w:bCs w:val="0"/>
          <w:i w:val="0"/>
          <w:iCs w:val="0"/>
          <w:caps w:val="0"/>
          <w:smallCaps w:val="0"/>
          <w:noProof w:val="0"/>
          <w:color w:val="222222"/>
          <w:sz w:val="22"/>
          <w:szCs w:val="22"/>
          <w:lang w:val="en-GB"/>
        </w:rPr>
        <w:t>, pp.226-239.</w:t>
      </w:r>
    </w:p>
    <w:p w:rsidR="4AF775A2" w:rsidP="4AF775A2" w:rsidRDefault="4AF775A2" w14:paraId="48203752" w14:textId="65C8ED2F">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4AF775A2" w:rsidP="4AF775A2" w:rsidRDefault="4AF775A2" w14:paraId="7008CC01" w14:textId="122106A2">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4AF775A2" w:rsidRDefault="4AF775A2" w14:paraId="3A8E7FD1" w14:textId="4621D86E">
      <w:r>
        <w:br w:type="page"/>
      </w:r>
    </w:p>
    <w:p w:rsidR="29DCD53B" w:rsidP="4AF775A2" w:rsidRDefault="29DCD53B" w14:paraId="52A41807" w14:textId="4CA487DE">
      <w:pPr>
        <w:pStyle w:val="Heading1"/>
        <w:bidi w:val="0"/>
        <w:rPr>
          <w:noProof w:val="0"/>
          <w:lang w:val="en-GB"/>
        </w:rPr>
      </w:pPr>
      <w:bookmarkStart w:name="_Toc401894114" w:id="326196759"/>
      <w:r w:rsidRPr="4AF775A2" w:rsidR="29DCD53B">
        <w:rPr>
          <w:noProof w:val="0"/>
          <w:lang w:val="en-GB"/>
        </w:rPr>
        <w:t>Appendix</w:t>
      </w:r>
      <w:r w:rsidRPr="4AF775A2" w:rsidR="5C4829E2">
        <w:rPr>
          <w:noProof w:val="0"/>
          <w:lang w:val="en-GB"/>
        </w:rPr>
        <w:t xml:space="preserve"> </w:t>
      </w:r>
      <w:r w:rsidRPr="4AF775A2" w:rsidR="6197FEF9">
        <w:rPr>
          <w:noProof w:val="0"/>
          <w:lang w:val="en-GB"/>
        </w:rPr>
        <w:t>1 – Literature Review Table</w:t>
      </w:r>
      <w:bookmarkEnd w:id="326196759"/>
    </w:p>
    <w:p w:rsidR="77DE5F55" w:rsidP="4AF775A2" w:rsidRDefault="77DE5F55" w14:paraId="1E240C3C" w14:textId="4C53AD30">
      <w:pPr>
        <w:pStyle w:val="Normal"/>
        <w:bidi w:val="0"/>
        <w:rPr>
          <w:noProof w:val="0"/>
          <w:lang w:val="en-GB"/>
        </w:rPr>
      </w:pPr>
      <w:r w:rsidR="77DE5F55">
        <w:drawing>
          <wp:inline wp14:editId="7BB60653" wp14:anchorId="79C3C9EA">
            <wp:extent cx="5724525" cy="2857500"/>
            <wp:effectExtent l="0" t="0" r="0" b="0"/>
            <wp:docPr id="2122287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2287754" name="Picture 2122287754"/>
                    <pic:cNvPicPr/>
                  </pic:nvPicPr>
                  <pic:blipFill>
                    <a:blip xmlns:r="http://schemas.openxmlformats.org/officeDocument/2006/relationships" r:embed="rId149699094">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r w:rsidR="77DE5F55">
        <w:drawing>
          <wp:inline wp14:editId="798269D9" wp14:anchorId="1B5D0CEE">
            <wp:extent cx="5724525" cy="2695575"/>
            <wp:effectExtent l="0" t="0" r="0" b="0"/>
            <wp:docPr id="360934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093483" name="Picture 36093483"/>
                    <pic:cNvPicPr/>
                  </pic:nvPicPr>
                  <pic:blipFill>
                    <a:blip xmlns:r="http://schemas.openxmlformats.org/officeDocument/2006/relationships" r:embed="rId699708266">
                      <a:extLst>
                        <a:ext uri="{28A0092B-C50C-407E-A947-70E740481C1C}">
                          <a14:useLocalDpi xmlns:a14="http://schemas.microsoft.com/office/drawing/2010/main"/>
                        </a:ext>
                      </a:extLst>
                    </a:blip>
                    <a:stretch>
                      <a:fillRect/>
                    </a:stretch>
                  </pic:blipFill>
                  <pic:spPr>
                    <a:xfrm>
                      <a:off x="0" y="0"/>
                      <a:ext cx="5724525" cy="2695575"/>
                    </a:xfrm>
                    <a:prstGeom prst="rect">
                      <a:avLst/>
                    </a:prstGeom>
                  </pic:spPr>
                </pic:pic>
              </a:graphicData>
            </a:graphic>
          </wp:inline>
        </w:drawing>
      </w:r>
    </w:p>
    <w:p w:rsidR="77DE5F55" w:rsidP="4AF775A2" w:rsidRDefault="77DE5F55" w14:paraId="0501D2F7" w14:textId="4747A4B3">
      <w:pPr>
        <w:pStyle w:val="Normal"/>
        <w:bidi w:val="0"/>
        <w:rPr>
          <w:noProof w:val="0"/>
          <w:lang w:val="en-GB"/>
        </w:rPr>
      </w:pPr>
      <w:r w:rsidR="77DE5F55">
        <w:drawing>
          <wp:inline wp14:editId="5BF257D0" wp14:anchorId="60C8D580">
            <wp:extent cx="5724525" cy="2228850"/>
            <wp:effectExtent l="0" t="0" r="0" b="0"/>
            <wp:docPr id="1361891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1891500" name="Picture 1361891500"/>
                    <pic:cNvPicPr/>
                  </pic:nvPicPr>
                  <pic:blipFill>
                    <a:blip xmlns:r="http://schemas.openxmlformats.org/officeDocument/2006/relationships" r:embed="rId750417736">
                      <a:extLst>
                        <a:ext uri="{28A0092B-C50C-407E-A947-70E740481C1C}">
                          <a14:useLocalDpi xmlns:a14="http://schemas.microsoft.com/office/drawing/2010/main"/>
                        </a:ext>
                      </a:extLst>
                    </a:blip>
                    <a:stretch>
                      <a:fillRect/>
                    </a:stretch>
                  </pic:blipFill>
                  <pic:spPr>
                    <a:xfrm>
                      <a:off x="0" y="0"/>
                      <a:ext cx="5724525" cy="2228850"/>
                    </a:xfrm>
                    <a:prstGeom prst="rect">
                      <a:avLst/>
                    </a:prstGeom>
                  </pic:spPr>
                </pic:pic>
              </a:graphicData>
            </a:graphic>
          </wp:inline>
        </w:drawing>
      </w:r>
      <w:r w:rsidR="77DE5F55">
        <w:drawing>
          <wp:inline wp14:editId="6CACAA7E" wp14:anchorId="3EE58A83">
            <wp:extent cx="5724525" cy="2038350"/>
            <wp:effectExtent l="0" t="0" r="0" b="0"/>
            <wp:docPr id="7419280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1928010" name="Picture 741928010"/>
                    <pic:cNvPicPr/>
                  </pic:nvPicPr>
                  <pic:blipFill>
                    <a:blip xmlns:r="http://schemas.openxmlformats.org/officeDocument/2006/relationships" r:embed="rId557648010">
                      <a:extLst>
                        <a:ext uri="{28A0092B-C50C-407E-A947-70E740481C1C}">
                          <a14:useLocalDpi xmlns:a14="http://schemas.microsoft.com/office/drawing/2010/main"/>
                        </a:ext>
                      </a:extLst>
                    </a:blip>
                    <a:stretch>
                      <a:fillRect/>
                    </a:stretch>
                  </pic:blipFill>
                  <pic:spPr>
                    <a:xfrm>
                      <a:off x="0" y="0"/>
                      <a:ext cx="5724525" cy="2038350"/>
                    </a:xfrm>
                    <a:prstGeom prst="rect">
                      <a:avLst/>
                    </a:prstGeom>
                  </pic:spPr>
                </pic:pic>
              </a:graphicData>
            </a:graphic>
          </wp:inline>
        </w:drawing>
      </w:r>
      <w:r w:rsidR="77DE5F55">
        <w:drawing>
          <wp:inline wp14:editId="3BF0CCAE" wp14:anchorId="058A8C71">
            <wp:extent cx="5724525" cy="2581275"/>
            <wp:effectExtent l="0" t="0" r="0" b="0"/>
            <wp:docPr id="17623168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2316836" name="Picture 1762316836"/>
                    <pic:cNvPicPr/>
                  </pic:nvPicPr>
                  <pic:blipFill>
                    <a:blip xmlns:r="http://schemas.openxmlformats.org/officeDocument/2006/relationships" r:embed="rId294456832">
                      <a:extLst>
                        <a:ext uri="{28A0092B-C50C-407E-A947-70E740481C1C}">
                          <a14:useLocalDpi xmlns:a14="http://schemas.microsoft.com/office/drawing/2010/main"/>
                        </a:ext>
                      </a:extLst>
                    </a:blip>
                    <a:stretch>
                      <a:fillRect/>
                    </a:stretch>
                  </pic:blipFill>
                  <pic:spPr>
                    <a:xfrm>
                      <a:off x="0" y="0"/>
                      <a:ext cx="5724525" cy="2581275"/>
                    </a:xfrm>
                    <a:prstGeom prst="rect">
                      <a:avLst/>
                    </a:prstGeom>
                  </pic:spPr>
                </pic:pic>
              </a:graphicData>
            </a:graphic>
          </wp:inline>
        </w:drawing>
      </w:r>
      <w:r w:rsidR="2734E436">
        <w:drawing>
          <wp:inline wp14:editId="019B502C" wp14:anchorId="14627D3A">
            <wp:extent cx="5724525" cy="2438400"/>
            <wp:effectExtent l="0" t="0" r="0" b="0"/>
            <wp:docPr id="11406436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0643650" name="Picture 1140643650"/>
                    <pic:cNvPicPr/>
                  </pic:nvPicPr>
                  <pic:blipFill>
                    <a:blip xmlns:r="http://schemas.openxmlformats.org/officeDocument/2006/relationships" r:embed="rId968008913">
                      <a:extLst>
                        <a:ext uri="{28A0092B-C50C-407E-A947-70E740481C1C}">
                          <a14:useLocalDpi xmlns:a14="http://schemas.microsoft.com/office/drawing/2010/main"/>
                        </a:ext>
                      </a:extLst>
                    </a:blip>
                    <a:stretch>
                      <a:fillRect/>
                    </a:stretch>
                  </pic:blipFill>
                  <pic:spPr>
                    <a:xfrm>
                      <a:off x="0" y="0"/>
                      <a:ext cx="5724525" cy="2438400"/>
                    </a:xfrm>
                    <a:prstGeom prst="rect">
                      <a:avLst/>
                    </a:prstGeom>
                  </pic:spPr>
                </pic:pic>
              </a:graphicData>
            </a:graphic>
          </wp:inline>
        </w:drawing>
      </w:r>
      <w:r w:rsidR="2734E436">
        <w:drawing>
          <wp:inline wp14:editId="3BAB6197" wp14:anchorId="5E1A2C44">
            <wp:extent cx="5724525" cy="2305050"/>
            <wp:effectExtent l="0" t="0" r="0" b="0"/>
            <wp:docPr id="19736120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612021" name="Picture 1973612021"/>
                    <pic:cNvPicPr/>
                  </pic:nvPicPr>
                  <pic:blipFill>
                    <a:blip xmlns:r="http://schemas.openxmlformats.org/officeDocument/2006/relationships" r:embed="rId1548616112">
                      <a:extLst>
                        <a:ext uri="{28A0092B-C50C-407E-A947-70E740481C1C}">
                          <a14:useLocalDpi xmlns:a14="http://schemas.microsoft.com/office/drawing/2010/main"/>
                        </a:ext>
                      </a:extLst>
                    </a:blip>
                    <a:stretch>
                      <a:fillRect/>
                    </a:stretch>
                  </pic:blipFill>
                  <pic:spPr>
                    <a:xfrm>
                      <a:off x="0" y="0"/>
                      <a:ext cx="5724525" cy="2305050"/>
                    </a:xfrm>
                    <a:prstGeom prst="rect">
                      <a:avLst/>
                    </a:prstGeom>
                  </pic:spPr>
                </pic:pic>
              </a:graphicData>
            </a:graphic>
          </wp:inline>
        </w:drawing>
      </w:r>
      <w:r w:rsidR="2734E436">
        <w:drawing>
          <wp:inline wp14:editId="20B30901" wp14:anchorId="117A665C">
            <wp:extent cx="5724525" cy="2143125"/>
            <wp:effectExtent l="0" t="0" r="0" b="0"/>
            <wp:docPr id="10959048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5904815" name="Picture 1095904815"/>
                    <pic:cNvPicPr/>
                  </pic:nvPicPr>
                  <pic:blipFill>
                    <a:blip xmlns:r="http://schemas.openxmlformats.org/officeDocument/2006/relationships" r:embed="rId1247114469">
                      <a:extLst>
                        <a:ext uri="{28A0092B-C50C-407E-A947-70E740481C1C}">
                          <a14:useLocalDpi xmlns:a14="http://schemas.microsoft.com/office/drawing/2010/main"/>
                        </a:ext>
                      </a:extLst>
                    </a:blip>
                    <a:stretch>
                      <a:fillRect/>
                    </a:stretch>
                  </pic:blipFill>
                  <pic:spPr>
                    <a:xfrm>
                      <a:off x="0" y="0"/>
                      <a:ext cx="5724525" cy="2143125"/>
                    </a:xfrm>
                    <a:prstGeom prst="rect">
                      <a:avLst/>
                    </a:prstGeom>
                  </pic:spPr>
                </pic:pic>
              </a:graphicData>
            </a:graphic>
          </wp:inline>
        </w:drawing>
      </w:r>
      <w:r w:rsidR="6A4DE6B0">
        <w:drawing>
          <wp:inline wp14:editId="6BD24075" wp14:anchorId="3A851A72">
            <wp:extent cx="5724525" cy="2590800"/>
            <wp:effectExtent l="0" t="0" r="0" b="0"/>
            <wp:docPr id="8991970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9197015" name="Picture 899197015"/>
                    <pic:cNvPicPr/>
                  </pic:nvPicPr>
                  <pic:blipFill>
                    <a:blip xmlns:r="http://schemas.openxmlformats.org/officeDocument/2006/relationships" r:embed="rId2133870354">
                      <a:extLst>
                        <a:ext uri="{28A0092B-C50C-407E-A947-70E740481C1C}">
                          <a14:useLocalDpi xmlns:a14="http://schemas.microsoft.com/office/drawing/2010/main"/>
                        </a:ext>
                      </a:extLst>
                    </a:blip>
                    <a:stretch>
                      <a:fillRect/>
                    </a:stretch>
                  </pic:blipFill>
                  <pic:spPr>
                    <a:xfrm>
                      <a:off x="0" y="0"/>
                      <a:ext cx="5724525" cy="2590800"/>
                    </a:xfrm>
                    <a:prstGeom prst="rect">
                      <a:avLst/>
                    </a:prstGeom>
                  </pic:spPr>
                </pic:pic>
              </a:graphicData>
            </a:graphic>
          </wp:inline>
        </w:drawing>
      </w:r>
      <w:r w:rsidR="6A4DE6B0">
        <w:drawing>
          <wp:inline wp14:editId="6EB51CDB" wp14:anchorId="3BB0BE18">
            <wp:extent cx="5724525" cy="2381250"/>
            <wp:effectExtent l="0" t="0" r="0" b="0"/>
            <wp:docPr id="1579526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9526315" name="Picture 1579526315"/>
                    <pic:cNvPicPr/>
                  </pic:nvPicPr>
                  <pic:blipFill>
                    <a:blip xmlns:r="http://schemas.openxmlformats.org/officeDocument/2006/relationships" r:embed="rId654593352">
                      <a:extLst>
                        <a:ext uri="{28A0092B-C50C-407E-A947-70E740481C1C}">
                          <a14:useLocalDpi xmlns:a14="http://schemas.microsoft.com/office/drawing/2010/main"/>
                        </a:ext>
                      </a:extLst>
                    </a:blip>
                    <a:stretch>
                      <a:fillRect/>
                    </a:stretch>
                  </pic:blipFill>
                  <pic:spPr>
                    <a:xfrm>
                      <a:off x="0" y="0"/>
                      <a:ext cx="5724525" cy="2381250"/>
                    </a:xfrm>
                    <a:prstGeom prst="rect">
                      <a:avLst/>
                    </a:prstGeom>
                  </pic:spPr>
                </pic:pic>
              </a:graphicData>
            </a:graphic>
          </wp:inline>
        </w:drawing>
      </w:r>
      <w:r w:rsidR="6F93A44A">
        <w:drawing>
          <wp:inline wp14:editId="5F1DB680" wp14:anchorId="547332E8">
            <wp:extent cx="5724525" cy="2447925"/>
            <wp:effectExtent l="0" t="0" r="0" b="0"/>
            <wp:docPr id="14549095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4909545" name="Picture 1454909545"/>
                    <pic:cNvPicPr/>
                  </pic:nvPicPr>
                  <pic:blipFill>
                    <a:blip xmlns:r="http://schemas.openxmlformats.org/officeDocument/2006/relationships" r:embed="rId1693650637">
                      <a:extLst>
                        <a:ext uri="{28A0092B-C50C-407E-A947-70E740481C1C}">
                          <a14:useLocalDpi xmlns:a14="http://schemas.microsoft.com/office/drawing/2010/main"/>
                        </a:ext>
                      </a:extLst>
                    </a:blip>
                    <a:stretch>
                      <a:fillRect/>
                    </a:stretch>
                  </pic:blipFill>
                  <pic:spPr>
                    <a:xfrm>
                      <a:off x="0" y="0"/>
                      <a:ext cx="5724525" cy="2447925"/>
                    </a:xfrm>
                    <a:prstGeom prst="rect">
                      <a:avLst/>
                    </a:prstGeom>
                  </pic:spPr>
                </pic:pic>
              </a:graphicData>
            </a:graphic>
          </wp:inline>
        </w:drawing>
      </w:r>
      <w:r w:rsidR="24657E6F">
        <w:drawing>
          <wp:inline wp14:editId="1714CBC5" wp14:anchorId="5DE1A145">
            <wp:extent cx="5569236" cy="2654436"/>
            <wp:effectExtent l="0" t="0" r="0" b="0"/>
            <wp:docPr id="1027066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7066012" name="Picture 1027066012"/>
                    <pic:cNvPicPr/>
                  </pic:nvPicPr>
                  <pic:blipFill>
                    <a:blip xmlns:r="http://schemas.openxmlformats.org/officeDocument/2006/relationships" r:embed="rId314134898">
                      <a:extLst>
                        <a:ext uri="{28A0092B-C50C-407E-A947-70E740481C1C}">
                          <a14:useLocalDpi xmlns:a14="http://schemas.microsoft.com/office/drawing/2010/main"/>
                        </a:ext>
                      </a:extLst>
                    </a:blip>
                    <a:stretch>
                      <a:fillRect/>
                    </a:stretch>
                  </pic:blipFill>
                  <pic:spPr>
                    <a:xfrm>
                      <a:off x="0" y="0"/>
                      <a:ext cx="5569236" cy="2654436"/>
                    </a:xfrm>
                    <a:prstGeom prst="rect">
                      <a:avLst/>
                    </a:prstGeom>
                  </pic:spPr>
                </pic:pic>
              </a:graphicData>
            </a:graphic>
          </wp:inline>
        </w:drawing>
      </w:r>
    </w:p>
    <w:p w:rsidR="4AF775A2" w:rsidP="4AF775A2" w:rsidRDefault="4AF775A2" w14:paraId="6CE7CC23" w14:textId="73FD09C5">
      <w:pPr>
        <w:pStyle w:val="Normal"/>
        <w:bidi w:val="0"/>
        <w:rPr>
          <w:noProof w:val="0"/>
          <w:lang w:val="en-GB"/>
        </w:rPr>
      </w:pPr>
    </w:p>
    <w:p w:rsidR="4AF775A2" w:rsidP="4AF775A2" w:rsidRDefault="4AF775A2" w14:paraId="356F0B34" w14:textId="02E011E7">
      <w:pPr>
        <w:pStyle w:val="Normal"/>
        <w:bidi w:val="0"/>
        <w:rPr>
          <w:noProof w:val="0"/>
          <w:lang w:val="en-GB"/>
        </w:rPr>
      </w:pPr>
    </w:p>
    <w:p w:rsidR="4AF775A2" w:rsidRDefault="4AF775A2" w14:paraId="1A6A7CBA" w14:textId="0F72A709">
      <w:r>
        <w:br w:type="page"/>
      </w:r>
    </w:p>
    <w:p w:rsidR="4AF775A2" w:rsidP="4AF775A2" w:rsidRDefault="4AF775A2" w14:paraId="290DFDF8" w14:textId="66970FF2">
      <w:pPr>
        <w:pStyle w:val="Normal"/>
        <w:bidi w:val="0"/>
        <w:rPr>
          <w:noProof w:val="0"/>
          <w:lang w:val="en-GB"/>
        </w:rPr>
      </w:pPr>
    </w:p>
    <w:p w:rsidR="7875610B" w:rsidP="4AF775A2" w:rsidRDefault="7875610B" w14:paraId="12AB4B69" w14:textId="34B6D277">
      <w:pPr>
        <w:pStyle w:val="Heading1"/>
        <w:bidi w:val="0"/>
        <w:rPr>
          <w:noProof w:val="0"/>
          <w:lang w:val="en-GB"/>
        </w:rPr>
      </w:pPr>
      <w:bookmarkStart w:name="_Toc1179659164" w:id="1027933907"/>
      <w:r w:rsidRPr="4AF775A2" w:rsidR="7875610B">
        <w:rPr>
          <w:noProof w:val="0"/>
          <w:lang w:val="en-GB"/>
        </w:rPr>
        <w:t xml:space="preserve">Appendix 2 - </w:t>
      </w:r>
      <w:r w:rsidRPr="4AF775A2" w:rsidR="141AC669">
        <w:rPr>
          <w:noProof w:val="0"/>
          <w:lang w:val="en-GB"/>
        </w:rPr>
        <w:t>Thematic coding table.</w:t>
      </w:r>
      <w:bookmarkEnd w:id="1027933907"/>
    </w:p>
    <w:p w:rsidR="2EB8FBCD" w:rsidP="4AF775A2" w:rsidRDefault="2EB8FBCD" w14:paraId="2FC462EC" w14:textId="42F91B1E">
      <w:pPr>
        <w:pStyle w:val="Normal"/>
        <w:bidi w:val="0"/>
        <w:rPr>
          <w:noProof w:val="0"/>
          <w:lang w:val="en-GB"/>
        </w:rPr>
      </w:pPr>
      <w:r w:rsidR="2EB8FBCD">
        <w:drawing>
          <wp:inline wp14:editId="02B0DB77" wp14:anchorId="778183FE">
            <wp:extent cx="3801167" cy="3069929"/>
            <wp:effectExtent l="0" t="0" r="0" b="0"/>
            <wp:docPr id="19548681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4868163" name="Picture 1954868163"/>
                    <pic:cNvPicPr/>
                  </pic:nvPicPr>
                  <pic:blipFill>
                    <a:blip xmlns:r="http://schemas.openxmlformats.org/officeDocument/2006/relationships" r:embed="rId484852477">
                      <a:extLst>
                        <a:ext uri="{28A0092B-C50C-407E-A947-70E740481C1C}">
                          <a14:useLocalDpi xmlns:a14="http://schemas.microsoft.com/office/drawing/2010/main"/>
                        </a:ext>
                      </a:extLst>
                    </a:blip>
                    <a:srcRect l="0" t="0" r="0" b="1829"/>
                    <a:stretch>
                      <a:fillRect/>
                    </a:stretch>
                  </pic:blipFill>
                  <pic:spPr>
                    <a:xfrm rot="0">
                      <a:off x="0" y="0"/>
                      <a:ext cx="3801167" cy="3069929"/>
                    </a:xfrm>
                    <a:prstGeom prst="rect">
                      <a:avLst/>
                    </a:prstGeom>
                  </pic:spPr>
                </pic:pic>
              </a:graphicData>
            </a:graphic>
          </wp:inline>
        </w:drawing>
      </w:r>
    </w:p>
    <w:p w:rsidR="2EB8FBCD" w:rsidP="4AF775A2" w:rsidRDefault="2EB8FBCD" w14:paraId="00793D84" w14:textId="61E169A7">
      <w:pPr>
        <w:spacing w:before="0" w:beforeAutospacing="off" w:after="0" w:afterAutospacing="off" w:line="360" w:lineRule="auto"/>
        <w:jc w:val="both"/>
        <w:rPr>
          <w:rFonts w:ascii="Arial" w:hAnsi="Arial" w:eastAsia="Arial" w:cs="Arial"/>
          <w:noProof w:val="0"/>
          <w:sz w:val="22"/>
          <w:szCs w:val="22"/>
          <w:lang w:val="en-GB"/>
        </w:rPr>
      </w:pPr>
      <w:r w:rsidR="2EB8FBCD">
        <w:drawing>
          <wp:inline wp14:editId="652A8EE3" wp14:anchorId="524957D0">
            <wp:extent cx="3839807" cy="3203537"/>
            <wp:effectExtent l="0" t="0" r="0" b="0"/>
            <wp:docPr id="19502230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0223018" name="Picture 1950223018"/>
                    <pic:cNvPicPr/>
                  </pic:nvPicPr>
                  <pic:blipFill>
                    <a:blip xmlns:r="http://schemas.openxmlformats.org/officeDocument/2006/relationships" r:embed="rId1660336286">
                      <a:extLst>
                        <a:ext uri="{28A0092B-C50C-407E-A947-70E740481C1C}">
                          <a14:useLocalDpi xmlns:a14="http://schemas.microsoft.com/office/drawing/2010/main"/>
                        </a:ext>
                      </a:extLst>
                    </a:blip>
                    <a:srcRect l="0" t="7438" r="0" b="0"/>
                    <a:stretch>
                      <a:fillRect/>
                    </a:stretch>
                  </pic:blipFill>
                  <pic:spPr>
                    <a:xfrm rot="0">
                      <a:off x="0" y="0"/>
                      <a:ext cx="3839807" cy="3203537"/>
                    </a:xfrm>
                    <a:prstGeom prst="rect">
                      <a:avLst/>
                    </a:prstGeom>
                  </pic:spPr>
                </pic:pic>
              </a:graphicData>
            </a:graphic>
          </wp:inline>
        </w:drawing>
      </w:r>
    </w:p>
    <w:p w:rsidR="243BEF60" w:rsidP="4AF775A2" w:rsidRDefault="243BEF60" w14:paraId="56FBFC7D" w14:textId="3209B2EB">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r w:rsidR="2EB8FBCD">
        <w:drawing>
          <wp:inline wp14:editId="298BFA02" wp14:anchorId="11D2468B">
            <wp:extent cx="3845278" cy="201541"/>
            <wp:effectExtent l="0" t="0" r="0" b="0"/>
            <wp:docPr id="1323599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3599364" name="Picture 1323599364"/>
                    <pic:cNvPicPr/>
                  </pic:nvPicPr>
                  <pic:blipFill>
                    <a:blip xmlns:r="http://schemas.openxmlformats.org/officeDocument/2006/relationships" r:embed="rId1988280085">
                      <a:extLst>
                        <a:ext uri="{28A0092B-C50C-407E-A947-70E740481C1C}">
                          <a14:useLocalDpi xmlns:a14="http://schemas.microsoft.com/office/drawing/2010/main"/>
                        </a:ext>
                      </a:extLst>
                    </a:blip>
                    <a:srcRect l="0" t="47500" r="0" b="0"/>
                    <a:stretch>
                      <a:fillRect/>
                    </a:stretch>
                  </pic:blipFill>
                  <pic:spPr>
                    <a:xfrm rot="0">
                      <a:off x="0" y="0"/>
                      <a:ext cx="3845278" cy="201541"/>
                    </a:xfrm>
                    <a:prstGeom prst="rect">
                      <a:avLst/>
                    </a:prstGeom>
                  </pic:spPr>
                </pic:pic>
              </a:graphicData>
            </a:graphic>
          </wp:inline>
        </w:drawing>
      </w:r>
    </w:p>
    <w:p w:rsidR="4AF775A2" w:rsidP="4AF775A2" w:rsidRDefault="4AF775A2" w14:paraId="59FB0890" w14:textId="4F26DAF5">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3033FCAC" w:rsidP="4AF775A2" w:rsidRDefault="3033FCAC" w14:paraId="6E67AFDF" w14:textId="78514926">
      <w:pPr>
        <w:pStyle w:val="Heading1"/>
        <w:bidi w:val="0"/>
      </w:pPr>
      <w:bookmarkStart w:name="_Toc1189582432" w:id="961400157"/>
      <w:r w:rsidR="3033FCAC">
        <w:rPr/>
        <w:t>Appendix 3 - PRYSMA</w:t>
      </w:r>
      <w:bookmarkEnd w:id="961400157"/>
    </w:p>
    <w:p w:rsidR="3033FCAC" w:rsidP="4AF775A2" w:rsidRDefault="3033FCAC" w14:paraId="4BE62BD4" w14:textId="786E5BBC">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3033FCAC">
        <w:drawing>
          <wp:inline wp14:editId="41397CDA" wp14:anchorId="08F415BA">
            <wp:extent cx="3067208" cy="3511730"/>
            <wp:effectExtent l="0" t="0" r="0" b="0"/>
            <wp:docPr id="181832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6511431" name="Picture 786511431"/>
                    <pic:cNvPicPr/>
                  </pic:nvPicPr>
                  <pic:blipFill>
                    <a:blip xmlns:r="http://schemas.openxmlformats.org/officeDocument/2006/relationships" r:embed="rId596676118">
                      <a:extLst>
                        <a:ext uri="{28A0092B-C50C-407E-A947-70E740481C1C}">
                          <a14:useLocalDpi xmlns:a14="http://schemas.microsoft.com/office/drawing/2010/main"/>
                        </a:ext>
                      </a:extLst>
                    </a:blip>
                    <a:stretch>
                      <a:fillRect/>
                    </a:stretch>
                  </pic:blipFill>
                  <pic:spPr>
                    <a:xfrm>
                      <a:off x="0" y="0"/>
                      <a:ext cx="3067208" cy="351173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02c64960685e4c36"/>
      <w:footerReference w:type="default" r:id="R8fa7146e59494c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4AF775A2" w:rsidP="4AF775A2" w:rsidRDefault="4AF775A2" w14:paraId="573861BD" w14:textId="5F98A6DA">
    <w:pPr>
      <w:pStyle w:val="Normal"/>
    </w:pPr>
  </w:p>
  <w:tbl>
    <w:tblPr>
      <w:tblStyle w:val="TableNormal"/>
      <w:bidiVisual w:val="0"/>
      <w:tblW w:w="0" w:type="auto"/>
      <w:tblLook w:val="06A0" w:firstRow="1" w:lastRow="0" w:firstColumn="1" w:lastColumn="0" w:noHBand="1" w:noVBand="1"/>
    </w:tblPr>
    <w:tblGrid>
      <w:gridCol w:w="3005"/>
      <w:gridCol w:w="3005"/>
      <w:gridCol w:w="3005"/>
    </w:tblGrid>
    <w:tr w:rsidR="4AF775A2" w:rsidTr="4AF775A2" w14:paraId="4BD41CFC">
      <w:trPr>
        <w:trHeight w:val="300"/>
      </w:trPr>
      <w:tc>
        <w:tcPr>
          <w:tcW w:w="3005" w:type="dxa"/>
          <w:tcMar/>
        </w:tcPr>
        <w:p w:rsidR="4AF775A2" w:rsidP="4AF775A2" w:rsidRDefault="4AF775A2" w14:paraId="1A8E7A12" w14:textId="12669288">
          <w:pPr>
            <w:pStyle w:val="Header"/>
            <w:bidi w:val="0"/>
            <w:ind w:left="-115"/>
            <w:jc w:val="left"/>
          </w:pPr>
        </w:p>
      </w:tc>
      <w:tc>
        <w:tcPr>
          <w:tcW w:w="3005" w:type="dxa"/>
          <w:tcMar/>
        </w:tcPr>
        <w:p w:rsidR="4AF775A2" w:rsidP="4AF775A2" w:rsidRDefault="4AF775A2" w14:paraId="23C8855D" w14:textId="2E5B7DA9">
          <w:pPr>
            <w:pStyle w:val="Header"/>
            <w:bidi w:val="0"/>
            <w:jc w:val="center"/>
          </w:pPr>
        </w:p>
      </w:tc>
      <w:tc>
        <w:tcPr>
          <w:tcW w:w="3005" w:type="dxa"/>
          <w:tcMar/>
        </w:tcPr>
        <w:p w:rsidR="4AF775A2" w:rsidP="4AF775A2" w:rsidRDefault="4AF775A2" w14:paraId="7ECD6020" w14:textId="48006553">
          <w:pPr>
            <w:pStyle w:val="Header"/>
            <w:bidi w:val="0"/>
            <w:ind w:right="-115"/>
            <w:jc w:val="right"/>
          </w:pPr>
          <w:r>
            <w:fldChar w:fldCharType="begin"/>
          </w:r>
          <w:r>
            <w:instrText xml:space="preserve">PAGE</w:instrText>
          </w:r>
          <w:r>
            <w:fldChar w:fldCharType="separate"/>
          </w:r>
          <w:r>
            <w:fldChar w:fldCharType="end"/>
          </w:r>
        </w:p>
      </w:tc>
    </w:tr>
  </w:tbl>
  <w:p w:rsidR="4AF775A2" w:rsidP="4AF775A2" w:rsidRDefault="4AF775A2" w14:paraId="22677086" w14:textId="6EB56A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F775A2" w:rsidTr="4AF775A2" w14:paraId="30E32012">
      <w:trPr>
        <w:trHeight w:val="300"/>
      </w:trPr>
      <w:tc>
        <w:tcPr>
          <w:tcW w:w="3005" w:type="dxa"/>
          <w:tcMar/>
        </w:tcPr>
        <w:p w:rsidR="4AF775A2" w:rsidP="4AF775A2" w:rsidRDefault="4AF775A2" w14:paraId="7FEA3823" w14:textId="6FE916BD">
          <w:pPr>
            <w:pStyle w:val="Header"/>
            <w:bidi w:val="0"/>
            <w:ind w:left="-115"/>
            <w:jc w:val="left"/>
          </w:pPr>
        </w:p>
      </w:tc>
      <w:tc>
        <w:tcPr>
          <w:tcW w:w="3005" w:type="dxa"/>
          <w:tcMar/>
        </w:tcPr>
        <w:p w:rsidR="4AF775A2" w:rsidP="4AF775A2" w:rsidRDefault="4AF775A2" w14:paraId="5A4ABC79" w14:textId="6383C300">
          <w:pPr>
            <w:pStyle w:val="Header"/>
            <w:bidi w:val="0"/>
            <w:jc w:val="center"/>
          </w:pPr>
        </w:p>
      </w:tc>
      <w:tc>
        <w:tcPr>
          <w:tcW w:w="3005" w:type="dxa"/>
          <w:tcMar/>
        </w:tcPr>
        <w:p w:rsidR="4AF775A2" w:rsidP="4AF775A2" w:rsidRDefault="4AF775A2" w14:paraId="793CC045" w14:textId="1DDE5BCA">
          <w:pPr>
            <w:pStyle w:val="Header"/>
            <w:bidi w:val="0"/>
            <w:ind w:right="-115"/>
            <w:jc w:val="right"/>
          </w:pPr>
        </w:p>
      </w:tc>
    </w:tr>
  </w:tbl>
  <w:p w:rsidR="4AF775A2" w:rsidP="4AF775A2" w:rsidRDefault="4AF775A2" w14:paraId="330C8534" w14:textId="2E4273D4">
    <w:pPr>
      <w:pStyle w:val="Header"/>
      <w:bidi w:val="0"/>
    </w:pPr>
  </w:p>
</w:hdr>
</file>

<file path=word/intelligence2.xml><?xml version="1.0" encoding="utf-8"?>
<int2:intelligence xmlns:int2="http://schemas.microsoft.com/office/intelligence/2020/intelligence">
  <int2:observations>
    <int2:textHash int2:hashCode="U4eMQmugVygboi" int2:id="3wlTOXpq">
      <int2:state int2:type="spell" int2:value="Rejected"/>
    </int2:textHash>
    <int2:textHash int2:hashCode="DcbpiwK4naayJV" int2:id="sBgkkI2E">
      <int2:state int2:type="spell" int2:value="Rejected"/>
    </int2:textHash>
    <int2:textHash int2:hashCode="gXYLDTHVskw0tO" int2:id="oFBkqErK">
      <int2:state int2:type="spell" int2:value="Rejected"/>
    </int2:textHash>
    <int2:textHash int2:hashCode="x4dAjrhRWVcP3k" int2:id="NhKu0NuC">
      <int2:state int2:type="spell" int2:value="Rejected"/>
    </int2:textHash>
    <int2:textHash int2:hashCode="AUJfwZgDv2J+yT" int2:id="0WYnaAAT">
      <int2:state int2:type="spell" int2:value="Rejected"/>
    </int2:textHash>
    <int2:textHash int2:hashCode="D0hi+4MpFLLD1R" int2:id="xmxjKsw9">
      <int2:state int2:type="spell" int2:value="Rejected"/>
    </int2:textHash>
    <int2:textHash int2:hashCode="XgNmH4Mak29Uex" int2:id="DvmFst7w">
      <int2:state int2:type="spell" int2:value="Rejected"/>
    </int2:textHash>
    <int2:textHash int2:hashCode="AV/UJyLwn1K4MP" int2:id="NdUdKNT4">
      <int2:state int2:type="spell" int2:value="Rejected"/>
    </int2:textHash>
    <int2:textHash int2:hashCode="FqIRT9zcXZ/Ur1" int2:id="decWoiiQ">
      <int2:state int2:type="spell" int2:value="Rejected"/>
    </int2:textHash>
    <int2:textHash int2:hashCode="/cKHkWhXtVa+Tv" int2:id="Xsmt950Z">
      <int2:state int2:type="spell" int2:value="Rejected"/>
    </int2:textHash>
    <int2:textHash int2:hashCode="uE45VSbo9TdYsm" int2:id="gvtsFNgE">
      <int2:state int2:type="spell" int2:value="Rejected"/>
    </int2:textHash>
    <int2:textHash int2:hashCode="BNxhIvUXCoM001" int2:id="ZbCDoNWB">
      <int2:state int2:type="spell" int2:value="Rejected"/>
    </int2:textHash>
    <int2:textHash int2:hashCode="ZHo+2T6kzz03XU" int2:id="uym5RBFb">
      <int2:state int2:type="spell" int2:value="Rejected"/>
    </int2:textHash>
    <int2:textHash int2:hashCode="WAvzNandeMx7tU" int2:id="TWxD5bS1">
      <int2:state int2:type="spell" int2:value="Rejected"/>
    </int2:textHash>
    <int2:textHash int2:hashCode="NOwqnvQpvWlExf" int2:id="4zC0pI9J">
      <int2:state int2:type="spell" int2:value="Rejected"/>
    </int2:textHash>
    <int2:textHash int2:hashCode="c/7oaG8xHxtqkW" int2:id="kVSibHs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4dfc4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7cd0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7631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cfa68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8a3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aac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b7d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3f4c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214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149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4b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60cf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40b76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BF3835"/>
    <w:rsid w:val="00123C9F"/>
    <w:rsid w:val="001FBEDE"/>
    <w:rsid w:val="004B8ACB"/>
    <w:rsid w:val="008F6AC5"/>
    <w:rsid w:val="012343DF"/>
    <w:rsid w:val="012BE6A4"/>
    <w:rsid w:val="015B867E"/>
    <w:rsid w:val="019D5F89"/>
    <w:rsid w:val="01E1BD4D"/>
    <w:rsid w:val="01E2C1A9"/>
    <w:rsid w:val="0206E559"/>
    <w:rsid w:val="024B0421"/>
    <w:rsid w:val="024CBDFC"/>
    <w:rsid w:val="0252E512"/>
    <w:rsid w:val="0263BD8F"/>
    <w:rsid w:val="02B5E450"/>
    <w:rsid w:val="03013082"/>
    <w:rsid w:val="0306592A"/>
    <w:rsid w:val="032AA09D"/>
    <w:rsid w:val="034594A6"/>
    <w:rsid w:val="03727CC2"/>
    <w:rsid w:val="037F4F82"/>
    <w:rsid w:val="039AB2C9"/>
    <w:rsid w:val="03CC62F3"/>
    <w:rsid w:val="03CEB6B1"/>
    <w:rsid w:val="03F36E47"/>
    <w:rsid w:val="03FEC115"/>
    <w:rsid w:val="040173C5"/>
    <w:rsid w:val="041221FA"/>
    <w:rsid w:val="04411CE6"/>
    <w:rsid w:val="04713E60"/>
    <w:rsid w:val="04E02FCB"/>
    <w:rsid w:val="04FB81AE"/>
    <w:rsid w:val="05083453"/>
    <w:rsid w:val="0521111F"/>
    <w:rsid w:val="0537FF75"/>
    <w:rsid w:val="054C2A8F"/>
    <w:rsid w:val="05DB25FC"/>
    <w:rsid w:val="063B7C83"/>
    <w:rsid w:val="066FA1C3"/>
    <w:rsid w:val="06BA00C5"/>
    <w:rsid w:val="06D8520B"/>
    <w:rsid w:val="06FC5A04"/>
    <w:rsid w:val="0735F3D0"/>
    <w:rsid w:val="079292A5"/>
    <w:rsid w:val="07F81B2B"/>
    <w:rsid w:val="07FE5508"/>
    <w:rsid w:val="080C23C6"/>
    <w:rsid w:val="086BDC7B"/>
    <w:rsid w:val="08880907"/>
    <w:rsid w:val="089BD9A6"/>
    <w:rsid w:val="08A0CD19"/>
    <w:rsid w:val="08DEF47A"/>
    <w:rsid w:val="098809C9"/>
    <w:rsid w:val="09AA2E55"/>
    <w:rsid w:val="09B6F53C"/>
    <w:rsid w:val="09F7D287"/>
    <w:rsid w:val="0A32234C"/>
    <w:rsid w:val="0A32234C"/>
    <w:rsid w:val="0A786232"/>
    <w:rsid w:val="0A96025F"/>
    <w:rsid w:val="0ABCE6F8"/>
    <w:rsid w:val="0B242A44"/>
    <w:rsid w:val="0B2D4C2D"/>
    <w:rsid w:val="0B430022"/>
    <w:rsid w:val="0B4B9EE5"/>
    <w:rsid w:val="0BC802C7"/>
    <w:rsid w:val="0C0FE6B5"/>
    <w:rsid w:val="0C204E58"/>
    <w:rsid w:val="0C29B93D"/>
    <w:rsid w:val="0C4EDDF5"/>
    <w:rsid w:val="0CC08318"/>
    <w:rsid w:val="0CD98B83"/>
    <w:rsid w:val="0D579932"/>
    <w:rsid w:val="0D5F67F9"/>
    <w:rsid w:val="0DC5D607"/>
    <w:rsid w:val="0DE8572F"/>
    <w:rsid w:val="0E4E5A46"/>
    <w:rsid w:val="0ED46B36"/>
    <w:rsid w:val="0F0DABBC"/>
    <w:rsid w:val="0F116FAD"/>
    <w:rsid w:val="0F139884"/>
    <w:rsid w:val="0F5A0B6F"/>
    <w:rsid w:val="0F5A37AC"/>
    <w:rsid w:val="0F880EEF"/>
    <w:rsid w:val="103837AD"/>
    <w:rsid w:val="1077984E"/>
    <w:rsid w:val="11261166"/>
    <w:rsid w:val="116719BB"/>
    <w:rsid w:val="11801EC8"/>
    <w:rsid w:val="1189CBDF"/>
    <w:rsid w:val="11C98FF9"/>
    <w:rsid w:val="11DCB474"/>
    <w:rsid w:val="1232F932"/>
    <w:rsid w:val="126B43E6"/>
    <w:rsid w:val="13850A59"/>
    <w:rsid w:val="13B1EE2A"/>
    <w:rsid w:val="13CAB372"/>
    <w:rsid w:val="13E9CB8C"/>
    <w:rsid w:val="13EE2E6F"/>
    <w:rsid w:val="1417A264"/>
    <w:rsid w:val="141AC669"/>
    <w:rsid w:val="143B9FBE"/>
    <w:rsid w:val="1469FED6"/>
    <w:rsid w:val="1477CC3B"/>
    <w:rsid w:val="147E6DCB"/>
    <w:rsid w:val="14B13571"/>
    <w:rsid w:val="153A359E"/>
    <w:rsid w:val="15CA7278"/>
    <w:rsid w:val="15EB9E80"/>
    <w:rsid w:val="1639698B"/>
    <w:rsid w:val="163A2DEC"/>
    <w:rsid w:val="16612189"/>
    <w:rsid w:val="166D4296"/>
    <w:rsid w:val="168A14AC"/>
    <w:rsid w:val="168E3610"/>
    <w:rsid w:val="16C268F2"/>
    <w:rsid w:val="1703F2DF"/>
    <w:rsid w:val="172CFD95"/>
    <w:rsid w:val="173A9537"/>
    <w:rsid w:val="17535DE3"/>
    <w:rsid w:val="17B5E6A4"/>
    <w:rsid w:val="17D76364"/>
    <w:rsid w:val="1822DDCE"/>
    <w:rsid w:val="183636C5"/>
    <w:rsid w:val="18400501"/>
    <w:rsid w:val="18A73EDF"/>
    <w:rsid w:val="19667A29"/>
    <w:rsid w:val="1A3AE23D"/>
    <w:rsid w:val="1ABDFB1B"/>
    <w:rsid w:val="1AC07E11"/>
    <w:rsid w:val="1AC8F551"/>
    <w:rsid w:val="1B118FE5"/>
    <w:rsid w:val="1B249578"/>
    <w:rsid w:val="1B6004DA"/>
    <w:rsid w:val="1B644951"/>
    <w:rsid w:val="1B7E4B96"/>
    <w:rsid w:val="1B8AC078"/>
    <w:rsid w:val="1B998221"/>
    <w:rsid w:val="1BEC2282"/>
    <w:rsid w:val="1BF991E7"/>
    <w:rsid w:val="1C371803"/>
    <w:rsid w:val="1C81BA86"/>
    <w:rsid w:val="1CC0554E"/>
    <w:rsid w:val="1D018A31"/>
    <w:rsid w:val="1D1F0941"/>
    <w:rsid w:val="1D68180D"/>
    <w:rsid w:val="1DC14ADC"/>
    <w:rsid w:val="1DEB1A4C"/>
    <w:rsid w:val="1E3D5F94"/>
    <w:rsid w:val="1E488F4D"/>
    <w:rsid w:val="1E6001D6"/>
    <w:rsid w:val="1E8E9A43"/>
    <w:rsid w:val="1EA437A3"/>
    <w:rsid w:val="1EB93554"/>
    <w:rsid w:val="1ED82406"/>
    <w:rsid w:val="1F3D653D"/>
    <w:rsid w:val="1F621DAC"/>
    <w:rsid w:val="1F70BA21"/>
    <w:rsid w:val="1FB80523"/>
    <w:rsid w:val="1FC7207E"/>
    <w:rsid w:val="1FEA0DB1"/>
    <w:rsid w:val="1FED50CD"/>
    <w:rsid w:val="1FF10512"/>
    <w:rsid w:val="200275EE"/>
    <w:rsid w:val="2013C732"/>
    <w:rsid w:val="20270212"/>
    <w:rsid w:val="20707F0C"/>
    <w:rsid w:val="208ACF9E"/>
    <w:rsid w:val="20C7BB60"/>
    <w:rsid w:val="20D90B53"/>
    <w:rsid w:val="20E637C0"/>
    <w:rsid w:val="20E73D6C"/>
    <w:rsid w:val="21132EB1"/>
    <w:rsid w:val="212F7865"/>
    <w:rsid w:val="214F6AFD"/>
    <w:rsid w:val="21674B46"/>
    <w:rsid w:val="216BEB33"/>
    <w:rsid w:val="21886977"/>
    <w:rsid w:val="219CB7EB"/>
    <w:rsid w:val="219E8604"/>
    <w:rsid w:val="21F480F6"/>
    <w:rsid w:val="223EC48C"/>
    <w:rsid w:val="224381D1"/>
    <w:rsid w:val="22557CF3"/>
    <w:rsid w:val="22D82782"/>
    <w:rsid w:val="22FA975C"/>
    <w:rsid w:val="236E54AE"/>
    <w:rsid w:val="23B4F052"/>
    <w:rsid w:val="23DB8256"/>
    <w:rsid w:val="2426FE7F"/>
    <w:rsid w:val="243BEF60"/>
    <w:rsid w:val="244ABBA6"/>
    <w:rsid w:val="24657E6F"/>
    <w:rsid w:val="24765128"/>
    <w:rsid w:val="24C89513"/>
    <w:rsid w:val="25121314"/>
    <w:rsid w:val="251B34D1"/>
    <w:rsid w:val="254B2BBA"/>
    <w:rsid w:val="255E90EC"/>
    <w:rsid w:val="25CA70A1"/>
    <w:rsid w:val="263E2F76"/>
    <w:rsid w:val="268A85A9"/>
    <w:rsid w:val="269B7A0A"/>
    <w:rsid w:val="2734E436"/>
    <w:rsid w:val="27581F9C"/>
    <w:rsid w:val="2760016F"/>
    <w:rsid w:val="276C5F44"/>
    <w:rsid w:val="27AF5DDF"/>
    <w:rsid w:val="282145E4"/>
    <w:rsid w:val="283D0F0A"/>
    <w:rsid w:val="288893D2"/>
    <w:rsid w:val="28AEE90D"/>
    <w:rsid w:val="290B281B"/>
    <w:rsid w:val="290C282C"/>
    <w:rsid w:val="2916E970"/>
    <w:rsid w:val="296E157B"/>
    <w:rsid w:val="2972BA74"/>
    <w:rsid w:val="29A5DEF6"/>
    <w:rsid w:val="29C843A9"/>
    <w:rsid w:val="29DB6AA7"/>
    <w:rsid w:val="29DCD53B"/>
    <w:rsid w:val="29F45452"/>
    <w:rsid w:val="29F89D5A"/>
    <w:rsid w:val="2A39D77D"/>
    <w:rsid w:val="2A46C741"/>
    <w:rsid w:val="2A56B56E"/>
    <w:rsid w:val="2A7DB786"/>
    <w:rsid w:val="2AB370B9"/>
    <w:rsid w:val="2AB52D73"/>
    <w:rsid w:val="2ABBF66F"/>
    <w:rsid w:val="2AE3EC26"/>
    <w:rsid w:val="2B261116"/>
    <w:rsid w:val="2B48D264"/>
    <w:rsid w:val="2B598F2F"/>
    <w:rsid w:val="2B9C298A"/>
    <w:rsid w:val="2BC97536"/>
    <w:rsid w:val="2BDA9774"/>
    <w:rsid w:val="2C047BB2"/>
    <w:rsid w:val="2C299ADD"/>
    <w:rsid w:val="2CAC0B0D"/>
    <w:rsid w:val="2D0DC420"/>
    <w:rsid w:val="2D1AE827"/>
    <w:rsid w:val="2DA87766"/>
    <w:rsid w:val="2DC100AB"/>
    <w:rsid w:val="2E336A8F"/>
    <w:rsid w:val="2EB8FBCD"/>
    <w:rsid w:val="2ECED335"/>
    <w:rsid w:val="2EDC7229"/>
    <w:rsid w:val="2F3C6202"/>
    <w:rsid w:val="2F407036"/>
    <w:rsid w:val="2F65602E"/>
    <w:rsid w:val="2F7ACA52"/>
    <w:rsid w:val="2F98739C"/>
    <w:rsid w:val="2F9E6FC6"/>
    <w:rsid w:val="2FFF2E9D"/>
    <w:rsid w:val="3033FCAC"/>
    <w:rsid w:val="30701EF6"/>
    <w:rsid w:val="308EA1E7"/>
    <w:rsid w:val="3099A8FC"/>
    <w:rsid w:val="30A5781E"/>
    <w:rsid w:val="30D79E45"/>
    <w:rsid w:val="30F13E0E"/>
    <w:rsid w:val="3105412A"/>
    <w:rsid w:val="3151E5D0"/>
    <w:rsid w:val="3154FDC9"/>
    <w:rsid w:val="315E7155"/>
    <w:rsid w:val="3180AB45"/>
    <w:rsid w:val="318DDB99"/>
    <w:rsid w:val="31A91001"/>
    <w:rsid w:val="31B4F69A"/>
    <w:rsid w:val="31D2CBE5"/>
    <w:rsid w:val="3218C074"/>
    <w:rsid w:val="32422EC7"/>
    <w:rsid w:val="324E19FE"/>
    <w:rsid w:val="32610813"/>
    <w:rsid w:val="326A88D1"/>
    <w:rsid w:val="32F5C2B8"/>
    <w:rsid w:val="335B1F78"/>
    <w:rsid w:val="3360C5E8"/>
    <w:rsid w:val="33A5FC8B"/>
    <w:rsid w:val="33A8FE50"/>
    <w:rsid w:val="33C7BA29"/>
    <w:rsid w:val="33CF37FB"/>
    <w:rsid w:val="33DCEBF1"/>
    <w:rsid w:val="33FFDA40"/>
    <w:rsid w:val="34239155"/>
    <w:rsid w:val="3432DD51"/>
    <w:rsid w:val="344F72D6"/>
    <w:rsid w:val="347AFF5B"/>
    <w:rsid w:val="34973E74"/>
    <w:rsid w:val="34D83902"/>
    <w:rsid w:val="34EF0AB2"/>
    <w:rsid w:val="34EF6E75"/>
    <w:rsid w:val="34F66F96"/>
    <w:rsid w:val="352EBB79"/>
    <w:rsid w:val="3530DCD2"/>
    <w:rsid w:val="355BD1DE"/>
    <w:rsid w:val="3571BD5F"/>
    <w:rsid w:val="357CA350"/>
    <w:rsid w:val="359AD0A4"/>
    <w:rsid w:val="35A2EDC6"/>
    <w:rsid w:val="35B6B5A9"/>
    <w:rsid w:val="3613AFAA"/>
    <w:rsid w:val="366164B2"/>
    <w:rsid w:val="369662DC"/>
    <w:rsid w:val="376A8F35"/>
    <w:rsid w:val="37B3911E"/>
    <w:rsid w:val="37BF6EE0"/>
    <w:rsid w:val="37F6E493"/>
    <w:rsid w:val="3817183C"/>
    <w:rsid w:val="38D12EC5"/>
    <w:rsid w:val="38ED8B6A"/>
    <w:rsid w:val="39254D2E"/>
    <w:rsid w:val="393ED601"/>
    <w:rsid w:val="3989EB8F"/>
    <w:rsid w:val="398EE654"/>
    <w:rsid w:val="39ACFFEE"/>
    <w:rsid w:val="39B9444E"/>
    <w:rsid w:val="39B9A988"/>
    <w:rsid w:val="39C57274"/>
    <w:rsid w:val="39CD6F84"/>
    <w:rsid w:val="39E0CD92"/>
    <w:rsid w:val="3A18F6E0"/>
    <w:rsid w:val="3A19E81B"/>
    <w:rsid w:val="3A8F5030"/>
    <w:rsid w:val="3AB55B49"/>
    <w:rsid w:val="3ACD7E22"/>
    <w:rsid w:val="3AE9AF87"/>
    <w:rsid w:val="3AEC3AFE"/>
    <w:rsid w:val="3B031C4D"/>
    <w:rsid w:val="3B366774"/>
    <w:rsid w:val="3BD7479E"/>
    <w:rsid w:val="3C3D39AF"/>
    <w:rsid w:val="3C7203CE"/>
    <w:rsid w:val="3C73FF22"/>
    <w:rsid w:val="3CAA3458"/>
    <w:rsid w:val="3CE23346"/>
    <w:rsid w:val="3CE57471"/>
    <w:rsid w:val="3CFF5116"/>
    <w:rsid w:val="3D1ED9D3"/>
    <w:rsid w:val="3D23AD35"/>
    <w:rsid w:val="3D5A10F2"/>
    <w:rsid w:val="3D5F9F70"/>
    <w:rsid w:val="3D82D7C9"/>
    <w:rsid w:val="3DA1E526"/>
    <w:rsid w:val="3DA7CA32"/>
    <w:rsid w:val="3DB00CB3"/>
    <w:rsid w:val="3DE8B1AD"/>
    <w:rsid w:val="3DF4C15B"/>
    <w:rsid w:val="3E80DBD3"/>
    <w:rsid w:val="3EDEE64E"/>
    <w:rsid w:val="3F3E3996"/>
    <w:rsid w:val="3FBBCD9F"/>
    <w:rsid w:val="3FC6E67D"/>
    <w:rsid w:val="4036803F"/>
    <w:rsid w:val="40F2721F"/>
    <w:rsid w:val="410DF62C"/>
    <w:rsid w:val="4143D20E"/>
    <w:rsid w:val="4166AAE2"/>
    <w:rsid w:val="41ECB52D"/>
    <w:rsid w:val="41EE90C9"/>
    <w:rsid w:val="4202753D"/>
    <w:rsid w:val="421D54E3"/>
    <w:rsid w:val="42255568"/>
    <w:rsid w:val="42274C1B"/>
    <w:rsid w:val="4266ADCC"/>
    <w:rsid w:val="427A1BA0"/>
    <w:rsid w:val="429C8FA6"/>
    <w:rsid w:val="42AED43F"/>
    <w:rsid w:val="42BF5A2C"/>
    <w:rsid w:val="42C68390"/>
    <w:rsid w:val="42EF0929"/>
    <w:rsid w:val="43245D51"/>
    <w:rsid w:val="4357C0A3"/>
    <w:rsid w:val="43905791"/>
    <w:rsid w:val="44A4BB35"/>
    <w:rsid w:val="44C6BE6A"/>
    <w:rsid w:val="44D9AE83"/>
    <w:rsid w:val="44E22F0E"/>
    <w:rsid w:val="451A20AA"/>
    <w:rsid w:val="455055FD"/>
    <w:rsid w:val="45A30FE5"/>
    <w:rsid w:val="45E55AAB"/>
    <w:rsid w:val="4605ACD4"/>
    <w:rsid w:val="46156E1B"/>
    <w:rsid w:val="4637AD86"/>
    <w:rsid w:val="46381C1C"/>
    <w:rsid w:val="464ABB60"/>
    <w:rsid w:val="469B2C38"/>
    <w:rsid w:val="46D1F1A9"/>
    <w:rsid w:val="472D5F0A"/>
    <w:rsid w:val="4749E9C1"/>
    <w:rsid w:val="478C46AD"/>
    <w:rsid w:val="4796662E"/>
    <w:rsid w:val="47C25D81"/>
    <w:rsid w:val="47E143C9"/>
    <w:rsid w:val="48006683"/>
    <w:rsid w:val="48411DFA"/>
    <w:rsid w:val="48596420"/>
    <w:rsid w:val="487F93F5"/>
    <w:rsid w:val="48949F93"/>
    <w:rsid w:val="48F3D586"/>
    <w:rsid w:val="4913CB5D"/>
    <w:rsid w:val="49140792"/>
    <w:rsid w:val="49172A8A"/>
    <w:rsid w:val="4A09CB71"/>
    <w:rsid w:val="4A2CF31E"/>
    <w:rsid w:val="4A7A3A34"/>
    <w:rsid w:val="4A9419D1"/>
    <w:rsid w:val="4AB8E0DF"/>
    <w:rsid w:val="4AF775A2"/>
    <w:rsid w:val="4B0F08D8"/>
    <w:rsid w:val="4B22F80B"/>
    <w:rsid w:val="4B41128D"/>
    <w:rsid w:val="4BBCC972"/>
    <w:rsid w:val="4BC8CE8B"/>
    <w:rsid w:val="4C0E236F"/>
    <w:rsid w:val="4C7E84C1"/>
    <w:rsid w:val="4C84ED3B"/>
    <w:rsid w:val="4CA6F1A0"/>
    <w:rsid w:val="4CB55D82"/>
    <w:rsid w:val="4CC8F141"/>
    <w:rsid w:val="4D36E4BB"/>
    <w:rsid w:val="4D4CDD70"/>
    <w:rsid w:val="4D955F18"/>
    <w:rsid w:val="4DDC2293"/>
    <w:rsid w:val="4DF9B105"/>
    <w:rsid w:val="4DFA466E"/>
    <w:rsid w:val="4E555A97"/>
    <w:rsid w:val="4E695332"/>
    <w:rsid w:val="4E6F5AF1"/>
    <w:rsid w:val="4E716085"/>
    <w:rsid w:val="4E9532B0"/>
    <w:rsid w:val="4E9FC7A2"/>
    <w:rsid w:val="4EF39126"/>
    <w:rsid w:val="4F09E845"/>
    <w:rsid w:val="4F4765D8"/>
    <w:rsid w:val="50011661"/>
    <w:rsid w:val="5029A4E1"/>
    <w:rsid w:val="508FA1F6"/>
    <w:rsid w:val="5096770E"/>
    <w:rsid w:val="50B730B5"/>
    <w:rsid w:val="50F287FA"/>
    <w:rsid w:val="50F41F19"/>
    <w:rsid w:val="51068C01"/>
    <w:rsid w:val="5121CD29"/>
    <w:rsid w:val="516FD7CD"/>
    <w:rsid w:val="51ABA2C3"/>
    <w:rsid w:val="51D09D66"/>
    <w:rsid w:val="520B5212"/>
    <w:rsid w:val="52684AFE"/>
    <w:rsid w:val="52687345"/>
    <w:rsid w:val="526D3194"/>
    <w:rsid w:val="52992C0A"/>
    <w:rsid w:val="52B5E82F"/>
    <w:rsid w:val="52DB784C"/>
    <w:rsid w:val="52DDB031"/>
    <w:rsid w:val="52F370FC"/>
    <w:rsid w:val="53073A6F"/>
    <w:rsid w:val="531BB6E8"/>
    <w:rsid w:val="535884B6"/>
    <w:rsid w:val="538FB3FB"/>
    <w:rsid w:val="53AD3D3E"/>
    <w:rsid w:val="53CF3EA3"/>
    <w:rsid w:val="53DA412A"/>
    <w:rsid w:val="53DE9789"/>
    <w:rsid w:val="5455DE25"/>
    <w:rsid w:val="54836460"/>
    <w:rsid w:val="55C0F857"/>
    <w:rsid w:val="55DC929F"/>
    <w:rsid w:val="5645702A"/>
    <w:rsid w:val="564584EE"/>
    <w:rsid w:val="56515D32"/>
    <w:rsid w:val="567DC563"/>
    <w:rsid w:val="5697B811"/>
    <w:rsid w:val="56C21B2C"/>
    <w:rsid w:val="56D6EF12"/>
    <w:rsid w:val="57B4B78D"/>
    <w:rsid w:val="57BE8FF5"/>
    <w:rsid w:val="57BE9A07"/>
    <w:rsid w:val="57DE0E76"/>
    <w:rsid w:val="58075829"/>
    <w:rsid w:val="58760D2A"/>
    <w:rsid w:val="589E4FD4"/>
    <w:rsid w:val="593F391F"/>
    <w:rsid w:val="5A62F0C2"/>
    <w:rsid w:val="5A807755"/>
    <w:rsid w:val="5A8D597C"/>
    <w:rsid w:val="5A901293"/>
    <w:rsid w:val="5AF07CEB"/>
    <w:rsid w:val="5B09D1FA"/>
    <w:rsid w:val="5B1010B0"/>
    <w:rsid w:val="5B6586EE"/>
    <w:rsid w:val="5B6DE585"/>
    <w:rsid w:val="5B94CD6B"/>
    <w:rsid w:val="5BB0DC7F"/>
    <w:rsid w:val="5BD12765"/>
    <w:rsid w:val="5BD1AB05"/>
    <w:rsid w:val="5C2258F1"/>
    <w:rsid w:val="5C35C25C"/>
    <w:rsid w:val="5C4829E2"/>
    <w:rsid w:val="5C7AB038"/>
    <w:rsid w:val="5C9B8609"/>
    <w:rsid w:val="5CB6C3E9"/>
    <w:rsid w:val="5CC2F7C3"/>
    <w:rsid w:val="5CEFFDAA"/>
    <w:rsid w:val="5D02B3DF"/>
    <w:rsid w:val="5D0DB34F"/>
    <w:rsid w:val="5D6EDA03"/>
    <w:rsid w:val="5DA2B24E"/>
    <w:rsid w:val="5DDF08E8"/>
    <w:rsid w:val="5DE63767"/>
    <w:rsid w:val="5DFDFF85"/>
    <w:rsid w:val="5E2963D2"/>
    <w:rsid w:val="5E4B0088"/>
    <w:rsid w:val="5E5E4CC2"/>
    <w:rsid w:val="5E672DA1"/>
    <w:rsid w:val="5E698346"/>
    <w:rsid w:val="5E873797"/>
    <w:rsid w:val="5EAA54D1"/>
    <w:rsid w:val="5EBF3835"/>
    <w:rsid w:val="5EBFA41A"/>
    <w:rsid w:val="5EC1B82B"/>
    <w:rsid w:val="5ECA3E5F"/>
    <w:rsid w:val="5ECE4DB3"/>
    <w:rsid w:val="5F2C20E3"/>
    <w:rsid w:val="5F500ACD"/>
    <w:rsid w:val="5F6402E4"/>
    <w:rsid w:val="5FB4EFD9"/>
    <w:rsid w:val="5FD02165"/>
    <w:rsid w:val="5FDEA4BF"/>
    <w:rsid w:val="600647AA"/>
    <w:rsid w:val="60477B2B"/>
    <w:rsid w:val="6049CB7E"/>
    <w:rsid w:val="60D47C1E"/>
    <w:rsid w:val="61262F7A"/>
    <w:rsid w:val="613E27F8"/>
    <w:rsid w:val="6163687F"/>
    <w:rsid w:val="61919606"/>
    <w:rsid w:val="6197FEF9"/>
    <w:rsid w:val="61F75971"/>
    <w:rsid w:val="62026D60"/>
    <w:rsid w:val="625F09FB"/>
    <w:rsid w:val="6266C0FC"/>
    <w:rsid w:val="626BF981"/>
    <w:rsid w:val="630CC561"/>
    <w:rsid w:val="633E5BF7"/>
    <w:rsid w:val="63484A5A"/>
    <w:rsid w:val="63C74130"/>
    <w:rsid w:val="6455BAD4"/>
    <w:rsid w:val="647B3A94"/>
    <w:rsid w:val="648AF4B2"/>
    <w:rsid w:val="64B58513"/>
    <w:rsid w:val="64C065FD"/>
    <w:rsid w:val="64E3D939"/>
    <w:rsid w:val="64FBE35A"/>
    <w:rsid w:val="64FC195E"/>
    <w:rsid w:val="65256694"/>
    <w:rsid w:val="652B57A1"/>
    <w:rsid w:val="65665192"/>
    <w:rsid w:val="65925891"/>
    <w:rsid w:val="6594B7B3"/>
    <w:rsid w:val="65E1492E"/>
    <w:rsid w:val="6698FCB0"/>
    <w:rsid w:val="67182F88"/>
    <w:rsid w:val="67D131A3"/>
    <w:rsid w:val="68921B22"/>
    <w:rsid w:val="68AF5CF8"/>
    <w:rsid w:val="68D687FD"/>
    <w:rsid w:val="68F3FA13"/>
    <w:rsid w:val="6900CD6E"/>
    <w:rsid w:val="6919B3E4"/>
    <w:rsid w:val="69548731"/>
    <w:rsid w:val="696AAAE0"/>
    <w:rsid w:val="6987E3E7"/>
    <w:rsid w:val="699D3B4C"/>
    <w:rsid w:val="69E2C71B"/>
    <w:rsid w:val="69F63A38"/>
    <w:rsid w:val="6A35A1A9"/>
    <w:rsid w:val="6A383E11"/>
    <w:rsid w:val="6A3F3B26"/>
    <w:rsid w:val="6A4DE6B0"/>
    <w:rsid w:val="6A757321"/>
    <w:rsid w:val="6A8CE3E0"/>
    <w:rsid w:val="6AC7E5A4"/>
    <w:rsid w:val="6ACBC73D"/>
    <w:rsid w:val="6B087DB5"/>
    <w:rsid w:val="6B3E6EE9"/>
    <w:rsid w:val="6B69393E"/>
    <w:rsid w:val="6B828EB4"/>
    <w:rsid w:val="6BCC0B94"/>
    <w:rsid w:val="6C533FC2"/>
    <w:rsid w:val="6C64C4D2"/>
    <w:rsid w:val="6C64EF9D"/>
    <w:rsid w:val="6C7DC64F"/>
    <w:rsid w:val="6C9EE360"/>
    <w:rsid w:val="6CA8831B"/>
    <w:rsid w:val="6CD6301E"/>
    <w:rsid w:val="6D4205B5"/>
    <w:rsid w:val="6D5AA630"/>
    <w:rsid w:val="6D6BEF05"/>
    <w:rsid w:val="6D746E34"/>
    <w:rsid w:val="6DEC5DD5"/>
    <w:rsid w:val="6E141042"/>
    <w:rsid w:val="6E141042"/>
    <w:rsid w:val="6E982B8C"/>
    <w:rsid w:val="6EA8A097"/>
    <w:rsid w:val="6EBDFDDF"/>
    <w:rsid w:val="6ED3F92E"/>
    <w:rsid w:val="6F09285E"/>
    <w:rsid w:val="6F53D002"/>
    <w:rsid w:val="6F75F332"/>
    <w:rsid w:val="6F93A44A"/>
    <w:rsid w:val="6F9CBD1C"/>
    <w:rsid w:val="6F9FF70A"/>
    <w:rsid w:val="6FC5205E"/>
    <w:rsid w:val="6FE81CB8"/>
    <w:rsid w:val="702289BC"/>
    <w:rsid w:val="70466BE5"/>
    <w:rsid w:val="705905E3"/>
    <w:rsid w:val="707BBBD1"/>
    <w:rsid w:val="70A9EEB6"/>
    <w:rsid w:val="712D6D97"/>
    <w:rsid w:val="71B78913"/>
    <w:rsid w:val="71F3B898"/>
    <w:rsid w:val="71F4A372"/>
    <w:rsid w:val="71FF6E62"/>
    <w:rsid w:val="721A280D"/>
    <w:rsid w:val="725A386D"/>
    <w:rsid w:val="72FA0DD6"/>
    <w:rsid w:val="73192E0B"/>
    <w:rsid w:val="731D8FD1"/>
    <w:rsid w:val="735B8EAD"/>
    <w:rsid w:val="736D288F"/>
    <w:rsid w:val="737118EC"/>
    <w:rsid w:val="73791568"/>
    <w:rsid w:val="738D0B62"/>
    <w:rsid w:val="739DFAA8"/>
    <w:rsid w:val="73D2C3B4"/>
    <w:rsid w:val="73E54476"/>
    <w:rsid w:val="742F52EA"/>
    <w:rsid w:val="7465B863"/>
    <w:rsid w:val="749DCBAC"/>
    <w:rsid w:val="7514ACB0"/>
    <w:rsid w:val="757B8F8F"/>
    <w:rsid w:val="7589D75B"/>
    <w:rsid w:val="75F34C45"/>
    <w:rsid w:val="75FD40F4"/>
    <w:rsid w:val="7606C0E1"/>
    <w:rsid w:val="761D4ED9"/>
    <w:rsid w:val="76531A34"/>
    <w:rsid w:val="76531E5A"/>
    <w:rsid w:val="766592D3"/>
    <w:rsid w:val="7666338F"/>
    <w:rsid w:val="76896F18"/>
    <w:rsid w:val="769EC6BC"/>
    <w:rsid w:val="76FFBBB0"/>
    <w:rsid w:val="7746B96B"/>
    <w:rsid w:val="775A30F8"/>
    <w:rsid w:val="775A8D25"/>
    <w:rsid w:val="7763AEA8"/>
    <w:rsid w:val="7768B1A0"/>
    <w:rsid w:val="77852C03"/>
    <w:rsid w:val="77855393"/>
    <w:rsid w:val="7791E989"/>
    <w:rsid w:val="77AE1605"/>
    <w:rsid w:val="77C7A3E1"/>
    <w:rsid w:val="77DE5F55"/>
    <w:rsid w:val="77F3E64F"/>
    <w:rsid w:val="782B54CC"/>
    <w:rsid w:val="78328B8B"/>
    <w:rsid w:val="7875610B"/>
    <w:rsid w:val="7891BAC3"/>
    <w:rsid w:val="78C918C7"/>
    <w:rsid w:val="794DFD5A"/>
    <w:rsid w:val="7966235A"/>
    <w:rsid w:val="79751D75"/>
    <w:rsid w:val="79862B3D"/>
    <w:rsid w:val="79B185F1"/>
    <w:rsid w:val="79BECCD8"/>
    <w:rsid w:val="79F6B90B"/>
    <w:rsid w:val="79FDFB0F"/>
    <w:rsid w:val="7A1368D0"/>
    <w:rsid w:val="7A1D1927"/>
    <w:rsid w:val="7A2DFEE5"/>
    <w:rsid w:val="7A3C02D3"/>
    <w:rsid w:val="7A459BAB"/>
    <w:rsid w:val="7A4F271E"/>
    <w:rsid w:val="7AB597FB"/>
    <w:rsid w:val="7B1A5343"/>
    <w:rsid w:val="7BC5993E"/>
    <w:rsid w:val="7C2FC781"/>
    <w:rsid w:val="7C3E8617"/>
    <w:rsid w:val="7C7399FB"/>
    <w:rsid w:val="7C9138C1"/>
    <w:rsid w:val="7CF9AF10"/>
    <w:rsid w:val="7CFB3E82"/>
    <w:rsid w:val="7D24DF9E"/>
    <w:rsid w:val="7D626543"/>
    <w:rsid w:val="7DBC6ABE"/>
    <w:rsid w:val="7E20A467"/>
    <w:rsid w:val="7E335798"/>
    <w:rsid w:val="7E3E5A19"/>
    <w:rsid w:val="7E577FFA"/>
    <w:rsid w:val="7E76963E"/>
    <w:rsid w:val="7EAC78DF"/>
    <w:rsid w:val="7ED0B05F"/>
    <w:rsid w:val="7EDEF7C1"/>
    <w:rsid w:val="7EE316FB"/>
    <w:rsid w:val="7EF57E76"/>
    <w:rsid w:val="7F1451A4"/>
    <w:rsid w:val="7FC6C6BF"/>
    <w:rsid w:val="7FD983E1"/>
    <w:rsid w:val="7FE588D9"/>
    <w:rsid w:val="7FE7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D3123"/>
  <w15:chartTrackingRefBased/>
  <w15:docId w15:val="{37DB314A-9772-4CD7-9C5B-9DA93758C4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43BEF60"/>
    <w:rPr>
      <w:color w:val="467886"/>
      <w:u w:val="single"/>
    </w:rPr>
  </w:style>
  <w:style w:type="paragraph" w:styleId="ListParagraph">
    <w:uiPriority w:val="34"/>
    <w:name w:val="List Paragraph"/>
    <w:basedOn w:val="Normal"/>
    <w:qFormat/>
    <w:rsid w:val="243BEF60"/>
    <w:pPr>
      <w:spacing/>
      <w:ind w:left="720"/>
      <w:contextualSpacing/>
    </w:pPr>
  </w:style>
  <w:style w:type="paragraph" w:styleId="Heading1">
    <w:uiPriority w:val="9"/>
    <w:name w:val="heading 1"/>
    <w:basedOn w:val="Normal"/>
    <w:next w:val="Normal"/>
    <w:qFormat/>
    <w:rsid w:val="034594A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034594A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034594A6"/>
    <w:pPr>
      <w:spacing w:after="100"/>
    </w:pPr>
  </w:style>
  <w:style w:type="paragraph" w:styleId="TOC2">
    <w:uiPriority w:val="39"/>
    <w:name w:val="toc 2"/>
    <w:basedOn w:val="Normal"/>
    <w:next w:val="Normal"/>
    <w:unhideWhenUsed/>
    <w:rsid w:val="034594A6"/>
    <w:pPr>
      <w:spacing w:after="100"/>
      <w:ind w:left="220"/>
    </w:pPr>
  </w:style>
  <w:style w:type="character" w:styleId="Heading2Char" w:customStyle="true">
    <w:uiPriority w:val="9"/>
    <w:name w:val="Heading 2 Char"/>
    <w:basedOn w:val="DefaultParagraphFont"/>
    <w:link w:val="Heading2"/>
    <w:rsid w:val="034594A6"/>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3">
    <w:uiPriority w:val="9"/>
    <w:name w:val="heading 3"/>
    <w:basedOn w:val="Normal"/>
    <w:next w:val="Normal"/>
    <w:unhideWhenUsed/>
    <w:qFormat/>
    <w:rsid w:val="034594A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034594A6"/>
    <w:pPr>
      <w:spacing w:after="100"/>
      <w:ind w:left="440"/>
    </w:pPr>
  </w:style>
  <w:style w:type="paragraph" w:styleId="Header">
    <w:uiPriority w:val="99"/>
    <w:name w:val="header"/>
    <w:basedOn w:val="Normal"/>
    <w:unhideWhenUsed/>
    <w:rsid w:val="4AF775A2"/>
    <w:pPr>
      <w:tabs>
        <w:tab w:val="center" w:leader="none" w:pos="4680"/>
        <w:tab w:val="right" w:leader="none" w:pos="9360"/>
      </w:tabs>
      <w:spacing w:after="0" w:line="240" w:lineRule="auto"/>
    </w:pPr>
  </w:style>
  <w:style w:type="paragraph" w:styleId="Footer">
    <w:uiPriority w:val="99"/>
    <w:name w:val="footer"/>
    <w:basedOn w:val="Normal"/>
    <w:unhideWhenUsed/>
    <w:rsid w:val="4AF775A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81e77b6271346f4" /><Relationship Type="http://schemas.openxmlformats.org/officeDocument/2006/relationships/image" Target="/media/image.png" Id="rId656822318" /><Relationship Type="http://schemas.openxmlformats.org/officeDocument/2006/relationships/image" Target="/media/image2.png" Id="rId877509154" /><Relationship Type="http://schemas.openxmlformats.org/officeDocument/2006/relationships/hyperlink" Target="https://doi.org/10.20409/berj.2024.445" TargetMode="External" Id="R344db4ea3ca2431d" /><Relationship Type="http://schemas.openxmlformats.org/officeDocument/2006/relationships/hyperlink" Target="https://doi.org/10.1371/journal.pone.0245460" TargetMode="External" Id="R497f24b9c7ec4b30" /><Relationship Type="http://schemas.openxmlformats.org/officeDocument/2006/relationships/hyperlink" Target="https://doi.org/10.1016/j.actpsy.2024.104177" TargetMode="External" Id="Raf98151380b74e2c" /><Relationship Type="http://schemas.openxmlformats.org/officeDocument/2006/relationships/hyperlink" Target="https://doi.org/10.1057/s41267-023-00643-w" TargetMode="External" Id="R38b76bc81bc2438d" /><Relationship Type="http://schemas.openxmlformats.org/officeDocument/2006/relationships/hyperlink" Target="https://doi.org/10.3368/jhr.57.4.0919-10416R2" TargetMode="External" Id="R4f545a6a4597421d" /><Relationship Type="http://schemas.openxmlformats.org/officeDocument/2006/relationships/hyperlink" Target="https://doi.org/10.15394/ijaaa.2020.1470" TargetMode="External" Id="R3437f627d4bd4053" /><Relationship Type="http://schemas.openxmlformats.org/officeDocument/2006/relationships/hyperlink" Target="https://doi.org/10.1108/13552529710168843" TargetMode="External" Id="R4977107691b54dec" /><Relationship Type="http://schemas.openxmlformats.org/officeDocument/2006/relationships/hyperlink" Target="https://doi.org/10.1017/iop.2018.5" TargetMode="External" Id="Rba577b8c739440f7" /><Relationship Type="http://schemas.openxmlformats.org/officeDocument/2006/relationships/hyperlink" Target="https://doi.org/10.1177/0091026016669169" TargetMode="External" Id="R8f86a5bb80354807" /><Relationship Type="http://schemas.openxmlformats.org/officeDocument/2006/relationships/hyperlink" Target="https://doi.org/10.1016/j.orgdyn.2025.101177" TargetMode="External" Id="R95b119fbfb7f454b" /><Relationship Type="http://schemas.openxmlformats.org/officeDocument/2006/relationships/hyperlink" Target="https://doi.org/10.1097/00006247-199508000-00011" TargetMode="External" Id="Rafb220c6c56b4aa9" /><Relationship Type="http://schemas.openxmlformats.org/officeDocument/2006/relationships/hyperlink" Target="https://doi.org/10.1080/24721840.2020.1763175" TargetMode="External" Id="R41c591d355ce47d4" /><Relationship Type="http://schemas.openxmlformats.org/officeDocument/2006/relationships/hyperlink" Target="https://doi.org/10.1016/j.jairtraman.2020.101997" TargetMode="External" Id="R246804f6a7d14926" /><Relationship Type="http://schemas.openxmlformats.org/officeDocument/2006/relationships/hyperlink" Target="https://doi.org/10.2478/fman-2023-0012" TargetMode="External" Id="R3effe7174b034152" /><Relationship Type="http://schemas.openxmlformats.org/officeDocument/2006/relationships/hyperlink" Target="https://doi.org/10.1080/02739615.2023.2279064" TargetMode="External" Id="Rea60fa3dc31749a1" /><Relationship Type="http://schemas.openxmlformats.org/officeDocument/2006/relationships/hyperlink" Target="https://doi.org/10.1080/1471903042000339392" TargetMode="External" Id="Rb0b14d72edfa45a9" /><Relationship Type="http://schemas.openxmlformats.org/officeDocument/2006/relationships/hyperlink" Target="https://doi.org/10.1111/1748-8583.12139" TargetMode="External" Id="R545882b0ea884c29" /><Relationship Type="http://schemas.openxmlformats.org/officeDocument/2006/relationships/hyperlink" Target="https://doi.org/10.1111/joop.70017" TargetMode="External" Id="Rb37234906e874dd1" /><Relationship Type="http://schemas.openxmlformats.org/officeDocument/2006/relationships/hyperlink" Target="https://doi.org/10.1093/scipol/scaf084" TargetMode="External" Id="R8c960fa95e5b4a7b" /><Relationship Type="http://schemas.openxmlformats.org/officeDocument/2006/relationships/hyperlink" Target="https://doi.org/10.1080/09585190903509548" TargetMode="External" Id="Rb4064741ed964e0e" /><Relationship Type="http://schemas.openxmlformats.org/officeDocument/2006/relationships/hyperlink" Target="https://doi.org/10.1093/occmed/kql021" TargetMode="External" Id="R17f19a1759cd475e" /><Relationship Type="http://schemas.openxmlformats.org/officeDocument/2006/relationships/hyperlink" Target="https://doi.org/10.1111/nuf.12435" TargetMode="External" Id="Rc9177ae919cb418e" /><Relationship Type="http://schemas.openxmlformats.org/officeDocument/2006/relationships/hyperlink" Target="https://doi.org/10.15394/ijaaa.2019.1321" TargetMode="External" Id="R0d58d071744b4ef8" /><Relationship Type="http://schemas.openxmlformats.org/officeDocument/2006/relationships/hyperlink" Target="https://doi.org/10.3390/admsci15040125" TargetMode="External" Id="Rf0e11e085cdd40b9" /><Relationship Type="http://schemas.openxmlformats.org/officeDocument/2006/relationships/hyperlink" Target="https://doi.org/10.1111/1748-8583.12527" TargetMode="External" Id="R7df87b29d6f34bfa" /><Relationship Type="http://schemas.openxmlformats.org/officeDocument/2006/relationships/hyperlink" Target="https://doi.org/10.3390/su12155941" TargetMode="External" Id="R5f2953b089e74118" /><Relationship Type="http://schemas.openxmlformats.org/officeDocument/2006/relationships/hyperlink" Target="https://doi.org/10.1108/09534810610676680" TargetMode="External" Id="Rb4da597d551c4409" /><Relationship Type="http://schemas.openxmlformats.org/officeDocument/2006/relationships/hyperlink" Target="https://doi.org/10.1177/0950422219876472" TargetMode="External" Id="Rd128a6f1e60043ab" /><Relationship Type="http://schemas.openxmlformats.org/officeDocument/2006/relationships/hyperlink" Target="https://doi.org/10.4102/SAJIP.v52i0.2409" TargetMode="External" Id="R968a1dcd9014485b" /><Relationship Type="http://schemas.openxmlformats.org/officeDocument/2006/relationships/hyperlink" Target="https://doi.org/10.4467/24498939IJCM.19.013.11756" TargetMode="External" Id="R37ba7dd143fa4dbb" /><Relationship Type="http://schemas.openxmlformats.org/officeDocument/2006/relationships/hyperlink" Target="https://doi.org/10.1177/0163278718772879" TargetMode="External" Id="Rbb63a68801a94ed1" /><Relationship Type="http://schemas.openxmlformats.org/officeDocument/2006/relationships/hyperlink" Target="https://doi.org/10.1080/09585192.2018.1528473" TargetMode="External" Id="R3956e11c4b1c47ab" /><Relationship Type="http://schemas.openxmlformats.org/officeDocument/2006/relationships/hyperlink" Target="https://doi.org/10.5937/StraMan2200024N" TargetMode="External" Id="R84f1d46df4c04f23" /><Relationship Type="http://schemas.openxmlformats.org/officeDocument/2006/relationships/hyperlink" Target="https://doi.org/10.1108/IJM-04-2018-0127" TargetMode="External" Id="R1ec5e9cbf9054b67" /><Relationship Type="http://schemas.openxmlformats.org/officeDocument/2006/relationships/hyperlink" Target="https://doi.org/10.1111/1748-8583.12472" TargetMode="External" Id="Rbaa4cc651e6d4ac8" /><Relationship Type="http://schemas.openxmlformats.org/officeDocument/2006/relationships/hyperlink" Target="https://doi.org/10.1080/00208825.2025.2554006" TargetMode="External" Id="R9a87a74336ab42af" /><Relationship Type="http://schemas.openxmlformats.org/officeDocument/2006/relationships/hyperlink" Target="https://internationalbusinessconference.com/wp-content/uploads/2024/10/CP149-Muofhe-Relationship-between-job-satisfaction-final-corrected.pdf" TargetMode="External" Id="R68b9599e692945b1" /><Relationship Type="http://schemas.openxmlformats.org/officeDocument/2006/relationships/hyperlink" Target="https://doi.org/10.24857/rgsa.v17n4-002" TargetMode="External" Id="R986ff1bc55f94e44" /><Relationship Type="http://schemas.openxmlformats.org/officeDocument/2006/relationships/hyperlink" Target="https://doi.org/10.3389/fpsyg.2022.825397" TargetMode="External" Id="R3fe5c43e94914538" /><Relationship Type="http://schemas.openxmlformats.org/officeDocument/2006/relationships/hyperlink" Target="https://doi.org/10.1108/JOEPP-07-2023-0288" TargetMode="External" Id="Raab86b0ec4144ecb" /><Relationship Type="http://schemas.openxmlformats.org/officeDocument/2006/relationships/hyperlink" Target="https://doi.org/10.1108/IJCHM-02-2022-0211" TargetMode="External" Id="R9ddd5a6b364541cb" /><Relationship Type="http://schemas.openxmlformats.org/officeDocument/2006/relationships/hyperlink" Target="https://doi.org/10.3390/admsci13060137" TargetMode="External" Id="R357613b3d5fc497f" /><Relationship Type="http://schemas.openxmlformats.org/officeDocument/2006/relationships/hyperlink" Target="https://doi.org/10.1108/IJM-03-2014-0078" TargetMode="External" Id="R0e92eed85b72465a" /><Relationship Type="http://schemas.openxmlformats.org/officeDocument/2006/relationships/hyperlink" Target="https://doi.org/10.1177/1356389008097871" TargetMode="External" Id="Redb183fd87a0499e" /><Relationship Type="http://schemas.openxmlformats.org/officeDocument/2006/relationships/hyperlink" Target="https://doi.org/10.1177/13591053251410633" TargetMode="External" Id="R1821703e783c4140" /><Relationship Type="http://schemas.openxmlformats.org/officeDocument/2006/relationships/hyperlink" Target="https://doi.org/10.4102/jtscm.v14i0.511" TargetMode="External" Id="R436e5939a4e94ec5" /><Relationship Type="http://schemas.openxmlformats.org/officeDocument/2006/relationships/hyperlink" Target="https://doi.org/10.1016/j.jvb.2008.09.001" TargetMode="External" Id="R0c8245c78e054a2b" /><Relationship Type="http://schemas.openxmlformats.org/officeDocument/2006/relationships/hyperlink" Target="https://doi.org/10.1016/j.jbusres.2019.07.039" TargetMode="External" Id="R116c48a959be4c09" /><Relationship Type="http://schemas.openxmlformats.org/officeDocument/2006/relationships/hyperlink" Target="https://doi.org/10.1016/j.ssci.2024.106498" TargetMode="External" Id="R4a07f9660663415b" /><Relationship Type="http://schemas.openxmlformats.org/officeDocument/2006/relationships/hyperlink" Target="https://doi.org/10.1108/IJM-11-2021-0631" TargetMode="External" Id="Ra5eb5266409d47e2" /><Relationship Type="http://schemas.openxmlformats.org/officeDocument/2006/relationships/hyperlink" Target="https://doi.org/10.3390/su132413923" TargetMode="External" Id="Rdd1a6ecdc8db4e83" /><Relationship Type="http://schemas.openxmlformats.org/officeDocument/2006/relationships/hyperlink" Target="https://doi.org/10.1111/j.1748-8583.2011.00180.x" TargetMode="External" Id="R8d963ab96b9a4780" /><Relationship Type="http://schemas.openxmlformats.org/officeDocument/2006/relationships/hyperlink" Target="https://doi.org/10.1016/j.procs.2015.08.537" TargetMode="External" Id="Rfdc100cb1cd74e42" /><Relationship Type="http://schemas.openxmlformats.org/officeDocument/2006/relationships/hyperlink" Target="https://doi.org/10.3390/su131910666" TargetMode="External" Id="Rcf0267250a884e0e" /><Relationship Type="http://schemas.openxmlformats.org/officeDocument/2006/relationships/hyperlink" Target="https://doi.org/10.1016/j.heliyon.2022.e11563" TargetMode="External" Id="R7200c127b9cf4587" /><Relationship Type="http://schemas.openxmlformats.org/officeDocument/2006/relationships/hyperlink" Target="https://doi.org/10.1111/jan.15230" TargetMode="External" Id="Rc9eb65ecb08a4f17" /><Relationship Type="http://schemas.openxmlformats.org/officeDocument/2006/relationships/hyperlink" Target="https://doi.org/10.1108/JWL-01-2023-0003" TargetMode="External" Id="R9557f3d64f8d42b8" /><Relationship Type="http://schemas.openxmlformats.org/officeDocument/2006/relationships/hyperlink" Target="https://doi.org/10.1016/j.jairtraman.2024.102538" TargetMode="External" Id="Ra96c1186a09a4e35" /><Relationship Type="http://schemas.openxmlformats.org/officeDocument/2006/relationships/hyperlink" Target="https://doi.org/10.1002/hrm.20378" TargetMode="External" Id="Ra6b206ea6fa74954" /><Relationship Type="http://schemas.openxmlformats.org/officeDocument/2006/relationships/image" Target="/media/image3.png" Id="rId149699094" /><Relationship Type="http://schemas.openxmlformats.org/officeDocument/2006/relationships/image" Target="/media/image4.png" Id="rId699708266" /><Relationship Type="http://schemas.openxmlformats.org/officeDocument/2006/relationships/image" Target="/media/image5.png" Id="rId750417736" /><Relationship Type="http://schemas.openxmlformats.org/officeDocument/2006/relationships/image" Target="/media/image6.png" Id="rId557648010" /><Relationship Type="http://schemas.openxmlformats.org/officeDocument/2006/relationships/image" Target="/media/image7.png" Id="rId294456832" /><Relationship Type="http://schemas.openxmlformats.org/officeDocument/2006/relationships/image" Target="/media/image8.png" Id="rId968008913" /><Relationship Type="http://schemas.openxmlformats.org/officeDocument/2006/relationships/image" Target="/media/image9.png" Id="rId1548616112" /><Relationship Type="http://schemas.openxmlformats.org/officeDocument/2006/relationships/image" Target="/media/imagea.png" Id="rId1247114469" /><Relationship Type="http://schemas.openxmlformats.org/officeDocument/2006/relationships/image" Target="/media/imageb.png" Id="rId2133870354" /><Relationship Type="http://schemas.openxmlformats.org/officeDocument/2006/relationships/image" Target="/media/imagec.png" Id="rId654593352" /><Relationship Type="http://schemas.openxmlformats.org/officeDocument/2006/relationships/image" Target="/media/imaged.png" Id="rId1693650637" /><Relationship Type="http://schemas.openxmlformats.org/officeDocument/2006/relationships/image" Target="/media/imagee.png" Id="rId314134898" /><Relationship Type="http://schemas.openxmlformats.org/officeDocument/2006/relationships/image" Target="/media/imagef.png" Id="rId484852477" /><Relationship Type="http://schemas.openxmlformats.org/officeDocument/2006/relationships/image" Target="/media/image10.png" Id="rId1660336286" /><Relationship Type="http://schemas.openxmlformats.org/officeDocument/2006/relationships/image" Target="/media/image11.png" Id="rId1988280085" /><Relationship Type="http://schemas.openxmlformats.org/officeDocument/2006/relationships/image" Target="/media/image12.png" Id="rId596676118" /><Relationship Type="http://schemas.openxmlformats.org/officeDocument/2006/relationships/header" Target="/word/header.xml" Id="R02c64960685e4c36" /><Relationship Type="http://schemas.openxmlformats.org/officeDocument/2006/relationships/footer" Target="/word/footer.xml" Id="R8fa7146e59494ce1" /><Relationship Type="http://schemas.microsoft.com/office/2020/10/relationships/intelligence" Target="/word/intelligence2.xml" Id="Rda5aee7095df42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5</revision>
  <dcterms:created xsi:type="dcterms:W3CDTF">2026-04-02T08:22:14.9411890Z</dcterms:created>
  <dcterms:modified xsi:type="dcterms:W3CDTF">2026-05-06T12:33:04.9232788Z</dcterms:modified>
</coreProperties>
</file>