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CEECCA" w14:textId="77777777" w:rsidR="009B31D5" w:rsidRDefault="009B31D5" w:rsidP="009B31D5">
      <w:pPr>
        <w:jc w:val="center"/>
      </w:pPr>
    </w:p>
    <w:p w14:paraId="79588190" w14:textId="77777777" w:rsidR="009B31D5" w:rsidRDefault="009B31D5" w:rsidP="009B31D5">
      <w:pPr>
        <w:jc w:val="center"/>
      </w:pPr>
    </w:p>
    <w:p w14:paraId="755FC6E7" w14:textId="77777777" w:rsidR="009B31D5" w:rsidRDefault="009B31D5" w:rsidP="009B31D5">
      <w:pPr>
        <w:jc w:val="center"/>
      </w:pPr>
    </w:p>
    <w:p w14:paraId="211616E9" w14:textId="77777777" w:rsidR="009B31D5" w:rsidRDefault="009B31D5" w:rsidP="009B31D5">
      <w:pPr>
        <w:jc w:val="center"/>
      </w:pPr>
    </w:p>
    <w:p w14:paraId="40081BB1" w14:textId="77777777" w:rsidR="009B31D5" w:rsidRDefault="009B31D5" w:rsidP="009B31D5">
      <w:pPr>
        <w:jc w:val="center"/>
      </w:pPr>
    </w:p>
    <w:p w14:paraId="37C40B90" w14:textId="77777777" w:rsidR="009B31D5" w:rsidRDefault="009B31D5" w:rsidP="009B31D5">
      <w:pPr>
        <w:jc w:val="center"/>
      </w:pPr>
    </w:p>
    <w:p w14:paraId="4A08E477" w14:textId="77777777" w:rsidR="009B31D5" w:rsidRDefault="009B31D5" w:rsidP="009B31D5">
      <w:pPr>
        <w:jc w:val="center"/>
      </w:pPr>
    </w:p>
    <w:p w14:paraId="500B2062" w14:textId="77777777" w:rsidR="009B31D5" w:rsidRDefault="009B31D5" w:rsidP="009B31D5">
      <w:pPr>
        <w:jc w:val="center"/>
      </w:pPr>
    </w:p>
    <w:p w14:paraId="29B5107D" w14:textId="77777777" w:rsidR="009B31D5" w:rsidRDefault="009B31D5" w:rsidP="009B31D5">
      <w:pPr>
        <w:jc w:val="center"/>
      </w:pPr>
    </w:p>
    <w:p w14:paraId="7E45E0D8" w14:textId="77777777" w:rsidR="009B31D5" w:rsidRDefault="009B31D5" w:rsidP="009B31D5">
      <w:pPr>
        <w:jc w:val="center"/>
      </w:pPr>
    </w:p>
    <w:p w14:paraId="13ACE8D2" w14:textId="77777777" w:rsidR="009B31D5" w:rsidRDefault="009B31D5" w:rsidP="009B31D5">
      <w:pPr>
        <w:jc w:val="center"/>
      </w:pPr>
    </w:p>
    <w:p w14:paraId="3C26066B" w14:textId="77777777" w:rsidR="009B31D5" w:rsidRDefault="009B31D5" w:rsidP="009B31D5">
      <w:pPr>
        <w:jc w:val="center"/>
      </w:pPr>
    </w:p>
    <w:p w14:paraId="64EAB969" w14:textId="6B6C7DE1" w:rsidR="009B31D5" w:rsidRDefault="009B31D5" w:rsidP="009B31D5">
      <w:pPr>
        <w:jc w:val="center"/>
      </w:pPr>
      <w:r>
        <w:t>Rhys Marston – 2222449</w:t>
      </w:r>
    </w:p>
    <w:p w14:paraId="08C735AD" w14:textId="33DBFEC3" w:rsidR="009B31D5" w:rsidRDefault="009B31D5" w:rsidP="009B31D5">
      <w:pPr>
        <w:jc w:val="center"/>
      </w:pPr>
      <w:r w:rsidRPr="009B31D5">
        <w:t>PCDA Cohort 04.22 academic assignment 2</w:t>
      </w:r>
    </w:p>
    <w:p w14:paraId="4DEF5C71" w14:textId="77777777" w:rsidR="009B31D5" w:rsidRDefault="009B31D5"/>
    <w:p w14:paraId="6B9D4B3B" w14:textId="77777777" w:rsidR="009B31D5" w:rsidRDefault="009B31D5"/>
    <w:p w14:paraId="4353432B" w14:textId="77777777" w:rsidR="009B31D5" w:rsidRDefault="009B31D5"/>
    <w:p w14:paraId="21F964F2" w14:textId="77777777" w:rsidR="009B31D5" w:rsidRDefault="009B31D5"/>
    <w:p w14:paraId="287DC9A4" w14:textId="77777777" w:rsidR="009B31D5" w:rsidRDefault="009B31D5"/>
    <w:p w14:paraId="206AF9D4" w14:textId="77777777" w:rsidR="009B31D5" w:rsidRDefault="009B31D5"/>
    <w:p w14:paraId="4A59BBE4" w14:textId="77777777" w:rsidR="009B31D5" w:rsidRDefault="009B31D5"/>
    <w:p w14:paraId="1BB46905" w14:textId="77777777" w:rsidR="009B31D5" w:rsidRDefault="009B31D5"/>
    <w:p w14:paraId="368BCEAE" w14:textId="77777777" w:rsidR="009B31D5" w:rsidRDefault="009B31D5"/>
    <w:p w14:paraId="78FFC0A3" w14:textId="77777777" w:rsidR="009B31D5" w:rsidRDefault="009B31D5"/>
    <w:p w14:paraId="1703F889" w14:textId="77777777" w:rsidR="009B31D5" w:rsidRDefault="009B31D5"/>
    <w:p w14:paraId="6E9338DF" w14:textId="77777777" w:rsidR="009B31D5" w:rsidRDefault="009B31D5"/>
    <w:p w14:paraId="29837E24" w14:textId="77777777" w:rsidR="009B31D5" w:rsidRDefault="009B31D5"/>
    <w:p w14:paraId="0189C9AD" w14:textId="77777777" w:rsidR="009B31D5" w:rsidRDefault="009B31D5" w:rsidP="009B31D5">
      <w:pPr>
        <w:spacing w:line="480" w:lineRule="auto"/>
      </w:pPr>
    </w:p>
    <w:p w14:paraId="1D510FD2" w14:textId="19D0FD15" w:rsidR="009B31D5" w:rsidRPr="009B31D5" w:rsidRDefault="009B31D5" w:rsidP="009B31D5">
      <w:pPr>
        <w:spacing w:line="480" w:lineRule="auto"/>
        <w:rPr>
          <w:b/>
          <w:bCs/>
        </w:rPr>
      </w:pPr>
      <w:r w:rsidRPr="009B31D5">
        <w:rPr>
          <w:b/>
          <w:bCs/>
        </w:rPr>
        <w:lastRenderedPageBreak/>
        <w:t>Essay 1</w:t>
      </w:r>
    </w:p>
    <w:p w14:paraId="59EF0F2C" w14:textId="38E7039E" w:rsidR="009B31D5" w:rsidRDefault="009B31D5" w:rsidP="009B31D5">
      <w:pPr>
        <w:spacing w:line="480" w:lineRule="auto"/>
      </w:pPr>
      <w:r>
        <w:t xml:space="preserve">Police officers attend catastrophic incidents that they cannot handle by themselves. As such, police officers must work effectively as a team, working with </w:t>
      </w:r>
      <w:r w:rsidR="00757444">
        <w:t>various</w:t>
      </w:r>
      <w:r>
        <w:t xml:space="preserve"> emergency services such as ambulance and fire and rescue. As a result of dealing with these incidents, however, police officers can suffer from long-lasting mental health conditions, and the effects of such incidents can live on in an officer's mind. This essay will focus on the role of police when working within joint emergency services operations, how communication is an integral part of the police role within such incidents and how the police can sometimes get this wrong, the consequences of a lack of communication and what could be done to address this issue. Also discussed will be the effects of Post Traumatic Stress Disorder and how specialist systems are in place to combat this illness following an officer’s attendance at a distressing incident.</w:t>
      </w:r>
    </w:p>
    <w:p w14:paraId="4325E233" w14:textId="77777777" w:rsidR="009B31D5" w:rsidRDefault="009B31D5" w:rsidP="009B31D5">
      <w:pPr>
        <w:spacing w:line="480" w:lineRule="auto"/>
      </w:pPr>
    </w:p>
    <w:p w14:paraId="1F63A8DA" w14:textId="709AF109" w:rsidR="009B31D5" w:rsidRDefault="003C5465" w:rsidP="009B31D5">
      <w:pPr>
        <w:spacing w:line="480" w:lineRule="auto"/>
      </w:pPr>
      <w:r>
        <w:t xml:space="preserve">In the realm of policing and emergency response, police officers are confronted with a diverse array of incidents on a daily basis. However, some of these incidents are of a magnitude that necessitates the involvement of multiple emergency response agencies. JESIP (2022) defines such incidents as those with a range of serious consequences, requiring special arrangements to be implemented by one or more emergency responder agencies. A prime example of a major incident is a terrorist attack, such as the Manchester Arena Bombing of 2017. In such cases, incidents of a major scale demand specialized support from multiple emergency responders, including the police, ambulance, fire and rescue, and the military (Brown et al., 2021). </w:t>
      </w:r>
      <w:r>
        <w:lastRenderedPageBreak/>
        <w:t>These incidents are inherently complex, necessitating the collective effort of all emergency services</w:t>
      </w:r>
      <w:r w:rsidR="009B31D5">
        <w:t xml:space="preserve"> to achieve</w:t>
      </w:r>
      <w:r w:rsidR="009B31D5" w:rsidRPr="00710918">
        <w:t xml:space="preserve"> the desired outcome.</w:t>
      </w:r>
      <w:r w:rsidR="009B31D5">
        <w:t xml:space="preserve"> </w:t>
      </w:r>
    </w:p>
    <w:p w14:paraId="4D51835E" w14:textId="3D0F3D5A" w:rsidR="009B31D5" w:rsidRDefault="009B31D5" w:rsidP="009B31D5">
      <w:pPr>
        <w:spacing w:line="480" w:lineRule="auto"/>
      </w:pPr>
      <w:r w:rsidRPr="00710918">
        <w:t xml:space="preserve">When a response is required for major incidents, it is imperative that the approach is suitably coordinated and a clear command structure is in place. It is also </w:t>
      </w:r>
      <w:r>
        <w:t>essential</w:t>
      </w:r>
      <w:r w:rsidRPr="00710918">
        <w:t xml:space="preserve"> that the response to the incident has the appropriate emergency services available. To enable this, the Joint Emergency Services Interoperability Programme (JESIP)</w:t>
      </w:r>
      <w:r w:rsidR="00BA39D9">
        <w:t xml:space="preserve"> </w:t>
      </w:r>
      <w:r w:rsidR="00850485">
        <w:t>(JESIP, 2021)</w:t>
      </w:r>
      <w:r w:rsidRPr="00710918">
        <w:t xml:space="preserve"> was introduced in 2012</w:t>
      </w:r>
      <w:r>
        <w:t>, and its role is to ensure that emergency services' response to critical and major incidents is organised, structured,</w:t>
      </w:r>
      <w:r w:rsidRPr="00710918">
        <w:t xml:space="preserve"> and practised.</w:t>
      </w:r>
      <w:r>
        <w:t xml:space="preserve"> </w:t>
      </w:r>
      <w:r w:rsidRPr="00710918">
        <w:t xml:space="preserve">JESIP (2021) </w:t>
      </w:r>
      <w:r>
        <w:t xml:space="preserve">clearly </w:t>
      </w:r>
      <w:r w:rsidRPr="00710918">
        <w:t xml:space="preserve">outlines the roles and responsibilities within the </w:t>
      </w:r>
      <w:r>
        <w:t>joint response</w:t>
      </w:r>
      <w:r w:rsidRPr="00710918">
        <w:t xml:space="preserve"> framework</w:t>
      </w:r>
      <w:r>
        <w:t xml:space="preserve"> and</w:t>
      </w:r>
      <w:r w:rsidRPr="00710918">
        <w:t xml:space="preserve"> explains how the police </w:t>
      </w:r>
      <w:r>
        <w:t>normally chair the Strategic Co-ordinating group, which develops and reviews strategic aims, prioritises objectives and manages</w:t>
      </w:r>
      <w:r w:rsidRPr="00710918">
        <w:t xml:space="preserve"> public communications plans.</w:t>
      </w:r>
      <w:r>
        <w:t xml:space="preserve"> From analysing this publication, i</w:t>
      </w:r>
      <w:r w:rsidRPr="00710918">
        <w:t xml:space="preserve">t can be seen that in </w:t>
      </w:r>
      <w:r w:rsidR="00757444">
        <w:t>most</w:t>
      </w:r>
      <w:r w:rsidRPr="00710918">
        <w:t xml:space="preserve"> incidents</w:t>
      </w:r>
      <w:r>
        <w:t xml:space="preserve">, the police take command due to their extensive </w:t>
      </w:r>
      <w:r w:rsidR="00757444">
        <w:t>leadership training. Many</w:t>
      </w:r>
      <w:r>
        <w:t xml:space="preserve"> incidents of this type are the product of criminal activity or will involve a police investigation. </w:t>
      </w:r>
      <w:r w:rsidRPr="00D578E8">
        <w:t xml:space="preserve">JESIP (2021) also states that the police will not always be the agency chairing the Strategic Co-ordinating group. </w:t>
      </w:r>
      <w:r>
        <w:t>Due to their role-specific training, other agencies will lead in specific emergencies, such as maritime emergencies</w:t>
      </w:r>
      <w:r w:rsidRPr="00D578E8">
        <w:t>.</w:t>
      </w:r>
      <w:r>
        <w:t xml:space="preserve"> </w:t>
      </w:r>
      <w:r w:rsidRPr="00D578E8">
        <w:t xml:space="preserve">By understanding this, the lead agency can vary depending on the </w:t>
      </w:r>
      <w:r>
        <w:t>particular</w:t>
      </w:r>
      <w:r w:rsidRPr="00D578E8">
        <w:t xml:space="preserve"> circumstances present within the incident</w:t>
      </w:r>
      <w:r>
        <w:t>,</w:t>
      </w:r>
      <w:r w:rsidRPr="00D578E8">
        <w:t xml:space="preserve"> and the most appropriate agency may not always be the police.</w:t>
      </w:r>
      <w:r>
        <w:t xml:space="preserve"> </w:t>
      </w:r>
      <w:r w:rsidRPr="00D578E8">
        <w:t>Therefore, it can be seen that the police will generally take a command role within the</w:t>
      </w:r>
      <w:r>
        <w:t xml:space="preserve"> joint</w:t>
      </w:r>
      <w:r w:rsidRPr="00D578E8">
        <w:t xml:space="preserve"> approach to a major incident</w:t>
      </w:r>
      <w:r>
        <w:t>. However</w:t>
      </w:r>
      <w:r w:rsidRPr="00D578E8">
        <w:t>, incident-specific circumstances may mean that more appropriate agencies will take the lead over the police</w:t>
      </w:r>
      <w:r>
        <w:t xml:space="preserve"> to ensure the most effective response from emergency services.</w:t>
      </w:r>
    </w:p>
    <w:p w14:paraId="4B2994A0" w14:textId="77777777" w:rsidR="009B31D5" w:rsidRDefault="009B31D5" w:rsidP="009B31D5">
      <w:pPr>
        <w:spacing w:line="480" w:lineRule="auto"/>
      </w:pPr>
    </w:p>
    <w:p w14:paraId="1537920C" w14:textId="3CBFEC31" w:rsidR="009B31D5" w:rsidRDefault="009B31D5" w:rsidP="009B31D5">
      <w:pPr>
        <w:spacing w:line="480" w:lineRule="auto"/>
      </w:pPr>
      <w:r>
        <w:t>A recent example of a major incident where the police took command was the Manchester Arena Bombing of 2017. After reading the Kerslake Report (2018), a suicide bomber detonated an improvised explosive device just after 22:30 hrs on Monday, 22</w:t>
      </w:r>
      <w:r w:rsidRPr="009349F7">
        <w:rPr>
          <w:vertAlign w:val="superscript"/>
        </w:rPr>
        <w:t>nd</w:t>
      </w:r>
      <w:r>
        <w:t xml:space="preserve"> May 2017. The bomb killed twenty-two people, including children, and over one hundred people were physically injured. Many more have gone on to suffer catastrophic psychological and emotional trauma </w:t>
      </w:r>
      <w:r w:rsidRPr="00324263">
        <w:t>(Kerslake, 2018)</w:t>
      </w:r>
      <w:r>
        <w:t xml:space="preserve">. During this incident, the police led the emergency response. However, fire and rescue services experienced a two-hour delay in arriving at the scene, and Brown et al. (2021) explored this. From reading the Kerslake Report (2018), it is clear that the police commander at the time had a high number of critical tasks contributing to their workload, which meant a severe lack of communication between agencies. </w:t>
      </w:r>
      <w:r w:rsidRPr="00324263">
        <w:t xml:space="preserve">This lack of communication meant a </w:t>
      </w:r>
      <w:r>
        <w:t>two-hour</w:t>
      </w:r>
      <w:r w:rsidRPr="00324263">
        <w:t xml:space="preserve"> delay in </w:t>
      </w:r>
      <w:r>
        <w:t>deploying</w:t>
      </w:r>
      <w:r w:rsidRPr="00324263">
        <w:t xml:space="preserve"> fire services to the incident as they were waiting for further instruction from the police commander.</w:t>
      </w:r>
      <w:r>
        <w:t xml:space="preserve"> The Cabinet Office (2012) also states that in incidents where a terror attack is suspected</w:t>
      </w:r>
      <w:r w:rsidR="00757444">
        <w:t>,</w:t>
      </w:r>
      <w:r>
        <w:t xml:space="preserve"> or a firearm is involved, the police will take the lead. Therefore, the command structure in place at the time was what would have been expected. </w:t>
      </w:r>
      <w:r w:rsidRPr="008B04C7">
        <w:t>This</w:t>
      </w:r>
      <w:r>
        <w:t xml:space="preserve"> incident clearly showed, however, that although a command structure within major incident attendance is critical, the act of this being put onto one agency, for example, the police, is a failure</w:t>
      </w:r>
      <w:r w:rsidRPr="008B04C7">
        <w:t xml:space="preserve"> in interoperability. It suggests that even though the police are usually best equipped to take on the lead in major incidents such as terrorist attacks, the joint approach should be present throughout the </w:t>
      </w:r>
      <w:r>
        <w:t>decision-making</w:t>
      </w:r>
      <w:r w:rsidRPr="008B04C7">
        <w:t xml:space="preserve"> process. Therefore, these incidents should not be managed by a single agency</w:t>
      </w:r>
      <w:r>
        <w:t>,</w:t>
      </w:r>
      <w:r w:rsidRPr="008B04C7">
        <w:t xml:space="preserve"> and senior members of each agency should be jointly coordinating their actions to make the best impact</w:t>
      </w:r>
      <w:r>
        <w:t>.</w:t>
      </w:r>
    </w:p>
    <w:p w14:paraId="0FEA9A9F" w14:textId="77777777" w:rsidR="009B31D5" w:rsidRDefault="009B31D5" w:rsidP="009B31D5">
      <w:pPr>
        <w:spacing w:line="480" w:lineRule="auto"/>
      </w:pPr>
    </w:p>
    <w:p w14:paraId="363A8B72" w14:textId="77777777" w:rsidR="009B31D5" w:rsidRDefault="009B31D5" w:rsidP="009B31D5">
      <w:pPr>
        <w:spacing w:line="480" w:lineRule="auto"/>
      </w:pPr>
      <w:r>
        <w:t xml:space="preserve">It is also the role of the police in incidents where a joint agency response is required to provide effective communication to the public and other emergency services regarding the incident. As previously discussed, </w:t>
      </w:r>
      <w:r w:rsidRPr="003F424C">
        <w:t xml:space="preserve">JESIP (2021) states that </w:t>
      </w:r>
      <w:r>
        <w:t>police usually chair the role of the Strategic Co-ordinating Group. One of the roles taken by the Strategic Co-ordinating group</w:t>
      </w:r>
      <w:r w:rsidRPr="003F424C">
        <w:t xml:space="preserve"> is to generate public communications plans and manage media enquiries. </w:t>
      </w:r>
      <w:r>
        <w:t>It is a</w:t>
      </w:r>
      <w:r w:rsidRPr="003F424C">
        <w:t xml:space="preserve">lso the role of </w:t>
      </w:r>
      <w:r>
        <w:t>the Strategic Co-ordinating group</w:t>
      </w:r>
      <w:r w:rsidRPr="003F424C">
        <w:t xml:space="preserve"> to communicate matters with other agencies</w:t>
      </w:r>
      <w:r>
        <w:t>,</w:t>
      </w:r>
      <w:r w:rsidRPr="003F424C">
        <w:t xml:space="preserve"> and </w:t>
      </w:r>
      <w:r>
        <w:t>a single agency for effectiveness manages this</w:t>
      </w:r>
      <w:r w:rsidRPr="003F424C">
        <w:t>.</w:t>
      </w:r>
      <w:r>
        <w:t xml:space="preserve"> </w:t>
      </w:r>
      <w:r w:rsidRPr="003F424C">
        <w:t>Police</w:t>
      </w:r>
      <w:r>
        <w:t>, therefore,</w:t>
      </w:r>
      <w:r w:rsidRPr="003F424C">
        <w:t xml:space="preserve"> act as the </w:t>
      </w:r>
      <w:r>
        <w:t>gateway for communication, disseminating</w:t>
      </w:r>
      <w:r w:rsidRPr="003F424C">
        <w:t xml:space="preserve"> the nature of incidents and actions </w:t>
      </w:r>
      <w:r>
        <w:t>being done by emergency services to the</w:t>
      </w:r>
      <w:r w:rsidRPr="003F424C">
        <w:t xml:space="preserve"> public in the event of major incidents</w:t>
      </w:r>
      <w:r>
        <w:t xml:space="preserve"> requiring a joint response</w:t>
      </w:r>
      <w:r w:rsidRPr="003F424C">
        <w:t xml:space="preserve">. They also </w:t>
      </w:r>
      <w:r>
        <w:t xml:space="preserve">generally </w:t>
      </w:r>
      <w:r w:rsidRPr="003F424C">
        <w:t xml:space="preserve">act as the command for </w:t>
      </w:r>
      <w:r>
        <w:t>joint response</w:t>
      </w:r>
      <w:r w:rsidRPr="003F424C">
        <w:t xml:space="preserve"> incidents</w:t>
      </w:r>
      <w:r>
        <w:t>, informing other emergency services of the ongoing situation and when other services are safe to perform their roles</w:t>
      </w:r>
      <w:r w:rsidRPr="003F424C">
        <w:t>.</w:t>
      </w:r>
      <w:r>
        <w:t xml:space="preserve"> </w:t>
      </w:r>
    </w:p>
    <w:p w14:paraId="7F046B67" w14:textId="701B6E7C" w:rsidR="009B31D5" w:rsidRDefault="009B31D5" w:rsidP="009B31D5">
      <w:pPr>
        <w:spacing w:line="480" w:lineRule="auto"/>
      </w:pPr>
      <w:r>
        <w:t xml:space="preserve">However, upon reflecting on the Kerslake Report (2018) and Brown et al. (2021), police were overworked with high-priority tasks, resulting in ineffective communication between other emergency services, specifically the fire and rescue service. This, therefore, means that even though a significant role of the police in joint response incidents is the effective communication of matters, the police do not always get this right, and a single agency being responsible for this is not the most effective means. There are limitations to this, however, as Hickley </w:t>
      </w:r>
      <w:r w:rsidR="00757444">
        <w:t>et al. (2021) explains how there is insufficient academic research into the effectiveness of police communication during</w:t>
      </w:r>
      <w:r>
        <w:t xml:space="preserve"> major incidents. Therefore, further research must be conducted to effectively review the relationship between the police, the community, and other emergency services in a </w:t>
      </w:r>
      <w:r>
        <w:lastRenderedPageBreak/>
        <w:t xml:space="preserve">joint response to an incident. As a result of further research, it could be expected to see how the police can improve and be more effective in their role within a joint emergency services operation. </w:t>
      </w:r>
    </w:p>
    <w:p w14:paraId="67994A33" w14:textId="77777777" w:rsidR="009B31D5" w:rsidRDefault="009B31D5" w:rsidP="009B31D5">
      <w:pPr>
        <w:spacing w:line="480" w:lineRule="auto"/>
      </w:pPr>
    </w:p>
    <w:p w14:paraId="7EC0630F" w14:textId="77777777" w:rsidR="009B31D5" w:rsidRDefault="009B31D5" w:rsidP="009B31D5">
      <w:pPr>
        <w:spacing w:line="480" w:lineRule="auto"/>
      </w:pPr>
      <w:r w:rsidRPr="001421BD">
        <w:t>Police officers will face situations that are physically and mentally draining, including incidents that involve severe violence against people, incidents of accidents involving severe and catastrophic injury</w:t>
      </w:r>
      <w:r>
        <w:t>,</w:t>
      </w:r>
      <w:r w:rsidRPr="001421BD">
        <w:t xml:space="preserve"> as well as those involving the death of another person or people. A condition that can arise from these incidents is called Post Traumatic Stress Disorder (PTSD).</w:t>
      </w:r>
      <w:r>
        <w:t xml:space="preserve"> </w:t>
      </w:r>
      <w:r w:rsidRPr="001421BD">
        <w:t xml:space="preserve"> PTSD has been researched by Iribarren </w:t>
      </w:r>
      <w:r>
        <w:t>et al.</w:t>
      </w:r>
      <w:r w:rsidRPr="001421BD">
        <w:t xml:space="preserve"> (2005), who define it as the psychiatric disorder that can result from the experience or witnessing of traumatic or life-threatening events such as terrorist </w:t>
      </w:r>
      <w:r>
        <w:t>attacks</w:t>
      </w:r>
      <w:r w:rsidRPr="001421BD">
        <w:t>, violent crime and abuse, military combat, natural disasters, serious accidents or violent personal assaults.</w:t>
      </w:r>
      <w:r>
        <w:t xml:space="preserve"> PTSD also requires extensive psychiatric treatment. PTSD can, therefore, be summarised as the body’s reaction to witnessing the most extreme of incidents and the long-term mental and physical health effects that come with them. PTSD is also proof that the impact of a major or critical incident sometimes does not disappear when the scene is closed. </w:t>
      </w:r>
      <w:r w:rsidRPr="001421BD">
        <w:t xml:space="preserve">Taking the role of a police officer, there is the potential for officers to witness incidents consistent with those that cause PTSD </w:t>
      </w:r>
      <w:r>
        <w:t>daily</w:t>
      </w:r>
      <w:r w:rsidRPr="001421BD">
        <w:t xml:space="preserve">. The attendance of critical and major incidents, however, </w:t>
      </w:r>
      <w:r>
        <w:t>has</w:t>
      </w:r>
      <w:r w:rsidRPr="001421BD">
        <w:t xml:space="preserve"> an increased risk of causing PTSD due to their graphic nature.</w:t>
      </w:r>
      <w:r>
        <w:t xml:space="preserve"> </w:t>
      </w:r>
    </w:p>
    <w:p w14:paraId="35A5432A" w14:textId="77777777" w:rsidR="009B31D5" w:rsidRDefault="009B31D5" w:rsidP="009B31D5">
      <w:pPr>
        <w:spacing w:line="480" w:lineRule="auto"/>
      </w:pPr>
    </w:p>
    <w:p w14:paraId="200E80E5" w14:textId="77777777" w:rsidR="009B31D5" w:rsidRDefault="009B31D5" w:rsidP="009B31D5">
      <w:pPr>
        <w:spacing w:line="480" w:lineRule="auto"/>
      </w:pPr>
      <w:r w:rsidRPr="001421BD">
        <w:t xml:space="preserve">Research conducted by Sørensen </w:t>
      </w:r>
      <w:r>
        <w:t>et al. (2022) has shown, however, that the risk of developing PTSD following traumatic events in police officers is lower than that of the general public, even though police officers are exposed</w:t>
      </w:r>
      <w:r w:rsidRPr="001421BD">
        <w:t xml:space="preserve"> to graphic and macabre </w:t>
      </w:r>
      <w:r w:rsidRPr="001421BD">
        <w:lastRenderedPageBreak/>
        <w:t>incidents more regularly.</w:t>
      </w:r>
      <w:r>
        <w:t xml:space="preserve"> </w:t>
      </w:r>
      <w:r w:rsidRPr="001421BD">
        <w:t>A possible explanation for this could be that police officers are subject to extensive training around major and critical incidents</w:t>
      </w:r>
      <w:r>
        <w:t>,</w:t>
      </w:r>
      <w:r w:rsidRPr="001421BD">
        <w:t xml:space="preserve"> entry tests and support services such as TRiM. However, Sørensen et al</w:t>
      </w:r>
      <w:r>
        <w:t>.</w:t>
      </w:r>
      <w:r w:rsidRPr="001421BD">
        <w:t xml:space="preserve"> (2022) points out that there is limited research on this topic and further research needs to be conducted. Regardless of the lower probability of PTSD </w:t>
      </w:r>
      <w:r>
        <w:t>among</w:t>
      </w:r>
      <w:r w:rsidRPr="001421BD">
        <w:t xml:space="preserve"> police officers, the increased frequency of exposure to major incidents may have a significant impact on the likelihood of police officers developing PTSD</w:t>
      </w:r>
      <w:r>
        <w:t xml:space="preserve">. </w:t>
      </w:r>
      <w:r w:rsidRPr="001421BD">
        <w:t>It can</w:t>
      </w:r>
      <w:r>
        <w:t>, therefore,</w:t>
      </w:r>
      <w:r w:rsidRPr="001421BD">
        <w:t xml:space="preserve"> be seen that police officers who attend major and critical incidents are at an increased risk of developing PTSD, and this is a </w:t>
      </w:r>
      <w:r>
        <w:t>severe</w:t>
      </w:r>
      <w:r w:rsidRPr="001421BD">
        <w:t xml:space="preserve"> condition that often requires extensive psychiatric treatment.</w:t>
      </w:r>
    </w:p>
    <w:p w14:paraId="6773947A" w14:textId="77777777" w:rsidR="009B31D5" w:rsidRDefault="009B31D5" w:rsidP="009B31D5">
      <w:pPr>
        <w:spacing w:line="480" w:lineRule="auto"/>
      </w:pPr>
    </w:p>
    <w:p w14:paraId="5813EA81" w14:textId="77777777" w:rsidR="009B31D5" w:rsidRDefault="009B31D5" w:rsidP="009B31D5">
      <w:pPr>
        <w:spacing w:line="480" w:lineRule="auto"/>
      </w:pPr>
      <w:r w:rsidRPr="005048AE">
        <w:t>There are various effective ways police officers manage their stress on the job, and there are specialist tools that officers can utilise to help them manage their mental health.</w:t>
      </w:r>
      <w:r>
        <w:t xml:space="preserve"> Trauma Risk Management (TRiM) is an excellent tool that assists police officers who have attended distressing incidents. </w:t>
      </w:r>
      <w:r w:rsidRPr="005048AE">
        <w:t>TRiM has been researched by Whybrow et al (2015) and is a peer support process initially developed within the British Armed Forces. The aim of TRiM is for a person to talk with their peers</w:t>
      </w:r>
      <w:r>
        <w:t xml:space="preserve"> rather than professionals</w:t>
      </w:r>
      <w:r w:rsidRPr="005048AE">
        <w:t xml:space="preserve"> and for them to understand that an adverse reaction </w:t>
      </w:r>
      <w:r>
        <w:t xml:space="preserve">to a distressing event is normal </w:t>
      </w:r>
      <w:r w:rsidRPr="005048AE">
        <w:t xml:space="preserve">(Whybrow et al., 2015). As a result of this process, individuals who are showing signs of illnesses such as PTSD can be referred to appropriate support agencies if needed. Watson &amp; Andrews (2018) </w:t>
      </w:r>
      <w:r>
        <w:t>have also researched the effect of TRiM on police officers</w:t>
      </w:r>
      <w:r w:rsidRPr="005048AE">
        <w:t xml:space="preserve"> and compared its effectiveness by collecting data from forces that utilise it and forces that do not utilise the system. The forces that utilised TRiM reported lower levels of PTSD symptoms, showed fewer stigmatised views on getting help and had </w:t>
      </w:r>
      <w:r>
        <w:t>fewer</w:t>
      </w:r>
      <w:r w:rsidRPr="005048AE">
        <w:t xml:space="preserve"> negative </w:t>
      </w:r>
      <w:r w:rsidRPr="005048AE">
        <w:lastRenderedPageBreak/>
        <w:t>thoughts regarding mental health difficulties.</w:t>
      </w:r>
      <w:r>
        <w:t xml:space="preserve"> </w:t>
      </w:r>
      <w:r w:rsidRPr="005048AE">
        <w:t>TRiM</w:t>
      </w:r>
      <w:r>
        <w:t>, therefore, appears to be a system which encourages individuals to talk to their peers following a traumatic incident, and from collecting research, it clearly shows that the TRiM system is, therefore,</w:t>
      </w:r>
      <w:r w:rsidRPr="005048AE">
        <w:t xml:space="preserve"> highly beneficial to police officers who attend major and critical incidents.</w:t>
      </w:r>
      <w:r>
        <w:t xml:space="preserve"> Research has demonstrated that TRiM is a valuable tool in the process of managing the mental health of officers within the police, as well as the ongoing work to banish the negative stigma surrounding mental health concerns. </w:t>
      </w:r>
    </w:p>
    <w:p w14:paraId="0F183D12" w14:textId="77777777" w:rsidR="009B31D5" w:rsidRDefault="009B31D5" w:rsidP="009B31D5">
      <w:pPr>
        <w:spacing w:line="480" w:lineRule="auto"/>
      </w:pPr>
    </w:p>
    <w:p w14:paraId="78913FD6" w14:textId="4B4D5CBC" w:rsidR="009B31D5" w:rsidRDefault="009B31D5" w:rsidP="009B31D5">
      <w:pPr>
        <w:spacing w:line="480" w:lineRule="auto"/>
        <w:rPr>
          <w:b/>
          <w:bCs/>
        </w:rPr>
      </w:pPr>
      <w:r>
        <w:t>In conclusion, police play a major role in the attendance of major incidents, and they need to work effectively with partner agencies to ensure the situation is managed effectively. For this to happen, JESIP was introduced in 2012, which outlines the roles and responsibilities of agencies that attend major incidents. Communication when dealing with major incidents is paramount, and the police play an essential role in this. However, the police have not always done their best with this, as was witnessed in the Manchester Arena Bombing of 2017 and, subsequently, the Kerslake report (2018). In response to major incidents, police officers can suffer from mental health concerns after witnessing traumatic events. An example of an illness is Post Traumatic Stress Disorder (PTSD) (</w:t>
      </w:r>
      <w:r w:rsidRPr="001421BD">
        <w:t>Iribarren et al</w:t>
      </w:r>
      <w:r>
        <w:t>.,</w:t>
      </w:r>
      <w:r w:rsidRPr="001421BD">
        <w:t xml:space="preserve"> 2005</w:t>
      </w:r>
      <w:r>
        <w:t>). Specialist processes are in place to deal with this, and such a process is called TRiM (Trauma Risk Management) (</w:t>
      </w:r>
      <w:r w:rsidRPr="005048AE">
        <w:t>Whybrow et al</w:t>
      </w:r>
      <w:r>
        <w:t xml:space="preserve">., </w:t>
      </w:r>
      <w:r w:rsidRPr="005048AE">
        <w:t>2015)</w:t>
      </w:r>
      <w:r>
        <w:t xml:space="preserve">. TRiM aims to have officers speak with peers early on to identify those who may be suffering from illnesses such as PTSD and direct them to appropriate support from professionals if needed. TRiM has proved itself to be effective in identifying and </w:t>
      </w:r>
      <w:r>
        <w:lastRenderedPageBreak/>
        <w:t>resolving PTSD in addition to removing the barriers and negative stigma surrounding mental health within the police.</w:t>
      </w:r>
      <w:r>
        <w:t xml:space="preserve"> </w:t>
      </w:r>
      <w:r w:rsidRPr="003C5465">
        <w:rPr>
          <w:b/>
          <w:bCs/>
          <w:u w:val="single"/>
        </w:rPr>
        <w:t xml:space="preserve">Word count: </w:t>
      </w:r>
      <w:r w:rsidR="003C5465" w:rsidRPr="003C5465">
        <w:rPr>
          <w:b/>
          <w:bCs/>
          <w:u w:val="single"/>
        </w:rPr>
        <w:t>1989</w:t>
      </w:r>
    </w:p>
    <w:p w14:paraId="62650ACD" w14:textId="77777777" w:rsidR="009B31D5" w:rsidRDefault="009B31D5" w:rsidP="009B31D5">
      <w:pPr>
        <w:spacing w:line="480" w:lineRule="auto"/>
        <w:rPr>
          <w:b/>
          <w:bCs/>
          <w:u w:val="single"/>
        </w:rPr>
      </w:pPr>
    </w:p>
    <w:p w14:paraId="41107594" w14:textId="77777777" w:rsidR="009B31D5" w:rsidRDefault="009B31D5" w:rsidP="009B31D5">
      <w:pPr>
        <w:spacing w:line="480" w:lineRule="auto"/>
        <w:rPr>
          <w:b/>
          <w:bCs/>
          <w:u w:val="single"/>
        </w:rPr>
      </w:pPr>
    </w:p>
    <w:p w14:paraId="3339DCB4" w14:textId="77777777" w:rsidR="009B31D5" w:rsidRDefault="009B31D5" w:rsidP="009B31D5">
      <w:pPr>
        <w:spacing w:line="480" w:lineRule="auto"/>
        <w:rPr>
          <w:b/>
          <w:bCs/>
          <w:u w:val="single"/>
        </w:rPr>
      </w:pPr>
    </w:p>
    <w:p w14:paraId="73B9631F" w14:textId="77777777" w:rsidR="009B31D5" w:rsidRDefault="009B31D5" w:rsidP="009B31D5">
      <w:pPr>
        <w:spacing w:line="480" w:lineRule="auto"/>
        <w:rPr>
          <w:b/>
          <w:bCs/>
          <w:u w:val="single"/>
        </w:rPr>
      </w:pPr>
    </w:p>
    <w:p w14:paraId="274C4BBD" w14:textId="77777777" w:rsidR="009B31D5" w:rsidRDefault="009B31D5" w:rsidP="009B31D5">
      <w:pPr>
        <w:spacing w:line="480" w:lineRule="auto"/>
        <w:rPr>
          <w:b/>
          <w:bCs/>
          <w:u w:val="single"/>
        </w:rPr>
      </w:pPr>
    </w:p>
    <w:p w14:paraId="3406372C" w14:textId="77777777" w:rsidR="009B31D5" w:rsidRDefault="009B31D5" w:rsidP="009B31D5">
      <w:pPr>
        <w:spacing w:line="480" w:lineRule="auto"/>
        <w:rPr>
          <w:b/>
          <w:bCs/>
          <w:u w:val="single"/>
        </w:rPr>
      </w:pPr>
    </w:p>
    <w:p w14:paraId="49A1AD4D" w14:textId="77777777" w:rsidR="009B31D5" w:rsidRDefault="009B31D5" w:rsidP="009B31D5">
      <w:pPr>
        <w:spacing w:line="480" w:lineRule="auto"/>
        <w:rPr>
          <w:b/>
          <w:bCs/>
          <w:u w:val="single"/>
        </w:rPr>
      </w:pPr>
    </w:p>
    <w:p w14:paraId="53972FE3" w14:textId="77777777" w:rsidR="009B31D5" w:rsidRDefault="009B31D5" w:rsidP="009B31D5">
      <w:pPr>
        <w:spacing w:line="480" w:lineRule="auto"/>
        <w:rPr>
          <w:b/>
          <w:bCs/>
          <w:u w:val="single"/>
        </w:rPr>
      </w:pPr>
    </w:p>
    <w:p w14:paraId="40185368" w14:textId="77777777" w:rsidR="009B31D5" w:rsidRDefault="009B31D5" w:rsidP="009B31D5">
      <w:pPr>
        <w:spacing w:line="480" w:lineRule="auto"/>
        <w:rPr>
          <w:b/>
          <w:bCs/>
          <w:u w:val="single"/>
        </w:rPr>
      </w:pPr>
    </w:p>
    <w:p w14:paraId="60423B3A" w14:textId="77777777" w:rsidR="009B31D5" w:rsidRDefault="009B31D5" w:rsidP="009B31D5">
      <w:pPr>
        <w:spacing w:line="480" w:lineRule="auto"/>
        <w:rPr>
          <w:b/>
          <w:bCs/>
          <w:u w:val="single"/>
        </w:rPr>
      </w:pPr>
    </w:p>
    <w:p w14:paraId="2763CDC9" w14:textId="77777777" w:rsidR="009B31D5" w:rsidRDefault="009B31D5" w:rsidP="009B31D5">
      <w:pPr>
        <w:spacing w:line="480" w:lineRule="auto"/>
        <w:rPr>
          <w:b/>
          <w:bCs/>
          <w:u w:val="single"/>
        </w:rPr>
      </w:pPr>
    </w:p>
    <w:p w14:paraId="65D97E6D" w14:textId="77777777" w:rsidR="009B31D5" w:rsidRDefault="009B31D5" w:rsidP="009B31D5">
      <w:pPr>
        <w:spacing w:line="480" w:lineRule="auto"/>
        <w:rPr>
          <w:b/>
          <w:bCs/>
          <w:u w:val="single"/>
        </w:rPr>
      </w:pPr>
    </w:p>
    <w:p w14:paraId="55E8D672" w14:textId="77777777" w:rsidR="009B31D5" w:rsidRDefault="009B31D5" w:rsidP="009B31D5">
      <w:pPr>
        <w:spacing w:line="480" w:lineRule="auto"/>
        <w:rPr>
          <w:b/>
          <w:bCs/>
          <w:u w:val="single"/>
        </w:rPr>
      </w:pPr>
    </w:p>
    <w:p w14:paraId="69B46E7E" w14:textId="77777777" w:rsidR="009B31D5" w:rsidRDefault="009B31D5" w:rsidP="009B31D5">
      <w:pPr>
        <w:spacing w:line="480" w:lineRule="auto"/>
        <w:rPr>
          <w:b/>
          <w:bCs/>
          <w:u w:val="single"/>
        </w:rPr>
      </w:pPr>
    </w:p>
    <w:p w14:paraId="72225C22" w14:textId="77777777" w:rsidR="009B31D5" w:rsidRDefault="009B31D5" w:rsidP="009B31D5">
      <w:pPr>
        <w:spacing w:line="480" w:lineRule="auto"/>
        <w:rPr>
          <w:b/>
          <w:bCs/>
          <w:u w:val="single"/>
        </w:rPr>
      </w:pPr>
    </w:p>
    <w:p w14:paraId="3F648ABF" w14:textId="77777777" w:rsidR="009B31D5" w:rsidRDefault="009B31D5" w:rsidP="009B31D5">
      <w:pPr>
        <w:spacing w:line="480" w:lineRule="auto"/>
        <w:rPr>
          <w:b/>
          <w:bCs/>
          <w:u w:val="single"/>
        </w:rPr>
      </w:pPr>
    </w:p>
    <w:p w14:paraId="170E7053" w14:textId="77777777" w:rsidR="009B31D5" w:rsidRDefault="009B31D5" w:rsidP="009B31D5">
      <w:pPr>
        <w:spacing w:line="480" w:lineRule="auto"/>
        <w:rPr>
          <w:b/>
          <w:bCs/>
          <w:u w:val="single"/>
        </w:rPr>
      </w:pPr>
    </w:p>
    <w:p w14:paraId="0D4C24B2" w14:textId="0F2B9C0E" w:rsidR="009B31D5" w:rsidRPr="009B31D5" w:rsidRDefault="009B31D5" w:rsidP="009B31D5">
      <w:pPr>
        <w:spacing w:line="480" w:lineRule="auto"/>
        <w:rPr>
          <w:b/>
          <w:bCs/>
          <w:u w:val="single"/>
        </w:rPr>
      </w:pPr>
      <w:r w:rsidRPr="009B31D5">
        <w:rPr>
          <w:b/>
          <w:bCs/>
          <w:u w:val="single"/>
        </w:rPr>
        <w:lastRenderedPageBreak/>
        <w:t>Essay 2</w:t>
      </w:r>
    </w:p>
    <w:p w14:paraId="0D94FE33" w14:textId="40CD8A8C" w:rsidR="009B31D5" w:rsidRDefault="009B31D5" w:rsidP="009B31D5">
      <w:pPr>
        <w:spacing w:line="480" w:lineRule="auto"/>
      </w:pPr>
      <w:r>
        <w:t xml:space="preserve">When police conduct investigations, the process of obtaining information in the form of an interview is an integral part of the process. This essay will explore the ways in which police interview suspects, victims and witnesses and how various methods of interviewing are used to obtain the best information. To do this, it will consider how </w:t>
      </w:r>
      <w:r w:rsidR="00757444">
        <w:t>a person's memory</w:t>
      </w:r>
      <w:r>
        <w:t xml:space="preserve"> can affect the quality of evidence produced and how the use of various interview techniques can assist in obtaining the best information</w:t>
      </w:r>
      <w:r>
        <w:t xml:space="preserve">. It will consider the effectiveness of a Structured Investigative Interview and how the PEACE model has informed </w:t>
      </w:r>
      <w:r w:rsidR="00757444">
        <w:t>how</w:t>
      </w:r>
      <w:r>
        <w:t xml:space="preserve"> police interview suspects, victims and witnesses. Also considered will be the effectiveness of Achieving Best Evidence (ABE) interviews when interviewing vulnerable suspects and victims, such as children. </w:t>
      </w:r>
    </w:p>
    <w:p w14:paraId="27E89B15" w14:textId="77777777" w:rsidR="009B31D5" w:rsidRDefault="009B31D5" w:rsidP="009B31D5">
      <w:pPr>
        <w:spacing w:line="480" w:lineRule="auto"/>
      </w:pPr>
    </w:p>
    <w:p w14:paraId="21924315" w14:textId="1A6980AD" w:rsidR="009B31D5" w:rsidRDefault="009B31D5" w:rsidP="009B31D5">
      <w:pPr>
        <w:spacing w:line="480" w:lineRule="auto"/>
      </w:pPr>
      <w:r>
        <w:t xml:space="preserve">Memory is the key to a witness interview. Police officers rely on a person's memory when conducting an interview, and multiple things can affect a person’s memory. Therefore, it is </w:t>
      </w:r>
      <w:r w:rsidR="00757444">
        <w:t>essential</w:t>
      </w:r>
      <w:r>
        <w:t xml:space="preserve"> to recognise factors that positively affect a person’s ability to recall information as well as factors that negatively affect a person’s ability to recall information.  Stress and anxiety can have an impact on memory. (Deffenbacher et al., 2004) conducted research into the effect that high-stress and low-stress environments had on a person’s ability to recall the identity of a perpetrator. The research was able to show that persons who were subject to a high-stress environment or who were experiencing increased stress had a significantly reduced ability to recall the identity of a perpetrator compared to those who were not stressed. We can</w:t>
      </w:r>
      <w:r w:rsidR="00757444">
        <w:t xml:space="preserve">, therefore, conclude from this that the presence of excess stress has a negative impact on a person's ability </w:t>
      </w:r>
      <w:r w:rsidR="00757444">
        <w:lastRenderedPageBreak/>
        <w:t>to recall information about an incident,</w:t>
      </w:r>
      <w:r>
        <w:t xml:space="preserve"> which has the potential to be catastrophic to the police investigation process.</w:t>
      </w:r>
    </w:p>
    <w:p w14:paraId="032436ED" w14:textId="750BFC17" w:rsidR="009B31D5" w:rsidRDefault="009B31D5" w:rsidP="009B31D5">
      <w:pPr>
        <w:spacing w:line="480" w:lineRule="auto"/>
      </w:pPr>
      <w:r>
        <w:t xml:space="preserve">Deffenbacher et al. (2004) </w:t>
      </w:r>
      <w:r w:rsidR="00757444">
        <w:t>contradict</w:t>
      </w:r>
      <w:r>
        <w:t xml:space="preserve"> this slightly, as they stated that persons who were experiencing acute stress had an increased ability to recall central aspects of an incident, </w:t>
      </w:r>
      <w:r w:rsidR="00757444">
        <w:t>mainly</w:t>
      </w:r>
      <w:r>
        <w:t xml:space="preserve"> when a structured and calculated approach to obtaining the information was utilised; however, this acute stress would also impair the peripheral details of the incident. This, therefore, shows that stress is not necessarily </w:t>
      </w:r>
      <w:r w:rsidR="00757444">
        <w:t>bad when it comes to recalling information about</w:t>
      </w:r>
      <w:r>
        <w:t xml:space="preserve"> a witness or victim. Acute </w:t>
      </w:r>
      <w:r w:rsidR="00757444">
        <w:t>stress levels can directly and sometimes positively impact</w:t>
      </w:r>
      <w:r>
        <w:t xml:space="preserve"> </w:t>
      </w:r>
      <w:r w:rsidR="00757444">
        <w:t>recalling</w:t>
      </w:r>
      <w:r>
        <w:t xml:space="preserve"> central, important information </w:t>
      </w:r>
      <w:r w:rsidR="00757444">
        <w:t>in</w:t>
      </w:r>
      <w:r>
        <w:t xml:space="preserve"> a police investigation. As victims and witnesses are clearly going to be distressed in the immediate aftermath of an incident taking place, it is clear to say that they need time to process what has happened. </w:t>
      </w:r>
      <w:r w:rsidR="00757444">
        <w:t>According to</w:t>
      </w:r>
      <w:r>
        <w:t xml:space="preserve"> research conducted by Deffenbacher </w:t>
      </w:r>
      <w:r w:rsidR="00757444">
        <w:t>et al. (2004), stress has an impact on a person's recall,</w:t>
      </w:r>
      <w:r>
        <w:t xml:space="preserve"> and as such, specialist techniques should be considered.</w:t>
      </w:r>
    </w:p>
    <w:p w14:paraId="1F5BE1B7" w14:textId="77777777" w:rsidR="009B31D5" w:rsidRDefault="009B31D5" w:rsidP="009B31D5">
      <w:pPr>
        <w:spacing w:line="480" w:lineRule="auto"/>
      </w:pPr>
    </w:p>
    <w:p w14:paraId="22EEE521" w14:textId="3E6CC146" w:rsidR="009B31D5" w:rsidRDefault="009B31D5" w:rsidP="009B31D5">
      <w:pPr>
        <w:spacing w:line="480" w:lineRule="auto"/>
      </w:pPr>
      <w:r>
        <w:t xml:space="preserve">One specialist technique that can be used is the Structured Investigative Interview, </w:t>
      </w:r>
      <w:r w:rsidR="00757444">
        <w:t>which utilises an effective structure to obtain accounts</w:t>
      </w:r>
      <w:r>
        <w:t xml:space="preserve"> from victims and witnesses. Baron (2017) researched the interviewing model used by police services in the United Kingdom every day, which is known as the PEACE model. Baron (2017) explains how Professor John Baldwin developed the PEACE model of interviewing in 1992</w:t>
      </w:r>
      <w:r w:rsidR="00757444">
        <w:t>, which</w:t>
      </w:r>
      <w:r>
        <w:t xml:space="preserve"> forms part of a structured investigative interview. Baron (2017) also describes how a clear structure within the interview assists the interviewee by focusing their thoughts and enabling free, uninterrupted recall. This is further supported by research by Risan et </w:t>
      </w:r>
      <w:r>
        <w:lastRenderedPageBreak/>
        <w:t>al. (2017)</w:t>
      </w:r>
      <w:r w:rsidR="00757444">
        <w:t>, which</w:t>
      </w:r>
      <w:r>
        <w:t xml:space="preserve"> found that a structured interview was a </w:t>
      </w:r>
      <w:r w:rsidR="00757444">
        <w:t>crucial</w:t>
      </w:r>
      <w:r>
        <w:t xml:space="preserve"> factor in obtaining information from victims of stressful incidents. Not only did a structured interview assist the victim,</w:t>
      </w:r>
      <w:r w:rsidR="00757444">
        <w:t xml:space="preserve"> but</w:t>
      </w:r>
      <w:r>
        <w:t xml:space="preserve"> it also helped the interviewer as they </w:t>
      </w:r>
      <w:r w:rsidR="00757444">
        <w:t>could</w:t>
      </w:r>
      <w:r>
        <w:t xml:space="preserve"> easily adapt the interview to the emotional state of the interviewee to facilitate rapport and achieve investigative aims. The five elements of the model are planning and preparation, engaging and explaining, account clarification and challenge, closure, and evaluation. By using the structure of the interview, the interviewer can ensure the interviewee feels more comfortable. The structured approach is also a key factor in enabling the interviewee to provide the best evidence by enabling the interviewer to build </w:t>
      </w:r>
      <w:r w:rsidR="00757444">
        <w:t xml:space="preserve">a </w:t>
      </w:r>
      <w:r>
        <w:t>positive rapport with the interviewee, therefore improving the quality of evidence obtained.</w:t>
      </w:r>
    </w:p>
    <w:p w14:paraId="41D8DD95" w14:textId="4BDFB77E" w:rsidR="009B31D5" w:rsidRDefault="009B31D5" w:rsidP="009B31D5">
      <w:pPr>
        <w:spacing w:line="480" w:lineRule="auto"/>
      </w:pPr>
      <w:r>
        <w:t xml:space="preserve">Kebbell </w:t>
      </w:r>
      <w:r w:rsidR="003C5465">
        <w:t>et al. (2006),</w:t>
      </w:r>
      <w:r>
        <w:t xml:space="preserve"> however</w:t>
      </w:r>
      <w:r w:rsidR="00757444">
        <w:t>, identified this clear structure of</w:t>
      </w:r>
      <w:r>
        <w:t xml:space="preserve"> the interview as being a </w:t>
      </w:r>
      <w:r w:rsidR="003C5465">
        <w:t xml:space="preserve">potential </w:t>
      </w:r>
      <w:r>
        <w:t>hindrance to the investigation. They raise the argument that the rigid structure of the interview process can be a barrier for the investigator to adapt to the interviewee’s responses or the specific dynamics of the interview situation. This means that the interviewer may feel constrained and restricted to the structure</w:t>
      </w:r>
      <w:r w:rsidR="003C5465">
        <w:t>,</w:t>
      </w:r>
      <w:r>
        <w:t xml:space="preserve"> which inevitably reduces their ability to identify unexpected leads or adapt the interview strategy based on the interviewee’s behaviour. Being unable to identify leads that the interviewee presents is evidently going to be detrimental to the quality of the investigation as a whole. It is</w:t>
      </w:r>
      <w:r w:rsidR="003C5465">
        <w:t>, therefore, clear to see how a structured investigative interview has a positive impact on the investigations conducted by police</w:t>
      </w:r>
      <w:r>
        <w:t xml:space="preserve"> and how using a structured approach to questioning assists in obtaining the best evidence possible from the individual being interviewed and consequentially improving the quality of the police investigation. However, there are also limitations to this</w:t>
      </w:r>
      <w:r w:rsidR="003C5465">
        <w:t>,</w:t>
      </w:r>
      <w:r>
        <w:t xml:space="preserve"> as a strict structure can make the interviewer feel restricted and unable to adapt to the evolving situation in the </w:t>
      </w:r>
      <w:r>
        <w:lastRenderedPageBreak/>
        <w:t xml:space="preserve">interview room. </w:t>
      </w:r>
      <w:r w:rsidR="003C5465">
        <w:t xml:space="preserve">Therefore, further research should be </w:t>
      </w:r>
      <w:r>
        <w:t>conducted into the effectiveness of investigations and their respective outcomes that have used the structured approach compared to investigations that did not use a structured investigative interview.</w:t>
      </w:r>
    </w:p>
    <w:p w14:paraId="37B9789E" w14:textId="77777777" w:rsidR="009B31D5" w:rsidRDefault="009B31D5" w:rsidP="009B31D5">
      <w:pPr>
        <w:spacing w:line="480" w:lineRule="auto"/>
      </w:pPr>
    </w:p>
    <w:p w14:paraId="615516EB" w14:textId="542E0D0A" w:rsidR="009B31D5" w:rsidRDefault="009B31D5" w:rsidP="009B31D5">
      <w:pPr>
        <w:spacing w:line="480" w:lineRule="auto"/>
      </w:pPr>
      <w:r>
        <w:t>It is important that the interviewee does not feel that the interviewer has a bias against him or her and that their account will be taken seriously without any preconceptions. It is</w:t>
      </w:r>
      <w:r w:rsidR="003C5465">
        <w:t>, therefore,</w:t>
      </w:r>
      <w:r>
        <w:t xml:space="preserve"> important to build rapport with the interviewee, and this is completed within the engage and explain section of the PEACE model. (Abbe &amp; Brandon, 2013) conducted research into the importance of building rapport within an investigative interview</w:t>
      </w:r>
      <w:r w:rsidR="003C5465">
        <w:t>, and from this research, it is clear how important the rapport-building</w:t>
      </w:r>
      <w:r>
        <w:t xml:space="preserve"> stage is. Building rapport with an interviewee can enable them to feel more comfortable within the interview</w:t>
      </w:r>
      <w:r w:rsidR="003C5465">
        <w:t>, and as such,</w:t>
      </w:r>
      <w:r>
        <w:t xml:space="preserve"> this will have a direct impact on the quality of information they provide at the time. Positive rapport can be linked with reduced stress as previously explored in research by Deffenbacher et al. (2004). With a reduction in stress from the interviewee, they will feel more relaxed</w:t>
      </w:r>
      <w:r w:rsidR="003C5465">
        <w:t>, and this can, therefore,</w:t>
      </w:r>
      <w:r>
        <w:t xml:space="preserve"> be expected </w:t>
      </w:r>
      <w:r w:rsidR="003C5465">
        <w:t>to impact the quality of evidence they provide directly</w:t>
      </w:r>
      <w:r>
        <w:t>. This</w:t>
      </w:r>
      <w:r w:rsidR="003C5465">
        <w:t>, in turn,</w:t>
      </w:r>
      <w:r>
        <w:t xml:space="preserve"> will decrease the risk of the interviewee conforming to social desirability bias, which can be explained as the interviewee providing responses they think the interviewer wants to hear (Abbe &amp; Brandon, 2013). With the interviewee providing their own</w:t>
      </w:r>
      <w:r w:rsidR="003C5465">
        <w:t xml:space="preserve"> unbiased account to the interviewer, the quality of the </w:t>
      </w:r>
      <w:r>
        <w:t>investigation is clearly going to be much higher. It can</w:t>
      </w:r>
      <w:r w:rsidR="003C5465">
        <w:t>, therefore,</w:t>
      </w:r>
      <w:r>
        <w:t xml:space="preserve"> be said that the use of the engage and explain section of the PEACE model had a significant impact on the quality of evidence produced when using the structured investigative interview. It is</w:t>
      </w:r>
      <w:r w:rsidR="003C5465">
        <w:t xml:space="preserve">, therefore, crucial that police use this section of the model </w:t>
      </w:r>
      <w:r w:rsidR="003C5465">
        <w:lastRenderedPageBreak/>
        <w:t>to build positive rapport with the suspect, victim or witness,</w:t>
      </w:r>
      <w:r>
        <w:t xml:space="preserve"> as a more genuine account will be obtained if followed. This section of the structured investigative interview</w:t>
      </w:r>
      <w:r w:rsidR="003C5465">
        <w:t>, therefore,</w:t>
      </w:r>
      <w:r>
        <w:t xml:space="preserve"> makes it a favourable addition to the interview process.</w:t>
      </w:r>
    </w:p>
    <w:p w14:paraId="185D2731" w14:textId="77777777" w:rsidR="009B31D5" w:rsidRDefault="009B31D5" w:rsidP="009B31D5">
      <w:pPr>
        <w:spacing w:line="480" w:lineRule="auto"/>
      </w:pPr>
    </w:p>
    <w:p w14:paraId="48B532E8" w14:textId="2DBE25BD" w:rsidR="009B31D5" w:rsidRDefault="009B31D5" w:rsidP="009B31D5">
      <w:pPr>
        <w:spacing w:line="480" w:lineRule="auto"/>
      </w:pPr>
      <w:r>
        <w:t xml:space="preserve">Children can often be the focus of a police investigation as </w:t>
      </w:r>
      <w:r w:rsidR="003C5465">
        <w:t>suspects</w:t>
      </w:r>
      <w:r>
        <w:t xml:space="preserve">. However, the interview techniques used to interview adults may not be appropriate when interviewing children. Gooch &amp; von Berg (2019) evaluated the effectiveness of standard police interviews of children compared to a process called Achieving Best Evidence (ABE). ABE interviews for children are </w:t>
      </w:r>
      <w:r w:rsidR="003C5465">
        <w:t>focused</w:t>
      </w:r>
      <w:r>
        <w:t xml:space="preserve"> on building rapport with the child and obtaining a free-narrative account from their perspective. Deffenbacher et al. (2004) conducted research into the impact stress has on a person’s account. HMIC (2014) has also found that the process of being arrested is highly traumatic and stressful </w:t>
      </w:r>
      <w:r w:rsidR="003C5465">
        <w:t>for</w:t>
      </w:r>
      <w:r>
        <w:t xml:space="preserve"> children and young people. ABE interviews are generally conducted outside of the police station environment and will often have an interviewing officer, a responsible adult and an intermediary to facilitate effective communication between the child and the police (Gooch &amp; von Berg, 2019). With previously explored research into the negative effects excessive stress can have on the quality of evidence, it is clear that the benefits of an ABE interview should be implemented when dealing with any child suspect. Not only will the evidence collected from the child be of significantly superior quality, but also in the way the child wishes to provide the information. This, therefore has the potential to increase the reliability of the evidence for future court proceedings by ensuring the child is as comfortable as possible during the interview process.</w:t>
      </w:r>
    </w:p>
    <w:p w14:paraId="6A6EB948" w14:textId="77777777" w:rsidR="009B31D5" w:rsidRDefault="009B31D5" w:rsidP="009B31D5">
      <w:pPr>
        <w:spacing w:line="480" w:lineRule="auto"/>
      </w:pPr>
    </w:p>
    <w:p w14:paraId="34C6F88B" w14:textId="12785823" w:rsidR="009B31D5" w:rsidRDefault="009B31D5" w:rsidP="009B31D5">
      <w:pPr>
        <w:spacing w:line="480" w:lineRule="auto"/>
      </w:pPr>
      <w:r>
        <w:lastRenderedPageBreak/>
        <w:t>The process of an ABE interview is also useful when dealing with children as victims or witnesses</w:t>
      </w:r>
      <w:r w:rsidR="003C5465">
        <w:t xml:space="preserve"> and can drastically improve the</w:t>
      </w:r>
      <w:r>
        <w:t xml:space="preserve"> quality of evidence. VanMeter et al. (2021) </w:t>
      </w:r>
      <w:r w:rsidR="003C5465">
        <w:t>have</w:t>
      </w:r>
      <w:r>
        <w:t xml:space="preserve"> shown that when children are giving evidence, they are unable to give the details of it in a coherent way like an adult with no additional needs would be able to. There is also legislation in place for conducting ABE interviews with children covered within the Youth Justice and Criminal Evidence Act 1999 (Youth Justice and Criminal Evidence Act, 2013), and section 27 of the act specifically permits the use of Achieving Best Evidence interviews to replace the evidence in chief within those cases involving children due to persons under eighteen being classed as vulnerable. VanMeter et al. (2021) also found that children are more reluctant to disclose specific details about the events under investigation and are likely to develop scripts surrounding the incident. It can</w:t>
      </w:r>
      <w:r w:rsidR="003C5465">
        <w:t>, therefore,</w:t>
      </w:r>
      <w:r>
        <w:t xml:space="preserve"> be seen that the importance of correctly extracting information from children using the ABE method as a coherent response is what would normally be required during a court trial. The process of obtaining the child’s evidence through the ABE interview enables the interviewer to coherently piece the information together and in connection with Section 27 Youth Justice and Criminal Evidence Act 1999 (Youth Justice and Criminal Evidence Act, 2013), this evidence can then be used as the evidence-in-chief in court.</w:t>
      </w:r>
    </w:p>
    <w:p w14:paraId="5039A9DD" w14:textId="77777777" w:rsidR="009B31D5" w:rsidRDefault="009B31D5" w:rsidP="009B31D5">
      <w:pPr>
        <w:spacing w:line="480" w:lineRule="auto"/>
      </w:pPr>
    </w:p>
    <w:p w14:paraId="4F36540F" w14:textId="61A72EED" w:rsidR="009B31D5" w:rsidRDefault="009B31D5" w:rsidP="009B31D5">
      <w:pPr>
        <w:spacing w:line="480" w:lineRule="auto"/>
      </w:pPr>
      <w:r>
        <w:t xml:space="preserve">To conclude, the memory of a person has a substantial impact on the quality of evidence they provide to police during an interview and it is important for police to recognise that positively and negatively affect a person’s ability to recall information. Stress has been shown to have a detrimental impact on a person's ability to recall information, and police can combat this by ensuring a structure is followed during an </w:t>
      </w:r>
      <w:r>
        <w:lastRenderedPageBreak/>
        <w:t xml:space="preserve">interview. However, the right amount of stress can also have a positive impact on the recall of information. Police utilise a </w:t>
      </w:r>
      <w:r w:rsidR="003C5465">
        <w:t>structured investigative interview to interview suspects, victims,</w:t>
      </w:r>
      <w:r>
        <w:t xml:space="preserve"> and witnesses. This type of interview follows a strict structure </w:t>
      </w:r>
      <w:r w:rsidR="003C5465">
        <w:t>that enables the interviewee to feel engaged during</w:t>
      </w:r>
      <w:r>
        <w:t xml:space="preserve"> the interview process.  However, a strict structure can also have a negative impact on the interview for the interviewing officer, as a strict structure can often lead to them missing opportunities to identify leads the interviewee presents. </w:t>
      </w:r>
    </w:p>
    <w:p w14:paraId="724395F1" w14:textId="5E77BF6B" w:rsidR="009B31D5" w:rsidRPr="003C5465" w:rsidRDefault="00757444" w:rsidP="009B31D5">
      <w:pPr>
        <w:spacing w:line="480" w:lineRule="auto"/>
        <w:rPr>
          <w:b/>
          <w:bCs/>
          <w:u w:val="single"/>
        </w:rPr>
      </w:pPr>
      <w:r>
        <w:t>Using</w:t>
      </w:r>
      <w:r w:rsidR="009B31D5">
        <w:t xml:space="preserve"> Achieving Best Evidence interviews for children is also </w:t>
      </w:r>
      <w:r>
        <w:t xml:space="preserve">critical </w:t>
      </w:r>
      <w:r w:rsidR="009B31D5">
        <w:t>in gathering evidence from young people. Children are less likely to form a coherent response to regular forms of questioning, so the ABE process allows a free recall to be made</w:t>
      </w:r>
      <w:r>
        <w:t>. ABE</w:t>
      </w:r>
      <w:r w:rsidR="009B31D5">
        <w:t xml:space="preserve"> interviews are also eligible to be used as evidence in chief at court, as per Section 27 </w:t>
      </w:r>
      <w:r>
        <w:t xml:space="preserve">of the </w:t>
      </w:r>
      <w:r w:rsidR="009B31D5">
        <w:t xml:space="preserve">Youth Justice and Criminal Evidence Act 1999 (Youth Justice and Criminal Evidence Act, 2013). </w:t>
      </w:r>
      <w:r w:rsidR="003C5465" w:rsidRPr="003C5465">
        <w:rPr>
          <w:b/>
          <w:bCs/>
          <w:u w:val="single"/>
        </w:rPr>
        <w:t>Word count: 1900</w:t>
      </w:r>
    </w:p>
    <w:p w14:paraId="4D624956" w14:textId="77777777" w:rsidR="009B31D5" w:rsidRDefault="009B31D5" w:rsidP="009B31D5">
      <w:pPr>
        <w:spacing w:line="480" w:lineRule="auto"/>
      </w:pPr>
    </w:p>
    <w:p w14:paraId="10A1791F" w14:textId="77777777" w:rsidR="009B31D5" w:rsidRDefault="009B31D5" w:rsidP="009B31D5">
      <w:pPr>
        <w:spacing w:line="480" w:lineRule="auto"/>
      </w:pPr>
    </w:p>
    <w:p w14:paraId="0F1083EE" w14:textId="77777777" w:rsidR="009B31D5" w:rsidRDefault="009B31D5" w:rsidP="009B31D5">
      <w:pPr>
        <w:spacing w:line="480" w:lineRule="auto"/>
      </w:pPr>
    </w:p>
    <w:p w14:paraId="6DED6DF3" w14:textId="77777777" w:rsidR="009B31D5" w:rsidRDefault="009B31D5" w:rsidP="009B31D5">
      <w:pPr>
        <w:spacing w:line="480" w:lineRule="auto"/>
      </w:pPr>
    </w:p>
    <w:p w14:paraId="39C164C0" w14:textId="77777777" w:rsidR="009B31D5" w:rsidRDefault="009B31D5" w:rsidP="009B31D5">
      <w:pPr>
        <w:spacing w:line="480" w:lineRule="auto"/>
      </w:pPr>
    </w:p>
    <w:p w14:paraId="60C46DD4" w14:textId="77777777" w:rsidR="009B31D5" w:rsidRDefault="009B31D5" w:rsidP="009B31D5">
      <w:pPr>
        <w:spacing w:line="480" w:lineRule="auto"/>
      </w:pPr>
    </w:p>
    <w:p w14:paraId="7071C5B6" w14:textId="77777777" w:rsidR="009B31D5" w:rsidRDefault="009B31D5" w:rsidP="009B31D5">
      <w:pPr>
        <w:spacing w:line="480" w:lineRule="auto"/>
      </w:pPr>
    </w:p>
    <w:p w14:paraId="54623B78" w14:textId="77777777" w:rsidR="003C5465" w:rsidRDefault="003C5465" w:rsidP="009B31D5">
      <w:pPr>
        <w:spacing w:line="480" w:lineRule="auto"/>
      </w:pPr>
    </w:p>
    <w:p w14:paraId="5588121E" w14:textId="77777777" w:rsidR="009B31D5" w:rsidRPr="003C5465" w:rsidRDefault="009B31D5" w:rsidP="009B31D5">
      <w:pPr>
        <w:spacing w:after="0"/>
        <w:jc w:val="center"/>
        <w:rPr>
          <w:rFonts w:ascii="Aptos" w:hAnsi="Aptos"/>
          <w:b/>
          <w:bCs/>
          <w:u w:val="single"/>
        </w:rPr>
      </w:pPr>
      <w:r w:rsidRPr="003C5465">
        <w:rPr>
          <w:rFonts w:ascii="Aptos" w:hAnsi="Aptos"/>
          <w:b/>
          <w:bCs/>
          <w:u w:val="single"/>
        </w:rPr>
        <w:lastRenderedPageBreak/>
        <w:t>Bibliography</w:t>
      </w:r>
    </w:p>
    <w:p w14:paraId="602BF4DE" w14:textId="77777777" w:rsidR="009B31D5" w:rsidRPr="00421407" w:rsidRDefault="009B31D5" w:rsidP="009B31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ptos" w:hAnsi="Aptos" w:cs="Menlo"/>
          <w:color w:val="404040"/>
          <w:szCs w:val="18"/>
        </w:rPr>
      </w:pPr>
    </w:p>
    <w:p w14:paraId="115DDF0A"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Abbe, A. and Brandon, S.E. (2013) ‘Building and maintaining rapport in investigative interviews’, </w:t>
      </w:r>
      <w:r w:rsidRPr="00421407">
        <w:rPr>
          <w:rFonts w:ascii="Aptos" w:hAnsi="Aptos" w:cs="Times New Roman"/>
          <w:i/>
        </w:rPr>
        <w:t>Police Practice and Research</w:t>
      </w:r>
      <w:r w:rsidRPr="00421407">
        <w:rPr>
          <w:rFonts w:ascii="Aptos" w:hAnsi="Aptos" w:cs="Times New Roman"/>
        </w:rPr>
        <w:t xml:space="preserve">, 15(3), pp. 207–220. doi:10.1080/15614263.2013.827835. </w:t>
      </w:r>
    </w:p>
    <w:p w14:paraId="58FC8374" w14:textId="77777777" w:rsidR="009B31D5" w:rsidRPr="00421407" w:rsidRDefault="009B31D5" w:rsidP="009B31D5">
      <w:pPr>
        <w:spacing w:after="0" w:line="480" w:lineRule="auto"/>
        <w:ind w:left="720" w:hanging="720"/>
        <w:rPr>
          <w:rFonts w:ascii="Aptos" w:hAnsi="Aptos"/>
        </w:rPr>
      </w:pPr>
    </w:p>
    <w:p w14:paraId="594235CF" w14:textId="168C7B02"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Baron, T. W (2017). The peace model of investigative interviewing: A comparison of trained and untrained suspect interviewers. Master of Science. Thesis. Memorial University of Newfoundland. Available at: </w:t>
      </w:r>
      <w:hyperlink r:id="rId5" w:history="1">
        <w:r w:rsidRPr="00716CEF">
          <w:rPr>
            <w:rStyle w:val="Hyperlink"/>
            <w:rFonts w:ascii="Aptos" w:hAnsi="Aptos" w:cs="Times New Roman"/>
          </w:rPr>
          <w:t>https://research.library.mun.ca/12911/1/thesis.pdf</w:t>
        </w:r>
      </w:hyperlink>
      <w:r w:rsidRPr="00421407">
        <w:rPr>
          <w:rFonts w:ascii="Aptos" w:hAnsi="Aptos" w:cs="Times New Roman"/>
        </w:rPr>
        <w:t xml:space="preserve"> </w:t>
      </w:r>
    </w:p>
    <w:p w14:paraId="79B03B70" w14:textId="77777777" w:rsidR="009B31D5" w:rsidRPr="00421407" w:rsidRDefault="009B31D5" w:rsidP="009B31D5">
      <w:pPr>
        <w:spacing w:after="0" w:line="480" w:lineRule="auto"/>
        <w:ind w:left="720" w:hanging="720"/>
        <w:rPr>
          <w:rFonts w:ascii="Aptos" w:hAnsi="Aptos"/>
        </w:rPr>
      </w:pPr>
    </w:p>
    <w:p w14:paraId="5C17225C"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Brown, O., Power, N. and Conchie, S.M. (2021) ‘Communication and Coordination Across Event Phases: A multi</w:t>
      </w:r>
      <w:r w:rsidRPr="00421407">
        <w:rPr>
          <w:rFonts w:ascii="Cambria Math" w:hAnsi="Cambria Math" w:cs="Cambria Math"/>
        </w:rPr>
        <w:t>‐</w:t>
      </w:r>
      <w:r w:rsidRPr="00421407">
        <w:rPr>
          <w:rFonts w:ascii="Aptos" w:hAnsi="Aptos" w:cs="Times New Roman"/>
        </w:rPr>
        <w:t>team system emergency response</w:t>
      </w:r>
      <w:r w:rsidRPr="00421407">
        <w:rPr>
          <w:rFonts w:ascii="Aptos" w:hAnsi="Aptos" w:cs="Aptos"/>
        </w:rPr>
        <w:t>’</w:t>
      </w:r>
      <w:r w:rsidRPr="00421407">
        <w:rPr>
          <w:rFonts w:ascii="Aptos" w:hAnsi="Aptos" w:cs="Times New Roman"/>
        </w:rPr>
        <w:t xml:space="preserve">, </w:t>
      </w:r>
      <w:r w:rsidRPr="00421407">
        <w:rPr>
          <w:rFonts w:ascii="Aptos" w:hAnsi="Aptos" w:cs="Times New Roman"/>
          <w:i/>
        </w:rPr>
        <w:t>Journal of Occupational and Organizational Psychology</w:t>
      </w:r>
      <w:r w:rsidRPr="00421407">
        <w:rPr>
          <w:rFonts w:ascii="Aptos" w:hAnsi="Aptos" w:cs="Times New Roman"/>
        </w:rPr>
        <w:t xml:space="preserve">, 94(3), pp. 591–615. doi:10.1111/joop.12349. </w:t>
      </w:r>
    </w:p>
    <w:p w14:paraId="6D59DDD6" w14:textId="77777777" w:rsidR="009B31D5" w:rsidRPr="00421407" w:rsidRDefault="009B31D5" w:rsidP="009B31D5">
      <w:pPr>
        <w:spacing w:after="0" w:line="480" w:lineRule="auto"/>
        <w:ind w:left="720" w:hanging="720"/>
        <w:rPr>
          <w:rFonts w:ascii="Aptos" w:hAnsi="Aptos"/>
        </w:rPr>
      </w:pPr>
    </w:p>
    <w:p w14:paraId="7E8E0D4B"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Cabinet Office (2012). Revision to emergency preparedness: Glossary. London, UK: Civil Contingencies Act Enhancement Programme. </w:t>
      </w:r>
    </w:p>
    <w:p w14:paraId="3CDA20C5" w14:textId="77777777" w:rsidR="009B31D5" w:rsidRPr="00421407" w:rsidRDefault="009B31D5" w:rsidP="009B31D5">
      <w:pPr>
        <w:spacing w:after="0" w:line="480" w:lineRule="auto"/>
        <w:ind w:left="720" w:hanging="720"/>
        <w:rPr>
          <w:rFonts w:ascii="Aptos" w:hAnsi="Aptos"/>
        </w:rPr>
      </w:pPr>
    </w:p>
    <w:p w14:paraId="2AA0E956"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Cabinet Office (2012). Revision to emergency preparedness: Glossary. London, UK: Civil Contingencies Act Enhancement Programme. </w:t>
      </w:r>
    </w:p>
    <w:p w14:paraId="72E8BCAF" w14:textId="77777777" w:rsidR="009B31D5" w:rsidRPr="00421407" w:rsidRDefault="009B31D5" w:rsidP="009B31D5">
      <w:pPr>
        <w:spacing w:after="0" w:line="480" w:lineRule="auto"/>
        <w:ind w:left="720" w:hanging="720"/>
        <w:rPr>
          <w:rFonts w:ascii="Aptos" w:hAnsi="Aptos"/>
        </w:rPr>
      </w:pPr>
    </w:p>
    <w:p w14:paraId="7A246214" w14:textId="77777777" w:rsidR="009B31D5" w:rsidRPr="00421407" w:rsidRDefault="009B31D5" w:rsidP="009B31D5">
      <w:pPr>
        <w:spacing w:after="0" w:line="480" w:lineRule="auto"/>
        <w:ind w:left="720" w:hanging="720"/>
        <w:rPr>
          <w:rFonts w:ascii="Aptos" w:hAnsi="Aptos"/>
        </w:rPr>
      </w:pPr>
      <w:r w:rsidRPr="00421407">
        <w:rPr>
          <w:rFonts w:ascii="Aptos" w:hAnsi="Aptos" w:cs="Times New Roman"/>
        </w:rPr>
        <w:t xml:space="preserve">Deffenbacher, K.A. </w:t>
      </w:r>
      <w:r w:rsidRPr="00421407">
        <w:rPr>
          <w:rFonts w:ascii="Aptos" w:hAnsi="Aptos" w:cs="Times New Roman"/>
          <w:i/>
        </w:rPr>
        <w:t>et al.</w:t>
      </w:r>
      <w:r w:rsidRPr="00421407">
        <w:rPr>
          <w:rFonts w:ascii="Aptos" w:hAnsi="Aptos" w:cs="Times New Roman"/>
        </w:rPr>
        <w:t xml:space="preserve"> (2004) ‘A meta-analytic review of the effects of high stress on eyewitness memory.’, </w:t>
      </w:r>
      <w:r w:rsidRPr="00421407">
        <w:rPr>
          <w:rFonts w:ascii="Aptos" w:hAnsi="Aptos" w:cs="Times New Roman"/>
          <w:i/>
        </w:rPr>
        <w:t>Law and Human Behavior</w:t>
      </w:r>
      <w:r w:rsidRPr="00421407">
        <w:rPr>
          <w:rFonts w:ascii="Aptos" w:hAnsi="Aptos" w:cs="Times New Roman"/>
        </w:rPr>
        <w:t xml:space="preserve">, 28(6), pp. 687–706. doi:10.1007/s10979-004-0565-x. </w:t>
      </w:r>
    </w:p>
    <w:p w14:paraId="60D3914D"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lastRenderedPageBreak/>
        <w:t xml:space="preserve">Gooch, K. and von Berg, P. (2019) ‘What happens in the beginning, matters in the end: Achieving best evidence with child suspects in the police station’, </w:t>
      </w:r>
      <w:r w:rsidRPr="00421407">
        <w:rPr>
          <w:rFonts w:ascii="Aptos" w:hAnsi="Aptos" w:cs="Times New Roman"/>
          <w:i/>
        </w:rPr>
        <w:t>Youth Justice</w:t>
      </w:r>
      <w:r w:rsidRPr="00421407">
        <w:rPr>
          <w:rFonts w:ascii="Aptos" w:hAnsi="Aptos" w:cs="Times New Roman"/>
        </w:rPr>
        <w:t xml:space="preserve">, 19(2), pp. 85–101. doi:10.1177/1473225419868840. </w:t>
      </w:r>
    </w:p>
    <w:p w14:paraId="1B2E4C0B" w14:textId="77777777" w:rsidR="009B31D5" w:rsidRPr="00421407" w:rsidRDefault="009B31D5" w:rsidP="009B31D5">
      <w:pPr>
        <w:spacing w:after="0" w:line="480" w:lineRule="auto"/>
        <w:ind w:left="720" w:hanging="720"/>
        <w:rPr>
          <w:rFonts w:ascii="Aptos" w:hAnsi="Aptos"/>
        </w:rPr>
      </w:pPr>
    </w:p>
    <w:p w14:paraId="2F7A1083"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Her Majesty’s Inspectorate of the Crown Prosecution Service and Her Majesty’s  Inspectorate of Constabulary (2014) Achieving Best Evidence in Child Sexual Abuse  Cases – A Joint Inspection Report. London: Her Majesty’s Inspectorate of the Crown  Prosecution Service. </w:t>
      </w:r>
    </w:p>
    <w:p w14:paraId="4D50EE7A" w14:textId="77777777" w:rsidR="009B31D5" w:rsidRPr="00421407" w:rsidRDefault="009B31D5" w:rsidP="009B31D5">
      <w:pPr>
        <w:spacing w:after="0" w:line="480" w:lineRule="auto"/>
        <w:ind w:left="720" w:hanging="720"/>
        <w:rPr>
          <w:rFonts w:ascii="Aptos" w:hAnsi="Aptos"/>
        </w:rPr>
      </w:pPr>
    </w:p>
    <w:p w14:paraId="78D84DC0"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Hickey, L., Harms, L. and Kosta, L. (2021) ‘Public reassurance following a collective trauma event: A scoping review of the evidence to inform police practice’, </w:t>
      </w:r>
      <w:r w:rsidRPr="00421407">
        <w:rPr>
          <w:rFonts w:ascii="Aptos" w:hAnsi="Aptos" w:cs="Times New Roman"/>
          <w:i/>
        </w:rPr>
        <w:t>Policing: An International Journal</w:t>
      </w:r>
      <w:r w:rsidRPr="00421407">
        <w:rPr>
          <w:rFonts w:ascii="Aptos" w:hAnsi="Aptos" w:cs="Times New Roman"/>
        </w:rPr>
        <w:t xml:space="preserve">, 44(5), pp. 853–874. doi:10.1108/pijpsm-11-2020-0177. </w:t>
      </w:r>
    </w:p>
    <w:p w14:paraId="1C66FAC8" w14:textId="77777777" w:rsidR="009B31D5" w:rsidRPr="00421407" w:rsidRDefault="009B31D5" w:rsidP="009B31D5">
      <w:pPr>
        <w:spacing w:after="0" w:line="480" w:lineRule="auto"/>
        <w:ind w:left="720" w:hanging="720"/>
        <w:rPr>
          <w:rFonts w:ascii="Aptos" w:hAnsi="Aptos"/>
        </w:rPr>
      </w:pPr>
    </w:p>
    <w:p w14:paraId="1D2BA8A0"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Iribarren, J. </w:t>
      </w:r>
      <w:r w:rsidRPr="00421407">
        <w:rPr>
          <w:rFonts w:ascii="Aptos" w:hAnsi="Aptos" w:cs="Times New Roman"/>
          <w:i/>
        </w:rPr>
        <w:t>et al.</w:t>
      </w:r>
      <w:r w:rsidRPr="00421407">
        <w:rPr>
          <w:rFonts w:ascii="Aptos" w:hAnsi="Aptos" w:cs="Times New Roman"/>
        </w:rPr>
        <w:t xml:space="preserve"> (2005) ‘Post-traumatic stress disorder: Evidence-based research for the Third Millennium’, </w:t>
      </w:r>
      <w:r w:rsidRPr="00421407">
        <w:rPr>
          <w:rFonts w:ascii="Aptos" w:hAnsi="Aptos" w:cs="Times New Roman"/>
          <w:i/>
        </w:rPr>
        <w:t>Evidence-Based Complementary and Alternative Medicine</w:t>
      </w:r>
      <w:r w:rsidRPr="00421407">
        <w:rPr>
          <w:rFonts w:ascii="Aptos" w:hAnsi="Aptos" w:cs="Times New Roman"/>
        </w:rPr>
        <w:t xml:space="preserve">, 2(4), pp. 503–512. doi:10.1093/ecam/neh127. </w:t>
      </w:r>
    </w:p>
    <w:p w14:paraId="2BB42B6D" w14:textId="77777777" w:rsidR="009B31D5" w:rsidRPr="00421407" w:rsidRDefault="009B31D5" w:rsidP="009B31D5">
      <w:pPr>
        <w:spacing w:after="0" w:line="480" w:lineRule="auto"/>
        <w:ind w:left="720" w:hanging="720"/>
        <w:rPr>
          <w:rFonts w:ascii="Aptos" w:hAnsi="Aptos"/>
        </w:rPr>
      </w:pPr>
    </w:p>
    <w:p w14:paraId="2EF0CEEE"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JESIP (2021) </w:t>
      </w:r>
      <w:r w:rsidRPr="00421407">
        <w:rPr>
          <w:rFonts w:ascii="Aptos" w:hAnsi="Aptos" w:cs="Times New Roman"/>
          <w:i/>
        </w:rPr>
        <w:t>JESIP Roles and Responsibilities</w:t>
      </w:r>
      <w:r w:rsidRPr="00421407">
        <w:rPr>
          <w:rFonts w:ascii="Aptos" w:hAnsi="Aptos" w:cs="Times New Roman"/>
        </w:rPr>
        <w:t xml:space="preserve">. Available at: https://www.jesip.org.uk/wp-content/uploads/2022/03/JESIP_Roles-Responsibilities_MARCH-2022.pdf (Accessed: 01 May 2024). </w:t>
      </w:r>
    </w:p>
    <w:p w14:paraId="3087EBA6" w14:textId="77777777" w:rsidR="009B31D5" w:rsidRPr="00421407" w:rsidRDefault="009B31D5" w:rsidP="009B31D5">
      <w:pPr>
        <w:spacing w:after="0" w:line="480" w:lineRule="auto"/>
        <w:ind w:left="720" w:hanging="720"/>
        <w:rPr>
          <w:rFonts w:ascii="Aptos" w:hAnsi="Aptos"/>
        </w:rPr>
      </w:pPr>
    </w:p>
    <w:p w14:paraId="673F3AE7" w14:textId="77777777" w:rsidR="009B31D5" w:rsidRPr="00421407" w:rsidRDefault="009B31D5" w:rsidP="009B31D5">
      <w:pPr>
        <w:spacing w:after="0" w:line="480" w:lineRule="auto"/>
        <w:ind w:left="720" w:hanging="720"/>
        <w:rPr>
          <w:rFonts w:ascii="Aptos" w:hAnsi="Aptos"/>
        </w:rPr>
      </w:pPr>
      <w:r w:rsidRPr="00421407">
        <w:rPr>
          <w:rFonts w:ascii="Aptos" w:hAnsi="Aptos" w:cs="Times New Roman"/>
        </w:rPr>
        <w:t xml:space="preserve">JESIP (2022) </w:t>
      </w:r>
      <w:r w:rsidRPr="00421407">
        <w:rPr>
          <w:rFonts w:ascii="Aptos" w:hAnsi="Aptos" w:cs="Times New Roman"/>
          <w:i/>
        </w:rPr>
        <w:t>Major incident</w:t>
      </w:r>
      <w:r w:rsidRPr="00421407">
        <w:rPr>
          <w:rFonts w:ascii="Aptos" w:hAnsi="Aptos" w:cs="Times New Roman"/>
        </w:rPr>
        <w:t xml:space="preserve">, </w:t>
      </w:r>
      <w:r w:rsidRPr="00421407">
        <w:rPr>
          <w:rFonts w:ascii="Aptos" w:hAnsi="Aptos" w:cs="Times New Roman"/>
          <w:i/>
        </w:rPr>
        <w:t>JESIP</w:t>
      </w:r>
      <w:r w:rsidRPr="00421407">
        <w:rPr>
          <w:rFonts w:ascii="Aptos" w:hAnsi="Aptos" w:cs="Times New Roman"/>
        </w:rPr>
        <w:t xml:space="preserve">. Available at: https://www.jesip.org.uk/webapp/major.html (Accessed: 01 May 2024). </w:t>
      </w:r>
    </w:p>
    <w:p w14:paraId="7FC3A3D4"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lastRenderedPageBreak/>
        <w:t xml:space="preserve">Kebbell, M., Hurren, E. and Mazerolle, P. (2006) ‘An investigation into the effective and ethical interviewing of suspected sex offenders’, </w:t>
      </w:r>
      <w:r w:rsidRPr="00421407">
        <w:rPr>
          <w:rFonts w:ascii="Aptos" w:hAnsi="Aptos" w:cs="Times New Roman"/>
          <w:i/>
        </w:rPr>
        <w:t>PsycEXTRA Dataset</w:t>
      </w:r>
      <w:r w:rsidRPr="00421407">
        <w:rPr>
          <w:rFonts w:ascii="Aptos" w:hAnsi="Aptos" w:cs="Times New Roman"/>
        </w:rPr>
        <w:t xml:space="preserve"> [Preprint]. doi:10.1037/e620642012-001. </w:t>
      </w:r>
    </w:p>
    <w:p w14:paraId="579CA901" w14:textId="77777777" w:rsidR="009B31D5" w:rsidRPr="00421407" w:rsidRDefault="009B31D5" w:rsidP="009B31D5">
      <w:pPr>
        <w:spacing w:after="0" w:line="480" w:lineRule="auto"/>
        <w:ind w:left="720" w:hanging="720"/>
        <w:rPr>
          <w:rFonts w:ascii="Aptos" w:hAnsi="Aptos"/>
        </w:rPr>
      </w:pPr>
    </w:p>
    <w:p w14:paraId="0F70FC25" w14:textId="58798492"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Kerslake, B. (2018) ‘The Kerslake Report: An independent review into the preparedness for,  and emergency response to, the Manchester Arena  attack on 22nd May 2017’. </w:t>
      </w:r>
      <w:hyperlink r:id="rId6" w:history="1">
        <w:r w:rsidRPr="00716CEF">
          <w:rPr>
            <w:rStyle w:val="Hyperlink"/>
            <w:rFonts w:ascii="Aptos" w:hAnsi="Aptos" w:cs="Times New Roman"/>
          </w:rPr>
          <w:t>https://www.jesip.org.uk/uploads/media/Documents%20Products/Kerslake_Report_Manchester_Are.pdf</w:t>
        </w:r>
      </w:hyperlink>
      <w:r w:rsidRPr="00421407">
        <w:rPr>
          <w:rFonts w:ascii="Aptos" w:hAnsi="Aptos" w:cs="Times New Roman"/>
        </w:rPr>
        <w:t xml:space="preserve">. </w:t>
      </w:r>
    </w:p>
    <w:p w14:paraId="66962D6E" w14:textId="77777777" w:rsidR="009B31D5" w:rsidRPr="00421407" w:rsidRDefault="009B31D5" w:rsidP="009B31D5">
      <w:pPr>
        <w:spacing w:after="0" w:line="480" w:lineRule="auto"/>
        <w:ind w:left="720" w:hanging="720"/>
        <w:rPr>
          <w:rFonts w:ascii="Aptos" w:hAnsi="Aptos"/>
        </w:rPr>
      </w:pPr>
    </w:p>
    <w:p w14:paraId="7C85E24B"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National Policing improvement agency (2007) ‘Practice advice on critical incident management’. National Policing improvement agency. </w:t>
      </w:r>
    </w:p>
    <w:p w14:paraId="475AAF76" w14:textId="77777777" w:rsidR="009B31D5" w:rsidRPr="00421407" w:rsidRDefault="009B31D5" w:rsidP="009B31D5">
      <w:pPr>
        <w:spacing w:after="0" w:line="480" w:lineRule="auto"/>
        <w:ind w:left="720" w:hanging="720"/>
        <w:rPr>
          <w:rFonts w:ascii="Aptos" w:hAnsi="Aptos"/>
        </w:rPr>
      </w:pPr>
    </w:p>
    <w:p w14:paraId="374742B2"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Risan, P., Binder, P.-E. and Milne, R.J. (2017) ‘Establishing and maintaining rapport in investigative interviews of traumatized victims: A qualitative study’, </w:t>
      </w:r>
      <w:r w:rsidRPr="00421407">
        <w:rPr>
          <w:rFonts w:ascii="Aptos" w:hAnsi="Aptos" w:cs="Times New Roman"/>
          <w:i/>
        </w:rPr>
        <w:t>Policing: A Journal of Policy and Practice</w:t>
      </w:r>
      <w:r w:rsidRPr="00421407">
        <w:rPr>
          <w:rFonts w:ascii="Aptos" w:hAnsi="Aptos" w:cs="Times New Roman"/>
        </w:rPr>
        <w:t xml:space="preserve">, 12(4), pp. 372–387. doi:10.1093/police/pax031. </w:t>
      </w:r>
    </w:p>
    <w:p w14:paraId="091D71B0" w14:textId="77777777" w:rsidR="009B31D5" w:rsidRPr="00421407" w:rsidRDefault="009B31D5" w:rsidP="009B31D5">
      <w:pPr>
        <w:spacing w:after="0" w:line="480" w:lineRule="auto"/>
        <w:ind w:left="720" w:hanging="720"/>
        <w:rPr>
          <w:rFonts w:ascii="Aptos" w:hAnsi="Aptos"/>
        </w:rPr>
      </w:pPr>
    </w:p>
    <w:p w14:paraId="43D66C6C"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Sørensen, L.N. </w:t>
      </w:r>
      <w:r w:rsidRPr="00421407">
        <w:rPr>
          <w:rFonts w:ascii="Aptos" w:hAnsi="Aptos" w:cs="Times New Roman"/>
          <w:i/>
        </w:rPr>
        <w:t>et al.</w:t>
      </w:r>
      <w:r w:rsidRPr="00421407">
        <w:rPr>
          <w:rFonts w:ascii="Aptos" w:hAnsi="Aptos" w:cs="Times New Roman"/>
        </w:rPr>
        <w:t xml:space="preserve"> (2022) ‘Risk of post-traumatic stress disorder following major disasters and critical incidents in police officers — a systematic review’, </w:t>
      </w:r>
      <w:r w:rsidRPr="00421407">
        <w:rPr>
          <w:rFonts w:ascii="Aptos" w:hAnsi="Aptos" w:cs="Times New Roman"/>
          <w:i/>
        </w:rPr>
        <w:t>Journal of Police and Criminal Psychology</w:t>
      </w:r>
      <w:r w:rsidRPr="00421407">
        <w:rPr>
          <w:rFonts w:ascii="Aptos" w:hAnsi="Aptos" w:cs="Times New Roman"/>
        </w:rPr>
        <w:t xml:space="preserve">, 37(4), pp. 752–768. doi:10.1007/s11896-022-09547-1. </w:t>
      </w:r>
    </w:p>
    <w:p w14:paraId="772FE53F" w14:textId="77777777" w:rsidR="009B31D5" w:rsidRPr="00421407" w:rsidRDefault="009B31D5" w:rsidP="009B31D5">
      <w:pPr>
        <w:spacing w:after="0" w:line="480" w:lineRule="auto"/>
        <w:ind w:left="720" w:hanging="720"/>
        <w:rPr>
          <w:rFonts w:ascii="Aptos" w:hAnsi="Aptos"/>
        </w:rPr>
      </w:pPr>
    </w:p>
    <w:p w14:paraId="140A4933"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lastRenderedPageBreak/>
        <w:t xml:space="preserve">VanMeter, F. </w:t>
      </w:r>
      <w:r w:rsidRPr="00421407">
        <w:rPr>
          <w:rFonts w:ascii="Aptos" w:hAnsi="Aptos" w:cs="Times New Roman"/>
          <w:i/>
        </w:rPr>
        <w:t>et al.</w:t>
      </w:r>
      <w:r w:rsidRPr="00421407">
        <w:rPr>
          <w:rFonts w:ascii="Aptos" w:hAnsi="Aptos" w:cs="Times New Roman"/>
        </w:rPr>
        <w:t xml:space="preserve"> (2021) ‘Children’s narrative coherence in “achieving best evidence” forensic interviews and courtroom testimony’, </w:t>
      </w:r>
      <w:r w:rsidRPr="00421407">
        <w:rPr>
          <w:rFonts w:ascii="Aptos" w:hAnsi="Aptos" w:cs="Times New Roman"/>
          <w:i/>
        </w:rPr>
        <w:t>Psychology, Crime &amp;amp; Law</w:t>
      </w:r>
      <w:r w:rsidRPr="00421407">
        <w:rPr>
          <w:rFonts w:ascii="Aptos" w:hAnsi="Aptos" w:cs="Times New Roman"/>
        </w:rPr>
        <w:t xml:space="preserve">, 29(2), pp. 203–221. doi:10.1080/1068316x.2021.2018438. </w:t>
      </w:r>
    </w:p>
    <w:p w14:paraId="13A052FC" w14:textId="77777777" w:rsidR="009B31D5" w:rsidRPr="00421407" w:rsidRDefault="009B31D5" w:rsidP="009B31D5">
      <w:pPr>
        <w:spacing w:after="0" w:line="480" w:lineRule="auto"/>
        <w:ind w:left="720" w:hanging="720"/>
        <w:rPr>
          <w:rFonts w:ascii="Aptos" w:hAnsi="Aptos"/>
        </w:rPr>
      </w:pPr>
    </w:p>
    <w:p w14:paraId="69A6D476"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Watson, L. and Andrews, L. (2018) ‘The effect of a trauma risk management (TRIM) program on stigma and barriers to help-seeking in the police.’, </w:t>
      </w:r>
      <w:r w:rsidRPr="00421407">
        <w:rPr>
          <w:rFonts w:ascii="Aptos" w:hAnsi="Aptos" w:cs="Times New Roman"/>
          <w:i/>
        </w:rPr>
        <w:t>International Journal of Stress Management</w:t>
      </w:r>
      <w:r w:rsidRPr="00421407">
        <w:rPr>
          <w:rFonts w:ascii="Aptos" w:hAnsi="Aptos" w:cs="Times New Roman"/>
        </w:rPr>
        <w:t xml:space="preserve">, 25(4), pp. 348–356. doi:10.1037/str0000071. </w:t>
      </w:r>
    </w:p>
    <w:p w14:paraId="6D12B960" w14:textId="77777777" w:rsidR="009B31D5" w:rsidRPr="00421407" w:rsidRDefault="009B31D5" w:rsidP="009B31D5">
      <w:pPr>
        <w:spacing w:after="0" w:line="480" w:lineRule="auto"/>
        <w:ind w:left="720" w:hanging="720"/>
        <w:rPr>
          <w:rFonts w:ascii="Aptos" w:hAnsi="Aptos"/>
        </w:rPr>
      </w:pPr>
    </w:p>
    <w:p w14:paraId="40318FC7" w14:textId="77777777" w:rsidR="009B31D5" w:rsidRDefault="009B31D5" w:rsidP="009B31D5">
      <w:pPr>
        <w:spacing w:after="0" w:line="480" w:lineRule="auto"/>
        <w:ind w:left="720" w:hanging="720"/>
        <w:rPr>
          <w:rFonts w:ascii="Aptos" w:hAnsi="Aptos" w:cs="Times New Roman"/>
        </w:rPr>
      </w:pPr>
      <w:r w:rsidRPr="00421407">
        <w:rPr>
          <w:rFonts w:ascii="Aptos" w:hAnsi="Aptos" w:cs="Times New Roman"/>
        </w:rPr>
        <w:t xml:space="preserve">Whybrow, D., Jones, N. and Greenberg, N. (2015) ‘Promoting organizational well-being: A comprehensive review of Trauma Risk Management: Table 1.’, </w:t>
      </w:r>
      <w:r w:rsidRPr="00421407">
        <w:rPr>
          <w:rFonts w:ascii="Aptos" w:hAnsi="Aptos" w:cs="Times New Roman"/>
          <w:i/>
        </w:rPr>
        <w:t>Occupational Medicine</w:t>
      </w:r>
      <w:r w:rsidRPr="00421407">
        <w:rPr>
          <w:rFonts w:ascii="Aptos" w:hAnsi="Aptos" w:cs="Times New Roman"/>
        </w:rPr>
        <w:t xml:space="preserve">, 65(4), pp. 331–336. doi:10.1093/occmed/kqv024. </w:t>
      </w:r>
    </w:p>
    <w:p w14:paraId="008A39C6" w14:textId="77777777" w:rsidR="009B31D5" w:rsidRPr="00421407" w:rsidRDefault="009B31D5" w:rsidP="009B31D5">
      <w:pPr>
        <w:spacing w:after="0" w:line="480" w:lineRule="auto"/>
        <w:ind w:left="720" w:hanging="720"/>
        <w:rPr>
          <w:rFonts w:ascii="Aptos" w:hAnsi="Aptos"/>
        </w:rPr>
      </w:pPr>
    </w:p>
    <w:p w14:paraId="4865A820" w14:textId="77777777" w:rsidR="009B31D5" w:rsidRPr="00421407" w:rsidRDefault="009B31D5" w:rsidP="009B31D5">
      <w:pPr>
        <w:spacing w:after="0" w:line="480" w:lineRule="auto"/>
        <w:ind w:left="720" w:hanging="720"/>
        <w:rPr>
          <w:rFonts w:ascii="Aptos" w:hAnsi="Aptos"/>
        </w:rPr>
      </w:pPr>
      <w:r w:rsidRPr="00421407">
        <w:rPr>
          <w:rFonts w:ascii="Aptos" w:hAnsi="Aptos" w:cs="Times New Roman"/>
        </w:rPr>
        <w:t xml:space="preserve">Youth Justice and Criminal Evidence Act 1999, c. 23, Available at: https://www.legislation.gov.uk/ukpga/1999/23/section/27 </w:t>
      </w:r>
    </w:p>
    <w:p w14:paraId="362553A3" w14:textId="77777777" w:rsidR="009B31D5" w:rsidRDefault="009B31D5" w:rsidP="009B31D5">
      <w:pPr>
        <w:spacing w:line="480" w:lineRule="auto"/>
      </w:pPr>
    </w:p>
    <w:p w14:paraId="1CF1FA00" w14:textId="77777777" w:rsidR="009B31D5" w:rsidRDefault="009B31D5" w:rsidP="009B31D5">
      <w:pPr>
        <w:spacing w:line="480" w:lineRule="auto"/>
      </w:pPr>
    </w:p>
    <w:sectPr w:rsidR="009B31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enlo">
    <w:charset w:val="00"/>
    <w:family w:val="swiss"/>
    <w:pitch w:val="fixed"/>
    <w:sig w:usb0="E60022FF" w:usb1="D200F9FB" w:usb2="02000028" w:usb3="00000000" w:csb0="000001D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24611F"/>
    <w:multiLevelType w:val="hybridMultilevel"/>
    <w:tmpl w:val="869EF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7795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1D5"/>
    <w:rsid w:val="003C5465"/>
    <w:rsid w:val="00454542"/>
    <w:rsid w:val="00757444"/>
    <w:rsid w:val="00850485"/>
    <w:rsid w:val="009B31D5"/>
    <w:rsid w:val="00BA3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9CB078"/>
  <w15:chartTrackingRefBased/>
  <w15:docId w15:val="{6F430C36-361F-4126-A247-457379456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1D5"/>
  </w:style>
  <w:style w:type="paragraph" w:styleId="Heading1">
    <w:name w:val="heading 1"/>
    <w:basedOn w:val="Normal"/>
    <w:next w:val="Normal"/>
    <w:link w:val="Heading1Char"/>
    <w:uiPriority w:val="9"/>
    <w:qFormat/>
    <w:rsid w:val="009B31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31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31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1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1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1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1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1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1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1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31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1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1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1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1D5"/>
    <w:rPr>
      <w:rFonts w:eastAsiaTheme="majorEastAsia" w:cstheme="majorBidi"/>
      <w:color w:val="272727" w:themeColor="text1" w:themeTint="D8"/>
    </w:rPr>
  </w:style>
  <w:style w:type="paragraph" w:styleId="Title">
    <w:name w:val="Title"/>
    <w:basedOn w:val="Normal"/>
    <w:next w:val="Normal"/>
    <w:link w:val="TitleChar"/>
    <w:uiPriority w:val="10"/>
    <w:qFormat/>
    <w:rsid w:val="009B31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1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1D5"/>
    <w:pPr>
      <w:spacing w:before="160"/>
      <w:jc w:val="center"/>
    </w:pPr>
    <w:rPr>
      <w:i/>
      <w:iCs/>
      <w:color w:val="404040" w:themeColor="text1" w:themeTint="BF"/>
    </w:rPr>
  </w:style>
  <w:style w:type="character" w:customStyle="1" w:styleId="QuoteChar">
    <w:name w:val="Quote Char"/>
    <w:basedOn w:val="DefaultParagraphFont"/>
    <w:link w:val="Quote"/>
    <w:uiPriority w:val="29"/>
    <w:rsid w:val="009B31D5"/>
    <w:rPr>
      <w:i/>
      <w:iCs/>
      <w:color w:val="404040" w:themeColor="text1" w:themeTint="BF"/>
    </w:rPr>
  </w:style>
  <w:style w:type="paragraph" w:styleId="ListParagraph">
    <w:name w:val="List Paragraph"/>
    <w:basedOn w:val="Normal"/>
    <w:uiPriority w:val="34"/>
    <w:qFormat/>
    <w:rsid w:val="009B31D5"/>
    <w:pPr>
      <w:ind w:left="720"/>
      <w:contextualSpacing/>
    </w:pPr>
  </w:style>
  <w:style w:type="character" w:styleId="IntenseEmphasis">
    <w:name w:val="Intense Emphasis"/>
    <w:basedOn w:val="DefaultParagraphFont"/>
    <w:uiPriority w:val="21"/>
    <w:qFormat/>
    <w:rsid w:val="009B31D5"/>
    <w:rPr>
      <w:i/>
      <w:iCs/>
      <w:color w:val="0F4761" w:themeColor="accent1" w:themeShade="BF"/>
    </w:rPr>
  </w:style>
  <w:style w:type="paragraph" w:styleId="IntenseQuote">
    <w:name w:val="Intense Quote"/>
    <w:basedOn w:val="Normal"/>
    <w:next w:val="Normal"/>
    <w:link w:val="IntenseQuoteChar"/>
    <w:uiPriority w:val="30"/>
    <w:qFormat/>
    <w:rsid w:val="009B31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1D5"/>
    <w:rPr>
      <w:i/>
      <w:iCs/>
      <w:color w:val="0F4761" w:themeColor="accent1" w:themeShade="BF"/>
    </w:rPr>
  </w:style>
  <w:style w:type="character" w:styleId="IntenseReference">
    <w:name w:val="Intense Reference"/>
    <w:basedOn w:val="DefaultParagraphFont"/>
    <w:uiPriority w:val="32"/>
    <w:qFormat/>
    <w:rsid w:val="009B31D5"/>
    <w:rPr>
      <w:b/>
      <w:bCs/>
      <w:smallCaps/>
      <w:color w:val="0F4761" w:themeColor="accent1" w:themeShade="BF"/>
      <w:spacing w:val="5"/>
    </w:rPr>
  </w:style>
  <w:style w:type="character" w:styleId="Hyperlink">
    <w:name w:val="Hyperlink"/>
    <w:basedOn w:val="DefaultParagraphFont"/>
    <w:uiPriority w:val="99"/>
    <w:unhideWhenUsed/>
    <w:rsid w:val="009B31D5"/>
    <w:rPr>
      <w:color w:val="467886" w:themeColor="hyperlink"/>
      <w:u w:val="single"/>
    </w:rPr>
  </w:style>
  <w:style w:type="character" w:styleId="UnresolvedMention">
    <w:name w:val="Unresolved Mention"/>
    <w:basedOn w:val="DefaultParagraphFont"/>
    <w:uiPriority w:val="99"/>
    <w:semiHidden/>
    <w:unhideWhenUsed/>
    <w:rsid w:val="009B31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esip.org.uk/uploads/media/Documents%20Products/Kerslake_Report_Manchester_Are.pdf" TargetMode="External"/><Relationship Id="rId5" Type="http://schemas.openxmlformats.org/officeDocument/2006/relationships/hyperlink" Target="https://research.library.mun.ca/12911/1/thesis.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20</Pages>
  <Words>4430</Words>
  <Characters>24906</Characters>
  <Application>Microsoft Office Word</Application>
  <DocSecurity>0</DocSecurity>
  <Lines>453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Marston</dc:creator>
  <cp:keywords/>
  <dc:description/>
  <cp:lastModifiedBy>Rhys Marston</cp:lastModifiedBy>
  <cp:revision>2</cp:revision>
  <dcterms:created xsi:type="dcterms:W3CDTF">2024-05-27T22:12:00Z</dcterms:created>
  <dcterms:modified xsi:type="dcterms:W3CDTF">2024-05-27T22:50:00Z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97d72f60-5226-404e-8103-1b3c2839ace6</vt:lpwstr>
  </property>
</Properties>
</file>