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t xml:space="preserve">Student Number: 2311955</w:t>
      </w:r>
    </w:p>
    <w:p w:rsidR="00000000" w:rsidDel="00000000" w:rsidP="00000000" w:rsidRDefault="00000000" w:rsidRPr="00000000" w14:paraId="00000003">
      <w:pPr>
        <w:rPr/>
      </w:pPr>
      <w:r w:rsidDel="00000000" w:rsidR="00000000" w:rsidRPr="00000000">
        <w:rPr>
          <w:rtl w:val="0"/>
        </w:rPr>
        <w:t xml:space="preserve">Student Name: Raluca Nicolici</w:t>
      </w:r>
    </w:p>
    <w:p w:rsidR="00000000" w:rsidDel="00000000" w:rsidP="00000000" w:rsidRDefault="00000000" w:rsidRPr="00000000" w14:paraId="00000004">
      <w:pPr>
        <w:pStyle w:val="Heading2"/>
        <w:rPr/>
      </w:pPr>
      <w:r w:rsidDel="00000000" w:rsidR="00000000" w:rsidRPr="00000000">
        <w:rPr>
          <w:rtl w:val="0"/>
        </w:rPr>
        <w:t xml:space="preserve">Table of Contents</w:t>
      </w:r>
    </w:p>
    <w:sdt>
      <w:sdtPr>
        <w:id w:val="-497774664"/>
        <w:docPartObj>
          <w:docPartGallery w:val="Table of Contents"/>
          <w:docPartUnique w:val="1"/>
        </w:docPartObj>
      </w:sdtPr>
      <w:sdtContent>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fldChar w:fldCharType="begin"/>
            <w:instrText xml:space="preserve"> TOC \h \u \z \t "Heading 1,1,Heading 2,2,Heading 3,3,"</w:instrText>
            <w:fldChar w:fldCharType="separate"/>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pStyle w:val="Heading1"/>
        <w:rPr/>
      </w:pPr>
      <w:r w:rsidDel="00000000" w:rsidR="00000000" w:rsidRPr="00000000">
        <w:rPr>
          <w:rtl w:val="0"/>
        </w:rPr>
        <w:t xml:space="preserve">Stakeholder Management Portfolio</w:t>
        <w:br w:type="textWrapping"/>
        <w:t xml:space="preserve">Urban Community Park Regeneration Project</w:t>
      </w:r>
    </w:p>
    <w:p w:rsidR="00000000" w:rsidDel="00000000" w:rsidP="00000000" w:rsidRDefault="00000000" w:rsidRPr="00000000" w14:paraId="00000008">
      <w:pPr>
        <w:pStyle w:val="Heading2"/>
        <w:rPr/>
      </w:pPr>
      <w:r w:rsidDel="00000000" w:rsidR="00000000" w:rsidRPr="00000000">
        <w:rPr>
          <w:rtl w:val="0"/>
        </w:rPr>
        <w:t xml:space="preserve">Element 1: Introduction</w:t>
      </w:r>
    </w:p>
    <w:p w:rsidR="00000000" w:rsidDel="00000000" w:rsidP="00000000" w:rsidRDefault="00000000" w:rsidRPr="00000000" w14:paraId="00000009">
      <w:pPr>
        <w:rPr/>
      </w:pPr>
      <w:r w:rsidDel="00000000" w:rsidR="00000000" w:rsidRPr="00000000">
        <w:rPr>
          <w:rtl w:val="0"/>
        </w:rPr>
        <w:t xml:space="preserve">Stakeholder management is a fundamental aspect of project management that focuses on identifying, analysing, engaging, and communicating with individuals or groups who have an interest in or are affected by a project. Effective stakeholder management ensures that the needs, expectations, and concerns of different parties are recognised and addressed throughout the project lifecycle. It plays a critical role in achieving project objectives, reducing conflict, enhancing collaboration, and ensuring long-term sustainability. Within communities, stakeholder management is especially important because projects often directly affect residents, local businesses, public authorities, and community organisations. Strong engagement promotes transparency, trust, and shared ownership of outcomes. This concept is strongly supported by Freeman (1984), who emphasises the importance of identifying and managing stakeholders effectively.</w:t>
      </w:r>
    </w:p>
    <w:p w:rsidR="00000000" w:rsidDel="00000000" w:rsidP="00000000" w:rsidRDefault="00000000" w:rsidRPr="00000000" w14:paraId="0000000A">
      <w:pPr>
        <w:rPr/>
      </w:pPr>
      <w:r w:rsidDel="00000000" w:rsidR="00000000" w:rsidRPr="00000000">
        <w:rPr>
          <w:rtl w:val="0"/>
        </w:rPr>
        <w:t xml:space="preserve">This portfolio analyses the Urban Community Park Regeneration Project in my local area. The project involved the redevelopment of a neglected public park into a modern recreational space including a children’s play area, walking paths, sports facilities, and green spaces. The project was funded by the local council with partial support from community grants. The main objectives were to improve community wellbeing, enhance environmental sustainability, reduce antisocial behaviour, and create inclusive public spaces. Due to its direct impact on residents and local organisations, stakeholder management was central to the project’s planning and implementation.</w:t>
      </w:r>
    </w:p>
    <w:p w:rsidR="00000000" w:rsidDel="00000000" w:rsidP="00000000" w:rsidRDefault="00000000" w:rsidRPr="00000000" w14:paraId="0000000B">
      <w:pPr>
        <w:pStyle w:val="Heading2"/>
        <w:rPr/>
      </w:pPr>
      <w:r w:rsidDel="00000000" w:rsidR="00000000" w:rsidRPr="00000000">
        <w:rPr>
          <w:rtl w:val="0"/>
        </w:rPr>
        <w:t xml:space="preserve">Element 2: Depth of Analysis and Stakeholder Engagement Strategies</w:t>
      </w:r>
    </w:p>
    <w:p w:rsidR="00000000" w:rsidDel="00000000" w:rsidP="00000000" w:rsidRDefault="00000000" w:rsidRPr="00000000" w14:paraId="0000000C">
      <w:pPr>
        <w:rPr/>
      </w:pPr>
      <w:r w:rsidDel="00000000" w:rsidR="00000000" w:rsidRPr="00000000">
        <w:rPr>
          <w:rtl w:val="0"/>
        </w:rPr>
        <w:t xml:space="preserve">The Urban Community Park Regeneration Project involved multiple stakeholders with varying levels of power, interest, and influence. A Power–Interest Grid was used to categorise stakeholders into four groups: high power–high interest, high power–low interest, low power–high interest, and low power–low interest. The Power–Interest matrix model developed by Mendelow (1991) provides a structured way to prioritise stakeholders.</w:t>
      </w:r>
    </w:p>
    <w:p w:rsidR="00000000" w:rsidDel="00000000" w:rsidP="00000000" w:rsidRDefault="00000000" w:rsidRPr="00000000" w14:paraId="0000000D">
      <w:pPr>
        <w:rPr/>
      </w:pPr>
      <w:r w:rsidDel="00000000" w:rsidR="00000000" w:rsidRPr="00000000">
        <w:rPr>
          <w:b w:val="1"/>
          <w:bCs w:val="1"/>
          <w:rtl w:val="0"/>
        </w:rPr>
        <w:t xml:space="preserve">High Power – High Interest:</w:t>
      </w: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Key stakeholders in this category included the Local Council (project sponsor), project managers, and major funding bodies. These stakeholders had decision-making authority and financial control. Their role included approving budgets, setting timelines, monitoring performance, and ensuring compliance with regulations. Regular progress meetings, formal reports, and risk assessments were used to maintain engagement. These formal communication channels were highly effective in ensuring accountability but sometimes slowed decision-making due to bureaucratic processes.</w:t>
      </w:r>
    </w:p>
    <w:p w:rsidR="00000000" w:rsidDel="00000000" w:rsidP="00000000" w:rsidRDefault="00000000" w:rsidRPr="00000000" w14:paraId="0000000F">
      <w:pPr>
        <w:rPr/>
      </w:pPr>
      <w:r w:rsidDel="00000000" w:rsidR="00000000" w:rsidRPr="00000000">
        <w:rPr>
          <w:b w:val="1"/>
          <w:bCs w:val="1"/>
          <w:rtl w:val="0"/>
        </w:rPr>
        <w:t xml:space="preserve">High Power – Low Interest:</w:t>
      </w: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Regulatory authorities and environmental agencies fell into this category. Although they had significant power to halt or modify the project, their interest was primarily compliance-focused. Engagement strategies included submission of environmental impact assessments and formal documentation. Communication was mainly through official letters and structured consultations. While effective for regulatory compliance, this approach lacked flexibility and required careful coordination.</w:t>
      </w:r>
    </w:p>
    <w:p w:rsidR="00000000" w:rsidDel="00000000" w:rsidP="00000000" w:rsidRDefault="00000000" w:rsidRPr="00000000" w14:paraId="00000011">
      <w:pPr>
        <w:rPr/>
      </w:pPr>
      <w:r w:rsidDel="00000000" w:rsidR="00000000" w:rsidRPr="00000000">
        <w:rPr>
          <w:b w:val="1"/>
          <w:bCs w:val="1"/>
          <w:rtl w:val="0"/>
        </w:rPr>
        <w:t xml:space="preserve">Low Power – High Interest:</w:t>
      </w: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Local residents, park users, nearby schools, and community groups had high interest but limited formal power. However, their influence could increase through collective action or public campaigns. Engagement strategies included community meetings, surveys, social media updates, and public consultation events. These channels encouraged participation and provided valuable feedback on design features and safety concerns. Social media proved particularly effective in reaching younger residents, while public meetings were more suitable for older community members.</w:t>
      </w:r>
    </w:p>
    <w:p w:rsidR="00000000" w:rsidDel="00000000" w:rsidP="00000000" w:rsidRDefault="00000000" w:rsidRPr="00000000" w14:paraId="00000013">
      <w:pPr>
        <w:rPr/>
      </w:pPr>
      <w:r w:rsidDel="00000000" w:rsidR="00000000" w:rsidRPr="00000000">
        <w:rPr>
          <w:b w:val="1"/>
          <w:bCs w:val="1"/>
          <w:rtl w:val="0"/>
        </w:rPr>
        <w:t xml:space="preserve">Low Power – Low Interest:</w:t>
      </w: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Occasional visitors and distant residents were less involved. Communication was limited to general public announcements and website updates. Although their engagement was minimal, transparent information sharing helped maintain public trust.</w:t>
      </w:r>
    </w:p>
    <w:p w:rsidR="00000000" w:rsidDel="00000000" w:rsidP="00000000" w:rsidRDefault="00000000" w:rsidRPr="00000000" w14:paraId="00000015">
      <w:pPr>
        <w:rPr/>
      </w:pPr>
      <w:r w:rsidDel="00000000" w:rsidR="00000000" w:rsidRPr="00000000">
        <w:rPr>
          <w:rtl w:val="0"/>
        </w:rPr>
        <w:t xml:space="preserve">One of the main challenges encountered was conflicting stakeholder expectations. For example, some residents preferred preserving natural green areas, while others requested more sports facilities. Budget limitations also created tension between community desires and financial realities. To address this, project managers prioritised transparent communication, compromise solutions, and phased implementation.</w:t>
      </w:r>
    </w:p>
    <w:p w:rsidR="00000000" w:rsidDel="00000000" w:rsidP="00000000" w:rsidRDefault="00000000" w:rsidRPr="00000000" w14:paraId="00000016">
      <w:pPr>
        <w:rPr/>
      </w:pPr>
      <w:r w:rsidDel="00000000" w:rsidR="00000000" w:rsidRPr="00000000">
        <w:rPr>
          <w:rtl w:val="0"/>
        </w:rPr>
        <w:t xml:space="preserve">Overall, the most effective engagement strategies were those that promoted two-way communication. Surveys and consultations allowed stakeholders to feel heard, which increased support and reduced resistance. However, engagement required time, resources, and careful coordination to ensure inclusivity.</w:t>
      </w:r>
    </w:p>
    <w:p w:rsidR="00000000" w:rsidDel="00000000" w:rsidP="00000000" w:rsidRDefault="00000000" w:rsidRPr="00000000" w14:paraId="00000017">
      <w:pPr>
        <w:pStyle w:val="Heading2"/>
        <w:rPr/>
      </w:pPr>
      <w:r w:rsidDel="00000000" w:rsidR="00000000" w:rsidRPr="00000000">
        <w:rPr>
          <w:rtl w:val="0"/>
        </w:rPr>
        <w:t xml:space="preserve">Element 3: Ethical Considerations and Reflective Insight</w:t>
      </w:r>
    </w:p>
    <w:p w:rsidR="00000000" w:rsidDel="00000000" w:rsidP="00000000" w:rsidRDefault="00000000" w:rsidRPr="00000000" w14:paraId="00000018">
      <w:pPr>
        <w:rPr/>
      </w:pPr>
      <w:r w:rsidDel="00000000" w:rsidR="00000000" w:rsidRPr="00000000">
        <w:rPr>
          <w:rtl w:val="0"/>
        </w:rPr>
        <w:t xml:space="preserve">Ethical considerations played a significant role in stakeholder engagement throughout the project. Transparency was essential in communicating budget allocations, timelines, and design decisions. Providing clear and honest information helped prevent misinformation and built trust between the council and the community.</w:t>
      </w:r>
    </w:p>
    <w:p w:rsidR="00000000" w:rsidDel="00000000" w:rsidP="00000000" w:rsidRDefault="00000000" w:rsidRPr="00000000" w14:paraId="00000019">
      <w:pPr>
        <w:rPr/>
      </w:pPr>
      <w:r w:rsidDel="00000000" w:rsidR="00000000" w:rsidRPr="00000000">
        <w:rPr>
          <w:rtl w:val="0"/>
        </w:rPr>
        <w:t xml:space="preserve">Fairness was another important consideration. The project team had to ensure that the park design was inclusive and accessible to people of all ages, abilities, and backgrounds. Accessibility features such as wheelchair-friendly paths and inclusive play equipment were incorporated to promote equality.</w:t>
      </w:r>
    </w:p>
    <w:p w:rsidR="00000000" w:rsidDel="00000000" w:rsidP="00000000" w:rsidRDefault="00000000" w:rsidRPr="00000000" w14:paraId="0000001A">
      <w:pPr>
        <w:rPr/>
      </w:pPr>
      <w:r w:rsidDel="00000000" w:rsidR="00000000" w:rsidRPr="00000000">
        <w:rPr>
          <w:rtl w:val="0"/>
        </w:rPr>
        <w:t xml:space="preserve">Community interest was prioritised by incorporating public feedback into final decisions. Ethical responsibility required balancing environmental protection with development goals. Sustainable materials, energy-efficient lighting, and increased green planting were included to reduce environmental impact.</w:t>
      </w:r>
    </w:p>
    <w:p w:rsidR="00000000" w:rsidDel="00000000" w:rsidP="00000000" w:rsidRDefault="00000000" w:rsidRPr="00000000" w14:paraId="0000001B">
      <w:pPr>
        <w:rPr/>
      </w:pPr>
      <w:r w:rsidDel="00000000" w:rsidR="00000000" w:rsidRPr="00000000">
        <w:rPr>
          <w:rtl w:val="0"/>
        </w:rPr>
        <w:t xml:space="preserve">Corporate Social Responsibility (CSR) principles were evident in the project’s commitment to social value, environmental sustainability, and community wellbeing. By aligning project goals with long-term community benefits, the council demonstrated responsible governance. Sustainability was addressed not only through environmental practices but also through long-term maintenance planning. Carroll’s (1991) CSR Pyramid highlights the ethical, legal, economic, and philanthropic responsibilities organisations must consider.</w:t>
      </w:r>
    </w:p>
    <w:p w:rsidR="00000000" w:rsidDel="00000000" w:rsidP="00000000" w:rsidRDefault="00000000" w:rsidRPr="00000000" w14:paraId="0000001C">
      <w:pPr>
        <w:rPr/>
      </w:pPr>
      <w:r w:rsidDel="00000000" w:rsidR="00000000" w:rsidRPr="00000000">
        <w:rPr>
          <w:rtl w:val="0"/>
        </w:rPr>
        <w:t xml:space="preserve">Through analysing this project, I have developed a deeper understanding of stakeholder complexity. I learned that stakeholders’ interests are rarely aligned and that effective management requires strong communication, negotiation, empathy, and conflict resolution skills. Theories such as the Power–Interest Grid helped structure my understanding, while observing practical implementation highlighted real-world challenges.</w:t>
      </w:r>
    </w:p>
    <w:p w:rsidR="00000000" w:rsidDel="00000000" w:rsidP="00000000" w:rsidRDefault="00000000" w:rsidRPr="00000000" w14:paraId="0000001D">
      <w:pPr>
        <w:rPr/>
      </w:pPr>
      <w:r w:rsidDel="00000000" w:rsidR="00000000" w:rsidRPr="00000000">
        <w:rPr>
          <w:rtl w:val="0"/>
        </w:rPr>
        <w:t xml:space="preserve">This analysis has strengthened my research, critical thinking, and analytical skills. These skills are highly relevant to my future academic development and professional career, as stakeholder engagement is essential in business, project management, and leadership roles. I have also improved my ability to evaluate ethical implications and sustainability considerations in decision-making processes.</w:t>
      </w:r>
    </w:p>
    <w:p w:rsidR="00000000" w:rsidDel="00000000" w:rsidP="00000000" w:rsidRDefault="00000000" w:rsidRPr="00000000" w14:paraId="0000001E">
      <w:pPr>
        <w:pStyle w:val="Heading2"/>
        <w:rPr/>
      </w:pPr>
      <w:r w:rsidDel="00000000" w:rsidR="00000000" w:rsidRPr="00000000">
        <w:rPr>
          <w:rtl w:val="0"/>
        </w:rPr>
        <w:t xml:space="preserve">Element 4: Conclusion and Recommendations</w:t>
      </w:r>
    </w:p>
    <w:p w:rsidR="00000000" w:rsidDel="00000000" w:rsidP="00000000" w:rsidRDefault="00000000" w:rsidRPr="00000000" w14:paraId="0000001F">
      <w:pPr>
        <w:rPr/>
      </w:pPr>
      <w:r w:rsidDel="00000000" w:rsidR="00000000" w:rsidRPr="00000000">
        <w:rPr>
          <w:rtl w:val="0"/>
        </w:rPr>
        <w:t xml:space="preserve">In conclusion, stakeholder engagement was central to the success of the Urban Community Park Regeneration Project. Effective identification, analysis, and communication with stakeholders helped manage conflicts, align expectations, and ensure community support. Transparent communication and inclusive consultation were particularly effective strategies.</w:t>
      </w:r>
    </w:p>
    <w:p w:rsidR="00000000" w:rsidDel="00000000" w:rsidP="00000000" w:rsidRDefault="00000000" w:rsidRPr="00000000" w14:paraId="00000020">
      <w:pPr>
        <w:rPr/>
      </w:pPr>
      <w:r w:rsidDel="00000000" w:rsidR="00000000" w:rsidRPr="00000000">
        <w:rPr>
          <w:rtl w:val="0"/>
        </w:rPr>
        <w:t xml:space="preserve">To improve stakeholder engagement in future projects, it is recommended that project teams: (1) conduct early stakeholder mapping; (2) use diverse communication channels tailored to different groups; (3) ensure continuous feedback mechanisms; (4) integrate sustainability and CSR principles into decision-making; and (5) allocate sufficient resources for engagement activities.</w:t>
      </w:r>
    </w:p>
    <w:p w:rsidR="00000000" w:rsidDel="00000000" w:rsidP="00000000" w:rsidRDefault="00000000" w:rsidRPr="00000000" w14:paraId="00000021">
      <w:pPr>
        <w:rPr/>
      </w:pPr>
      <w:r w:rsidDel="00000000" w:rsidR="00000000" w:rsidRPr="00000000">
        <w:rPr>
          <w:rtl w:val="0"/>
        </w:rPr>
        <w:t xml:space="preserve">Effective stakeholder engagement is not only important for project success but also for long-term sustainability and community trust. Projects that actively involve stakeholders are more likely to achieve their objectives, reduce resistance, and create meaningful social impact.</w:t>
      </w:r>
    </w:p>
    <w:p w:rsidR="00000000" w:rsidDel="00000000" w:rsidP="00000000" w:rsidRDefault="00000000" w:rsidRPr="00000000" w14:paraId="00000022">
      <w:pPr>
        <w:pStyle w:val="Heading2"/>
        <w:rPr/>
      </w:pPr>
      <w:r w:rsidDel="00000000" w:rsidR="00000000" w:rsidRPr="00000000">
        <w:rPr>
          <w:rtl w:val="0"/>
        </w:rPr>
        <w:t xml:space="preserve">References</w:t>
      </w:r>
    </w:p>
    <w:p w:rsidR="00000000" w:rsidDel="00000000" w:rsidP="00000000" w:rsidRDefault="00000000" w:rsidRPr="00000000" w14:paraId="00000023">
      <w:pPr>
        <w:rPr/>
      </w:pPr>
      <w:r w:rsidDel="00000000" w:rsidR="00000000" w:rsidRPr="00000000">
        <w:rPr>
          <w:rtl w:val="0"/>
        </w:rPr>
        <w:t xml:space="preserve">Carroll, A.B. (1991) ‘The pyramid of corporate social responsibility: Toward the moral management of organizational stakeholders’, Business Horizons, 34(4), pp. 39–48.</w:t>
      </w:r>
    </w:p>
    <w:p w:rsidR="00000000" w:rsidDel="00000000" w:rsidP="00000000" w:rsidRDefault="00000000" w:rsidRPr="00000000" w14:paraId="00000024">
      <w:pPr>
        <w:rPr/>
      </w:pPr>
      <w:r w:rsidDel="00000000" w:rsidR="00000000" w:rsidRPr="00000000">
        <w:rPr>
          <w:rtl w:val="0"/>
        </w:rPr>
        <w:t xml:space="preserve">Freeman, R.E. (1984) Strategic Management: A Stakeholder Approach. Boston: Pitman.</w:t>
      </w:r>
    </w:p>
    <w:p w:rsidR="00000000" w:rsidDel="00000000" w:rsidP="00000000" w:rsidRDefault="00000000" w:rsidRPr="00000000" w14:paraId="00000025">
      <w:pPr>
        <w:rPr/>
      </w:pPr>
      <w:r w:rsidDel="00000000" w:rsidR="00000000" w:rsidRPr="00000000">
        <w:rPr>
          <w:rtl w:val="0"/>
        </w:rPr>
        <w:t xml:space="preserve">Mendelow, A.L. (1991) ‘Environmental scanning: The impact of the stakeholder concept’, in Proceedings of the International Conference on Information Systems, Cambridge, MA.</w:t>
      </w:r>
    </w:p>
    <w:sectPr>
      <w:pgSz w:h="15840" w:w="12240" w:orient="portrait"/>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Subtitle">
    <w:name w:val="Subtitle"/>
    <w:basedOn w:val="Normal"/>
    <w:next w:val="Normal"/>
    <w:pPr/>
    <w:rPr>
      <w:rFonts w:ascii="Calibri" w:cs="Calibri" w:eastAsia="Calibri" w:hAnsi="Calibri"/>
      <w:i w:val="1"/>
      <w:iCs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