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C6563" w14:textId="77777777" w:rsidR="00587F59" w:rsidRPr="00587F59" w:rsidRDefault="00587F59" w:rsidP="00436270">
      <w:pPr>
        <w:spacing w:line="360" w:lineRule="auto"/>
        <w:rPr>
          <w:rFonts w:ascii="Arial" w:hAnsi="Arial" w:cs="Arial"/>
        </w:rPr>
      </w:pPr>
    </w:p>
    <w:p w14:paraId="5821A815" w14:textId="63B2FC7E" w:rsidR="00587F59" w:rsidRPr="00587F59" w:rsidRDefault="00587F59" w:rsidP="00436270">
      <w:pPr>
        <w:spacing w:line="360" w:lineRule="auto"/>
        <w:rPr>
          <w:rFonts w:ascii="Arial" w:hAnsi="Arial" w:cs="Arial"/>
        </w:rPr>
      </w:pPr>
      <w:r w:rsidRPr="00587F59">
        <w:rPr>
          <w:rFonts w:ascii="Arial" w:hAnsi="Arial" w:cs="Arial"/>
        </w:rPr>
        <w:t>Student Name:</w:t>
      </w:r>
      <w:r w:rsidR="00605821">
        <w:rPr>
          <w:rFonts w:ascii="Arial" w:hAnsi="Arial" w:cs="Arial"/>
        </w:rPr>
        <w:t xml:space="preserve"> Maymunah akhtar</w:t>
      </w:r>
    </w:p>
    <w:p w14:paraId="1E3A1F1C" w14:textId="40C03A03" w:rsidR="00587F59" w:rsidRPr="00587F59" w:rsidRDefault="00587F59" w:rsidP="00436270">
      <w:pPr>
        <w:spacing w:line="360" w:lineRule="auto"/>
        <w:rPr>
          <w:rFonts w:ascii="Arial" w:hAnsi="Arial" w:cs="Arial"/>
        </w:rPr>
      </w:pPr>
      <w:r w:rsidRPr="00587F59">
        <w:rPr>
          <w:rFonts w:ascii="Arial" w:hAnsi="Arial" w:cs="Arial"/>
        </w:rPr>
        <w:t xml:space="preserve">Student Number: </w:t>
      </w:r>
      <w:r w:rsidR="00A87C87">
        <w:rPr>
          <w:rFonts w:ascii="Arial" w:hAnsi="Arial" w:cs="Arial"/>
        </w:rPr>
        <w:t>2433756</w:t>
      </w:r>
    </w:p>
    <w:p w14:paraId="36C83F80" w14:textId="346669B9" w:rsidR="00587F59" w:rsidRDefault="00587F59" w:rsidP="00436270">
      <w:pPr>
        <w:spacing w:line="360" w:lineRule="auto"/>
        <w:rPr>
          <w:rFonts w:ascii="Arial" w:hAnsi="Arial" w:cs="Arial"/>
        </w:rPr>
      </w:pPr>
      <w:r w:rsidRPr="00587F59">
        <w:rPr>
          <w:rFonts w:ascii="Arial" w:hAnsi="Arial" w:cs="Arial"/>
        </w:rPr>
        <w:t xml:space="preserve">Module Title: Psychology </w:t>
      </w:r>
      <w:r w:rsidR="0092404E">
        <w:rPr>
          <w:rFonts w:ascii="Arial" w:hAnsi="Arial" w:cs="Arial"/>
        </w:rPr>
        <w:t xml:space="preserve">in health and social care </w:t>
      </w:r>
    </w:p>
    <w:p w14:paraId="32D9DE0F" w14:textId="66F22413" w:rsidR="00017A55" w:rsidRPr="008E31D0" w:rsidRDefault="00017A55" w:rsidP="00436270">
      <w:pPr>
        <w:spacing w:line="360" w:lineRule="auto"/>
        <w:rPr>
          <w:rFonts w:ascii="Arial" w:hAnsi="Arial" w:cs="Arial"/>
        </w:rPr>
      </w:pPr>
      <w:r w:rsidRPr="008E31D0">
        <w:rPr>
          <w:rFonts w:ascii="Arial" w:hAnsi="Arial" w:cs="Arial"/>
        </w:rPr>
        <w:t>Module code: LCHS4010</w:t>
      </w:r>
    </w:p>
    <w:p w14:paraId="12BD2DDD" w14:textId="34DB4CB5" w:rsidR="00587F59" w:rsidRPr="00587F59" w:rsidRDefault="00587F59" w:rsidP="00436270">
      <w:pPr>
        <w:spacing w:line="360" w:lineRule="auto"/>
        <w:rPr>
          <w:rFonts w:ascii="Arial" w:hAnsi="Arial" w:cs="Arial"/>
        </w:rPr>
      </w:pPr>
      <w:r w:rsidRPr="00587F59">
        <w:rPr>
          <w:rFonts w:ascii="Arial" w:hAnsi="Arial" w:cs="Arial"/>
        </w:rPr>
        <w:t xml:space="preserve">Assignment Title: </w:t>
      </w:r>
      <w:r w:rsidR="001F29BA" w:rsidRPr="001F29BA">
        <w:rPr>
          <w:rFonts w:ascii="Arial" w:hAnsi="Arial" w:cs="Arial"/>
        </w:rPr>
        <w:t>Assessment 2: Bibliography &amp;  report</w:t>
      </w:r>
    </w:p>
    <w:p w14:paraId="7E9544AF" w14:textId="77777777" w:rsidR="00587F59" w:rsidRPr="00587F59" w:rsidRDefault="00587F59" w:rsidP="00436270">
      <w:pPr>
        <w:spacing w:line="360" w:lineRule="auto"/>
        <w:rPr>
          <w:rFonts w:ascii="Arial" w:hAnsi="Arial" w:cs="Arial"/>
        </w:rPr>
      </w:pPr>
      <w:r w:rsidRPr="00587F59">
        <w:rPr>
          <w:rFonts w:ascii="Arial" w:hAnsi="Arial" w:cs="Arial"/>
        </w:rPr>
        <w:t>Date of Submission: 18 March 2026</w:t>
      </w:r>
    </w:p>
    <w:p w14:paraId="610EE26C" w14:textId="77777777" w:rsidR="00F716C1" w:rsidRPr="00587F59" w:rsidRDefault="00F716C1" w:rsidP="00436270">
      <w:pPr>
        <w:spacing w:line="360" w:lineRule="auto"/>
        <w:rPr>
          <w:rFonts w:ascii="Arial" w:hAnsi="Arial" w:cs="Arial"/>
        </w:rPr>
      </w:pPr>
      <w:r w:rsidRPr="00587F59">
        <w:rPr>
          <w:rFonts w:ascii="Arial" w:hAnsi="Arial" w:cs="Arial"/>
        </w:rPr>
        <w:t>Supporting Psychological Wellbeing in Older Adults: Application of Erikson’s Psychosocial Theory and the Theory of Planned Behaviour</w:t>
      </w:r>
    </w:p>
    <w:p w14:paraId="13113941" w14:textId="77777777" w:rsidR="00F716C1" w:rsidRPr="00587F59" w:rsidRDefault="00F716C1" w:rsidP="00436270">
      <w:pPr>
        <w:spacing w:line="360" w:lineRule="auto"/>
        <w:rPr>
          <w:rFonts w:ascii="Arial" w:hAnsi="Arial" w:cs="Arial"/>
        </w:rPr>
      </w:pPr>
    </w:p>
    <w:p w14:paraId="3F78DFC4" w14:textId="77777777" w:rsidR="00587F59" w:rsidRPr="00587F59" w:rsidRDefault="00587F59" w:rsidP="00436270">
      <w:pPr>
        <w:spacing w:line="360" w:lineRule="auto"/>
        <w:rPr>
          <w:rFonts w:ascii="Arial" w:hAnsi="Arial" w:cs="Arial"/>
        </w:rPr>
      </w:pPr>
    </w:p>
    <w:p w14:paraId="305CCF91" w14:textId="77777777" w:rsidR="00587F59" w:rsidRPr="00587F59" w:rsidRDefault="00587F59" w:rsidP="00436270">
      <w:pPr>
        <w:spacing w:line="360" w:lineRule="auto"/>
        <w:rPr>
          <w:rFonts w:ascii="Arial" w:hAnsi="Arial" w:cs="Arial"/>
        </w:rPr>
      </w:pPr>
    </w:p>
    <w:p w14:paraId="682E81DF" w14:textId="77777777" w:rsidR="00587F59" w:rsidRDefault="00587F59" w:rsidP="00436270">
      <w:pPr>
        <w:spacing w:line="360" w:lineRule="auto"/>
        <w:rPr>
          <w:rFonts w:ascii="Arial" w:hAnsi="Arial" w:cs="Arial"/>
        </w:rPr>
      </w:pPr>
    </w:p>
    <w:p w14:paraId="3BBA4403" w14:textId="77777777" w:rsidR="00587F59" w:rsidRDefault="00587F59" w:rsidP="00436270">
      <w:pPr>
        <w:spacing w:line="360" w:lineRule="auto"/>
        <w:rPr>
          <w:rFonts w:ascii="Arial" w:hAnsi="Arial" w:cs="Arial"/>
        </w:rPr>
      </w:pPr>
    </w:p>
    <w:p w14:paraId="0CCC2721" w14:textId="77777777" w:rsidR="00587F59" w:rsidRDefault="00587F59" w:rsidP="00436270">
      <w:pPr>
        <w:spacing w:line="360" w:lineRule="auto"/>
        <w:rPr>
          <w:rFonts w:ascii="Arial" w:hAnsi="Arial" w:cs="Arial"/>
        </w:rPr>
      </w:pPr>
    </w:p>
    <w:p w14:paraId="6DCD6EE2" w14:textId="77777777" w:rsidR="00587F59" w:rsidRDefault="00587F59" w:rsidP="00436270">
      <w:pPr>
        <w:spacing w:line="360" w:lineRule="auto"/>
        <w:rPr>
          <w:rFonts w:ascii="Arial" w:hAnsi="Arial" w:cs="Arial"/>
        </w:rPr>
      </w:pPr>
    </w:p>
    <w:p w14:paraId="5EB7B292" w14:textId="77777777" w:rsidR="00587F59" w:rsidRDefault="00587F59" w:rsidP="00436270">
      <w:pPr>
        <w:spacing w:line="360" w:lineRule="auto"/>
        <w:rPr>
          <w:rFonts w:ascii="Arial" w:hAnsi="Arial" w:cs="Arial"/>
        </w:rPr>
      </w:pPr>
    </w:p>
    <w:p w14:paraId="69C4D522" w14:textId="77777777" w:rsidR="00587F59" w:rsidRDefault="00587F59" w:rsidP="00436270">
      <w:pPr>
        <w:spacing w:line="360" w:lineRule="auto"/>
        <w:rPr>
          <w:rFonts w:ascii="Arial" w:hAnsi="Arial" w:cs="Arial"/>
        </w:rPr>
      </w:pPr>
    </w:p>
    <w:p w14:paraId="62F808F8" w14:textId="77777777" w:rsidR="00587F59" w:rsidRDefault="00587F59" w:rsidP="00436270">
      <w:pPr>
        <w:spacing w:line="360" w:lineRule="auto"/>
        <w:rPr>
          <w:rFonts w:ascii="Arial" w:hAnsi="Arial" w:cs="Arial"/>
        </w:rPr>
      </w:pPr>
    </w:p>
    <w:p w14:paraId="37CF4F52" w14:textId="77777777" w:rsidR="00587F59" w:rsidRDefault="00587F59" w:rsidP="00436270">
      <w:pPr>
        <w:spacing w:line="360" w:lineRule="auto"/>
        <w:rPr>
          <w:rFonts w:ascii="Arial" w:hAnsi="Arial" w:cs="Arial"/>
        </w:rPr>
      </w:pPr>
    </w:p>
    <w:p w14:paraId="7A971DF0" w14:textId="77777777" w:rsidR="00587F59" w:rsidRDefault="00587F59" w:rsidP="00436270">
      <w:pPr>
        <w:spacing w:line="360" w:lineRule="auto"/>
        <w:rPr>
          <w:rFonts w:ascii="Arial" w:hAnsi="Arial" w:cs="Arial"/>
        </w:rPr>
      </w:pPr>
    </w:p>
    <w:p w14:paraId="34B54D0B" w14:textId="77777777" w:rsidR="00587F59" w:rsidRDefault="00587F59" w:rsidP="00436270">
      <w:pPr>
        <w:spacing w:line="360" w:lineRule="auto"/>
        <w:rPr>
          <w:rFonts w:ascii="Arial" w:hAnsi="Arial" w:cs="Arial"/>
        </w:rPr>
      </w:pPr>
    </w:p>
    <w:p w14:paraId="4186C911" w14:textId="77777777" w:rsidR="00587F59" w:rsidRDefault="00587F59" w:rsidP="00436270">
      <w:pPr>
        <w:spacing w:line="360" w:lineRule="auto"/>
        <w:rPr>
          <w:rFonts w:ascii="Arial" w:hAnsi="Arial" w:cs="Arial"/>
        </w:rPr>
      </w:pPr>
    </w:p>
    <w:p w14:paraId="247B3035" w14:textId="77777777" w:rsidR="00587F59" w:rsidRDefault="00587F59" w:rsidP="00436270">
      <w:pPr>
        <w:spacing w:line="360" w:lineRule="auto"/>
        <w:rPr>
          <w:rFonts w:ascii="Arial" w:hAnsi="Arial" w:cs="Arial"/>
        </w:rPr>
      </w:pPr>
    </w:p>
    <w:p w14:paraId="2357BB21" w14:textId="77777777" w:rsidR="00436270" w:rsidRDefault="00436270" w:rsidP="00436270">
      <w:pPr>
        <w:spacing w:line="360" w:lineRule="auto"/>
        <w:rPr>
          <w:rFonts w:ascii="Arial" w:hAnsi="Arial" w:cs="Arial"/>
        </w:rPr>
      </w:pPr>
    </w:p>
    <w:p w14:paraId="45496C6F" w14:textId="296F0677" w:rsidR="00605821" w:rsidRPr="00521338" w:rsidRDefault="00521338" w:rsidP="00436270">
      <w:pPr>
        <w:spacing w:line="360" w:lineRule="auto"/>
        <w:rPr>
          <w:rFonts w:ascii="Arial" w:hAnsi="Arial" w:cs="Arial"/>
          <w:b/>
          <w:bCs/>
        </w:rPr>
      </w:pPr>
      <w:r w:rsidRPr="00521338">
        <w:rPr>
          <w:rFonts w:ascii="Arial" w:hAnsi="Arial" w:cs="Arial"/>
          <w:b/>
          <w:bCs/>
        </w:rPr>
        <w:lastRenderedPageBreak/>
        <w:t>Part A: Annotated Bibliography</w:t>
      </w:r>
    </w:p>
    <w:p w14:paraId="540E93CB" w14:textId="14830A2C" w:rsidR="00587F59" w:rsidRPr="00587F59" w:rsidRDefault="00587F59" w:rsidP="00436270">
      <w:pPr>
        <w:spacing w:line="360" w:lineRule="auto"/>
        <w:rPr>
          <w:rFonts w:ascii="Arial" w:hAnsi="Arial" w:cs="Arial"/>
        </w:rPr>
      </w:pPr>
      <w:r w:rsidRPr="00587F59">
        <w:rPr>
          <w:rFonts w:ascii="Arial" w:hAnsi="Arial" w:cs="Arial"/>
        </w:rPr>
        <w:t>Source 1</w:t>
      </w:r>
      <w:r w:rsidR="00521338">
        <w:rPr>
          <w:rFonts w:ascii="Arial" w:hAnsi="Arial" w:cs="Arial"/>
        </w:rPr>
        <w:t xml:space="preserve">                                                                                                             </w:t>
      </w:r>
      <w:r w:rsidR="00A32B31">
        <w:rPr>
          <w:rFonts w:ascii="Arial" w:hAnsi="Arial" w:cs="Arial"/>
        </w:rPr>
        <w:t xml:space="preserve">  </w:t>
      </w:r>
      <w:r w:rsidR="00785DD3" w:rsidRPr="00785DD3">
        <w:rPr>
          <w:rFonts w:ascii="Arial" w:hAnsi="Arial" w:cs="Arial"/>
        </w:rPr>
        <w:t xml:space="preserve">Dezutter, J., Toussaint, L. and Dewitte, L. (2020) ‘Finding a balance between integrity and despair: A challenging task for older adults in residential care’, </w:t>
      </w:r>
      <w:r w:rsidR="00785DD3" w:rsidRPr="00785DD3">
        <w:rPr>
          <w:rFonts w:ascii="Arial" w:hAnsi="Arial" w:cs="Arial"/>
          <w:i/>
          <w:iCs/>
        </w:rPr>
        <w:t>Journal of Adult Development,</w:t>
      </w:r>
      <w:r w:rsidR="00785DD3" w:rsidRPr="00785DD3">
        <w:rPr>
          <w:rFonts w:ascii="Arial" w:hAnsi="Arial" w:cs="Arial"/>
        </w:rPr>
        <w:t xml:space="preserve"> 27(2), pp. 147–156.</w:t>
      </w:r>
    </w:p>
    <w:p w14:paraId="7B96B24E" w14:textId="14095878" w:rsidR="00587F59" w:rsidRPr="00587F59" w:rsidRDefault="00587F59" w:rsidP="00436270">
      <w:pPr>
        <w:spacing w:line="360" w:lineRule="auto"/>
        <w:rPr>
          <w:rFonts w:ascii="Arial" w:hAnsi="Arial" w:cs="Arial"/>
        </w:rPr>
      </w:pPr>
      <w:r w:rsidRPr="00587F59">
        <w:rPr>
          <w:rFonts w:ascii="Arial" w:hAnsi="Arial" w:cs="Arial"/>
        </w:rPr>
        <w:t>This article explores Erikson’s psychosocial theory, focusing on the stage of ego integrity versus despair in later adulthood (Erikson, 1982). The authors examine how older adults in residential care evaluate their lives through reflective processes. The findings indicate that individuals who achieve ego integrity experience greater psychological wellbeing, life satisfaction, and acceptance of ageing</w:t>
      </w:r>
      <w:r w:rsidR="00DF5884" w:rsidRPr="00DF5884">
        <w:t xml:space="preserve"> </w:t>
      </w:r>
      <w:r w:rsidR="00DF5884" w:rsidRPr="00DF5884">
        <w:rPr>
          <w:rFonts w:ascii="Arial" w:hAnsi="Arial" w:cs="Arial"/>
        </w:rPr>
        <w:t xml:space="preserve">(Dezutter </w:t>
      </w:r>
      <w:r w:rsidR="00DF5884" w:rsidRPr="00DF5884">
        <w:rPr>
          <w:rFonts w:ascii="Arial" w:hAnsi="Arial" w:cs="Arial"/>
          <w:i/>
          <w:iCs/>
        </w:rPr>
        <w:t>et al.</w:t>
      </w:r>
      <w:r w:rsidR="00DF5884" w:rsidRPr="00DF5884">
        <w:rPr>
          <w:rFonts w:ascii="Arial" w:hAnsi="Arial" w:cs="Arial"/>
        </w:rPr>
        <w:t>, 2020</w:t>
      </w:r>
      <w:r w:rsidRPr="00587F59">
        <w:rPr>
          <w:rFonts w:ascii="Arial" w:hAnsi="Arial" w:cs="Arial"/>
        </w:rPr>
        <w:t>). In contrast, those who focus on regret or unresolved experiences are more likely to experience despair, which is associated with depression and reduced wellbeing.</w:t>
      </w:r>
      <w:r w:rsidR="00C06DE5">
        <w:rPr>
          <w:rFonts w:ascii="Arial" w:hAnsi="Arial" w:cs="Arial"/>
        </w:rPr>
        <w:t xml:space="preserve">                                                                        </w:t>
      </w:r>
      <w:r w:rsidR="00CE7B46">
        <w:rPr>
          <w:rFonts w:ascii="Arial" w:hAnsi="Arial" w:cs="Arial"/>
        </w:rPr>
        <w:t xml:space="preserve">                                      </w:t>
      </w:r>
      <w:r w:rsidR="00C06DE5">
        <w:rPr>
          <w:rFonts w:ascii="Arial" w:hAnsi="Arial" w:cs="Arial"/>
        </w:rPr>
        <w:t xml:space="preserve">   </w:t>
      </w:r>
      <w:r w:rsidRPr="00587F59">
        <w:rPr>
          <w:rFonts w:ascii="Arial" w:hAnsi="Arial" w:cs="Arial"/>
        </w:rPr>
        <w:t xml:space="preserve">This source is highly relevant to health and social care practice, as it highlights the importance of supporting life review and emotional reflection in older adults. Interventions such as reminiscence therapy and life-story work can promote a sense of meaning and identity (Erikson, 1982). A key strength of this study is its direct application to residential care settings, increasing its practical </w:t>
      </w:r>
      <w:r w:rsidR="00492662">
        <w:rPr>
          <w:rFonts w:ascii="Arial" w:hAnsi="Arial" w:cs="Arial"/>
        </w:rPr>
        <w:t>importance</w:t>
      </w:r>
      <w:r w:rsidRPr="00587F59">
        <w:rPr>
          <w:rFonts w:ascii="Arial" w:hAnsi="Arial" w:cs="Arial"/>
        </w:rPr>
        <w:t>. However, the study may have limited generalisability, as it focuses specifically on institutionalised older adults, whose experiences may differ from those living independently or in different cultural contexts.</w:t>
      </w:r>
    </w:p>
    <w:p w14:paraId="1C455715" w14:textId="77777777" w:rsidR="00785DD3" w:rsidRPr="00785DD3" w:rsidRDefault="00587F59" w:rsidP="00436270">
      <w:pPr>
        <w:spacing w:line="360" w:lineRule="auto"/>
        <w:rPr>
          <w:rFonts w:ascii="Arial" w:hAnsi="Arial" w:cs="Arial"/>
        </w:rPr>
      </w:pPr>
      <w:r w:rsidRPr="00587F59">
        <w:rPr>
          <w:rFonts w:ascii="Arial" w:hAnsi="Arial" w:cs="Arial"/>
        </w:rPr>
        <w:t>Source 2</w:t>
      </w:r>
      <w:r w:rsidR="00521338">
        <w:rPr>
          <w:rFonts w:ascii="Arial" w:hAnsi="Arial" w:cs="Arial"/>
        </w:rPr>
        <w:t xml:space="preserve">                               </w:t>
      </w:r>
      <w:r w:rsidR="00785DD3">
        <w:rPr>
          <w:rFonts w:ascii="Arial" w:hAnsi="Arial" w:cs="Arial"/>
        </w:rPr>
        <w:t xml:space="preserve">                                                                                   </w:t>
      </w:r>
    </w:p>
    <w:p w14:paraId="75C8971A" w14:textId="2B2A7B99" w:rsidR="00521338" w:rsidRDefault="00785DD3" w:rsidP="00436270">
      <w:pPr>
        <w:spacing w:line="360" w:lineRule="auto"/>
        <w:rPr>
          <w:rFonts w:ascii="Arial" w:hAnsi="Arial" w:cs="Arial"/>
        </w:rPr>
      </w:pPr>
      <w:r w:rsidRPr="00785DD3">
        <w:rPr>
          <w:rFonts w:ascii="Arial" w:hAnsi="Arial" w:cs="Arial"/>
        </w:rPr>
        <w:t xml:space="preserve">Ian Stuart-Hamilton (2012) </w:t>
      </w:r>
      <w:r w:rsidRPr="00785DD3">
        <w:rPr>
          <w:rFonts w:ascii="Arial" w:hAnsi="Arial" w:cs="Arial"/>
          <w:i/>
          <w:iCs/>
        </w:rPr>
        <w:t>The Psychology of Ageing: An Introduction</w:t>
      </w:r>
      <w:r w:rsidRPr="00785DD3">
        <w:rPr>
          <w:rFonts w:ascii="Arial" w:hAnsi="Arial" w:cs="Arial"/>
        </w:rPr>
        <w:t>. 5th edn. London: Jessica Kingsley Publishers.</w:t>
      </w:r>
      <w:r>
        <w:rPr>
          <w:rFonts w:ascii="Arial" w:hAnsi="Arial" w:cs="Arial"/>
        </w:rPr>
        <w:t xml:space="preserve">                               </w:t>
      </w:r>
      <w:r w:rsidR="00521338">
        <w:rPr>
          <w:rFonts w:ascii="Arial" w:hAnsi="Arial" w:cs="Arial"/>
        </w:rPr>
        <w:t xml:space="preserve">                                                                                   </w:t>
      </w:r>
    </w:p>
    <w:p w14:paraId="03717DF3" w14:textId="77777777" w:rsidR="00036749" w:rsidRDefault="00587F59" w:rsidP="00436270">
      <w:pPr>
        <w:spacing w:line="360" w:lineRule="auto"/>
        <w:rPr>
          <w:rFonts w:ascii="Arial" w:hAnsi="Arial" w:cs="Arial"/>
        </w:rPr>
      </w:pPr>
      <w:r w:rsidRPr="00587F59">
        <w:rPr>
          <w:rFonts w:ascii="Arial" w:hAnsi="Arial" w:cs="Arial"/>
        </w:rPr>
        <w:t xml:space="preserve">This chapter examines cognitive and psychological changes associated with ageing, including memory, intelligence, and problem-solving abilities (Stuart-Hamilton, 2012). The author argues that cognitive decline </w:t>
      </w:r>
      <w:r w:rsidR="009A1BFB">
        <w:rPr>
          <w:rFonts w:ascii="Arial" w:hAnsi="Arial" w:cs="Arial"/>
        </w:rPr>
        <w:t xml:space="preserve">can be </w:t>
      </w:r>
      <w:r w:rsidR="00211F7D">
        <w:rPr>
          <w:rFonts w:ascii="Arial" w:hAnsi="Arial" w:cs="Arial"/>
        </w:rPr>
        <w:t>prevented</w:t>
      </w:r>
      <w:r w:rsidR="008418A6">
        <w:rPr>
          <w:rFonts w:ascii="Arial" w:hAnsi="Arial" w:cs="Arial"/>
        </w:rPr>
        <w:t xml:space="preserve"> </w:t>
      </w:r>
      <w:r w:rsidRPr="00587F59">
        <w:rPr>
          <w:rFonts w:ascii="Arial" w:hAnsi="Arial" w:cs="Arial"/>
        </w:rPr>
        <w:t>and that many older adults maintain strong intellectual functioning, particularly when they remain mentally and socially active. The chapter also links cognitive ageing to broader developmental theories, including Erikson’s concept of life review and meaning-making (Erikson, 1982).</w:t>
      </w:r>
      <w:r w:rsidR="00C06DE5">
        <w:rPr>
          <w:rFonts w:ascii="Arial" w:hAnsi="Arial" w:cs="Arial"/>
        </w:rPr>
        <w:t xml:space="preserve">                                                                                                                         </w:t>
      </w:r>
    </w:p>
    <w:p w14:paraId="737BF44A" w14:textId="52D0A55B" w:rsidR="00C06DE5" w:rsidRDefault="00036749" w:rsidP="00436270">
      <w:pPr>
        <w:spacing w:line="360" w:lineRule="auto"/>
        <w:rPr>
          <w:rFonts w:ascii="Arial" w:hAnsi="Arial" w:cs="Arial"/>
        </w:rPr>
      </w:pPr>
      <w:r w:rsidRPr="00036749">
        <w:rPr>
          <w:rFonts w:ascii="Arial" w:hAnsi="Arial" w:cs="Arial"/>
        </w:rPr>
        <w:lastRenderedPageBreak/>
        <w:t>This source is valuable for practitioners because it highlights the importance of environmental and social factors in maintaining wellbeing and challenges the stereotype that cognitive decline is unavoidable.</w:t>
      </w:r>
      <w:r w:rsidRPr="00587F59">
        <w:rPr>
          <w:rFonts w:ascii="Arial" w:hAnsi="Arial" w:cs="Arial"/>
        </w:rPr>
        <w:t xml:space="preserve"> It</w:t>
      </w:r>
      <w:r w:rsidR="00587F59" w:rsidRPr="00587F59">
        <w:rPr>
          <w:rFonts w:ascii="Arial" w:hAnsi="Arial" w:cs="Arial"/>
        </w:rPr>
        <w:t xml:space="preserve"> supports the use of cognitively stimulating activities in care settings to promote independence and engagement (Stuart-Hamilton, 2012). A strength of the chapter is its comprehensive overview of ageing processes. </w:t>
      </w:r>
      <w:r w:rsidR="00C15996" w:rsidRPr="00C15996">
        <w:rPr>
          <w:rFonts w:ascii="Arial" w:hAnsi="Arial" w:cs="Arial"/>
        </w:rPr>
        <w:t>However, since it is mainly theoretical and has little supporting evidence, it may be less useful for practical, evidence-based work.”</w:t>
      </w:r>
    </w:p>
    <w:p w14:paraId="271C69D3" w14:textId="77777777" w:rsidR="00BF3FA1" w:rsidRDefault="00BF3FA1" w:rsidP="00436270">
      <w:pPr>
        <w:spacing w:line="360" w:lineRule="auto"/>
        <w:rPr>
          <w:rFonts w:ascii="Arial" w:hAnsi="Arial" w:cs="Arial"/>
        </w:rPr>
      </w:pPr>
    </w:p>
    <w:p w14:paraId="6B57BE2E" w14:textId="4FBD2AB6" w:rsidR="00610D0D" w:rsidRDefault="00587F59" w:rsidP="00436270">
      <w:pPr>
        <w:spacing w:line="360" w:lineRule="auto"/>
        <w:rPr>
          <w:rFonts w:ascii="Arial" w:hAnsi="Arial" w:cs="Arial"/>
        </w:rPr>
      </w:pPr>
      <w:r w:rsidRPr="00587F59">
        <w:rPr>
          <w:rFonts w:ascii="Arial" w:hAnsi="Arial" w:cs="Arial"/>
        </w:rPr>
        <w:t>Source 3</w:t>
      </w:r>
      <w:r w:rsidR="00C06DE5">
        <w:rPr>
          <w:rFonts w:ascii="Arial" w:hAnsi="Arial" w:cs="Arial"/>
        </w:rPr>
        <w:t xml:space="preserve">   </w:t>
      </w:r>
      <w:r w:rsidR="00610D0D">
        <w:rPr>
          <w:rFonts w:ascii="Arial" w:hAnsi="Arial" w:cs="Arial"/>
        </w:rPr>
        <w:t xml:space="preserve">             </w:t>
      </w:r>
      <w:r w:rsidR="008A71A5">
        <w:rPr>
          <w:rFonts w:ascii="Arial" w:hAnsi="Arial" w:cs="Arial"/>
        </w:rPr>
        <w:t xml:space="preserve">                                                                                                         </w:t>
      </w:r>
      <w:r w:rsidR="00610D0D">
        <w:rPr>
          <w:rFonts w:ascii="Arial" w:hAnsi="Arial" w:cs="Arial"/>
        </w:rPr>
        <w:t xml:space="preserve"> </w:t>
      </w:r>
      <w:r w:rsidR="008A71A5" w:rsidRPr="008A71A5">
        <w:rPr>
          <w:rFonts w:ascii="Arial" w:hAnsi="Arial" w:cs="Arial"/>
        </w:rPr>
        <w:t xml:space="preserve">O’Neal, C.W., Wickrama, K., Ralston, P.A., Ilich, J.Z., Harris, C.M., Coccia, C., Young-Clark, I. and Lemacks, J., 2014. Eating behaviors of older African Americans: An application of the theory of planned behavior. </w:t>
      </w:r>
      <w:r w:rsidR="008A71A5" w:rsidRPr="008A71A5">
        <w:rPr>
          <w:rFonts w:ascii="Arial" w:hAnsi="Arial" w:cs="Arial"/>
          <w:i/>
          <w:iCs/>
        </w:rPr>
        <w:t>The Gerontologist</w:t>
      </w:r>
      <w:r w:rsidR="008A71A5" w:rsidRPr="008A71A5">
        <w:rPr>
          <w:rFonts w:ascii="Arial" w:hAnsi="Arial" w:cs="Arial"/>
        </w:rPr>
        <w:t>, 54(2), pp.211-220.</w:t>
      </w:r>
      <w:r w:rsidR="00610D0D">
        <w:rPr>
          <w:rFonts w:ascii="Arial" w:hAnsi="Arial" w:cs="Arial"/>
        </w:rPr>
        <w:t xml:space="preserve">                                                                                              </w:t>
      </w:r>
    </w:p>
    <w:p w14:paraId="31FFA637" w14:textId="30F96BE5" w:rsidR="00587F59" w:rsidRPr="00587F59" w:rsidRDefault="00587F59" w:rsidP="00436270">
      <w:pPr>
        <w:spacing w:line="360" w:lineRule="auto"/>
        <w:rPr>
          <w:rFonts w:ascii="Arial" w:hAnsi="Arial" w:cs="Arial"/>
        </w:rPr>
      </w:pPr>
      <w:r w:rsidRPr="00587F59">
        <w:rPr>
          <w:rFonts w:ascii="Arial" w:hAnsi="Arial" w:cs="Arial"/>
        </w:rPr>
        <w:t>This study applies the Theory of Planned Behaviour to understand dietary behaviours in older adults (Ajzen, 1991). It explores how attitudes,</w:t>
      </w:r>
      <w:r w:rsidR="001374D3">
        <w:rPr>
          <w:rFonts w:ascii="Arial" w:hAnsi="Arial" w:cs="Arial"/>
        </w:rPr>
        <w:t xml:space="preserve"> social pressure</w:t>
      </w:r>
      <w:r w:rsidRPr="00587F59">
        <w:rPr>
          <w:rFonts w:ascii="Arial" w:hAnsi="Arial" w:cs="Arial"/>
        </w:rPr>
        <w:t xml:space="preserve">, and </w:t>
      </w:r>
      <w:r w:rsidR="006174EE">
        <w:rPr>
          <w:rFonts w:ascii="Arial" w:hAnsi="Arial" w:cs="Arial"/>
        </w:rPr>
        <w:t>sense of contr</w:t>
      </w:r>
      <w:r w:rsidR="00996E1D">
        <w:rPr>
          <w:rFonts w:ascii="Arial" w:hAnsi="Arial" w:cs="Arial"/>
        </w:rPr>
        <w:t xml:space="preserve">ol </w:t>
      </w:r>
      <w:r w:rsidRPr="00587F59">
        <w:rPr>
          <w:rFonts w:ascii="Arial" w:hAnsi="Arial" w:cs="Arial"/>
        </w:rPr>
        <w:t xml:space="preserve">influence intentions to consume healthy foods. The findings suggest that positive attitudes and strong social support significantly increase the likelihood of engaging in healthy eating behaviours </w:t>
      </w:r>
      <w:r w:rsidR="008654F3" w:rsidRPr="008654F3">
        <w:rPr>
          <w:rFonts w:ascii="Arial" w:hAnsi="Arial" w:cs="Arial"/>
        </w:rPr>
        <w:t>(O’Neal et al., 2014)</w:t>
      </w:r>
      <w:r w:rsidR="008654F3">
        <w:rPr>
          <w:rFonts w:ascii="Arial" w:hAnsi="Arial" w:cs="Arial"/>
        </w:rPr>
        <w:t>.</w:t>
      </w:r>
    </w:p>
    <w:p w14:paraId="68510B75" w14:textId="663AF67F" w:rsidR="00587F59" w:rsidRPr="00587F59" w:rsidRDefault="00587F59" w:rsidP="00436270">
      <w:pPr>
        <w:spacing w:line="360" w:lineRule="auto"/>
        <w:rPr>
          <w:rFonts w:ascii="Arial" w:hAnsi="Arial" w:cs="Arial"/>
        </w:rPr>
      </w:pPr>
      <w:r w:rsidRPr="00587F59">
        <w:rPr>
          <w:rFonts w:ascii="Arial" w:hAnsi="Arial" w:cs="Arial"/>
        </w:rPr>
        <w:t xml:space="preserve">This research is relevant to health and social care as it demonstrates how psychological factors influence health-related decision-making in later life. It suggests that interventions targeting beliefs, motivation, and social influence can improve health behaviours (Ajzen, 1991). A key strength is its </w:t>
      </w:r>
      <w:r w:rsidR="007859E8">
        <w:rPr>
          <w:rFonts w:ascii="Arial" w:hAnsi="Arial" w:cs="Arial"/>
        </w:rPr>
        <w:t>experimental</w:t>
      </w:r>
      <w:r w:rsidRPr="00587F59">
        <w:rPr>
          <w:rFonts w:ascii="Arial" w:hAnsi="Arial" w:cs="Arial"/>
        </w:rPr>
        <w:t xml:space="preserve"> approach, providing measurable evidence for TPB</w:t>
      </w:r>
      <w:r w:rsidR="00782F58">
        <w:rPr>
          <w:rFonts w:ascii="Arial" w:hAnsi="Arial" w:cs="Arial"/>
        </w:rPr>
        <w:t xml:space="preserve">. </w:t>
      </w:r>
      <w:r w:rsidR="00782F58" w:rsidRPr="00782F58">
        <w:rPr>
          <w:rFonts w:ascii="Arial" w:hAnsi="Arial" w:cs="Arial"/>
        </w:rPr>
        <w:t>However, the study focuses on a specific cultural group, which may limit how well the results apply to other people and different care settings</w:t>
      </w:r>
    </w:p>
    <w:p w14:paraId="32A3FBDF" w14:textId="77777777" w:rsidR="00424219" w:rsidRDefault="00424219" w:rsidP="00436270">
      <w:pPr>
        <w:spacing w:line="360" w:lineRule="auto"/>
        <w:rPr>
          <w:rFonts w:ascii="Arial" w:hAnsi="Arial" w:cs="Arial"/>
        </w:rPr>
      </w:pPr>
    </w:p>
    <w:p w14:paraId="716E0081" w14:textId="77777777" w:rsidR="00424219" w:rsidRDefault="00424219" w:rsidP="00436270">
      <w:pPr>
        <w:spacing w:line="360" w:lineRule="auto"/>
        <w:rPr>
          <w:rFonts w:ascii="Arial" w:hAnsi="Arial" w:cs="Arial"/>
        </w:rPr>
      </w:pPr>
    </w:p>
    <w:p w14:paraId="79C84198" w14:textId="77777777" w:rsidR="00BF3FA1" w:rsidRDefault="00BF3FA1" w:rsidP="00436270">
      <w:pPr>
        <w:spacing w:line="360" w:lineRule="auto"/>
        <w:rPr>
          <w:rFonts w:ascii="Arial" w:hAnsi="Arial" w:cs="Arial"/>
        </w:rPr>
      </w:pPr>
    </w:p>
    <w:p w14:paraId="191BC5C2" w14:textId="77777777" w:rsidR="00BF3FA1" w:rsidRDefault="00BF3FA1" w:rsidP="00436270">
      <w:pPr>
        <w:spacing w:line="360" w:lineRule="auto"/>
        <w:rPr>
          <w:rFonts w:ascii="Arial" w:hAnsi="Arial" w:cs="Arial"/>
        </w:rPr>
      </w:pPr>
    </w:p>
    <w:p w14:paraId="0A6BE516" w14:textId="77777777" w:rsidR="00782F58" w:rsidRDefault="00782F58" w:rsidP="00436270">
      <w:pPr>
        <w:spacing w:line="360" w:lineRule="auto"/>
        <w:rPr>
          <w:rFonts w:ascii="Arial" w:hAnsi="Arial" w:cs="Arial"/>
        </w:rPr>
      </w:pPr>
    </w:p>
    <w:p w14:paraId="430AB74C" w14:textId="7F0F563A" w:rsidR="00231252" w:rsidRPr="00231252" w:rsidRDefault="00587F59" w:rsidP="00436270">
      <w:pPr>
        <w:spacing w:line="360" w:lineRule="auto"/>
        <w:rPr>
          <w:rFonts w:ascii="Arial" w:hAnsi="Arial" w:cs="Arial"/>
        </w:rPr>
      </w:pPr>
      <w:r w:rsidRPr="00587F59">
        <w:rPr>
          <w:rFonts w:ascii="Arial" w:hAnsi="Arial" w:cs="Arial"/>
        </w:rPr>
        <w:lastRenderedPageBreak/>
        <w:t>Source 4</w:t>
      </w:r>
      <w:r w:rsidR="0027199D">
        <w:rPr>
          <w:rFonts w:ascii="Arial" w:hAnsi="Arial" w:cs="Arial"/>
        </w:rPr>
        <w:t xml:space="preserve">  </w:t>
      </w:r>
    </w:p>
    <w:p w14:paraId="6FE80C82" w14:textId="497944CF" w:rsidR="00231252" w:rsidRDefault="00231252" w:rsidP="00436270">
      <w:pPr>
        <w:spacing w:line="360" w:lineRule="auto"/>
        <w:rPr>
          <w:rFonts w:ascii="Arial" w:hAnsi="Arial" w:cs="Arial"/>
        </w:rPr>
      </w:pPr>
      <w:r w:rsidRPr="00231252">
        <w:rPr>
          <w:rFonts w:ascii="Arial" w:hAnsi="Arial" w:cs="Arial"/>
        </w:rPr>
        <w:t xml:space="preserve">Gretebeck, K.A., Black, D.R., Blue, C.L., Glickman, L.T., Huston, S.A. and Gretebeck, R.J. (2007) ‘Physical activity and function in older adults: Theory of planned behavior’, </w:t>
      </w:r>
      <w:r w:rsidRPr="00231252">
        <w:rPr>
          <w:rFonts w:ascii="Arial" w:hAnsi="Arial" w:cs="Arial"/>
          <w:i/>
          <w:iCs/>
        </w:rPr>
        <w:t>American Journal of Health Behavior,</w:t>
      </w:r>
      <w:r w:rsidRPr="00231252">
        <w:rPr>
          <w:rFonts w:ascii="Arial" w:hAnsi="Arial" w:cs="Arial"/>
        </w:rPr>
        <w:t xml:space="preserve"> 31(2), pp. 203–214. </w:t>
      </w:r>
      <w:r w:rsidR="00102AAA">
        <w:rPr>
          <w:rFonts w:ascii="Arial" w:hAnsi="Arial" w:cs="Arial"/>
        </w:rPr>
        <w:t xml:space="preserve">                     </w:t>
      </w:r>
      <w:r w:rsidRPr="00231252">
        <w:rPr>
          <w:rFonts w:ascii="Arial" w:hAnsi="Arial" w:cs="Arial"/>
        </w:rPr>
        <w:t>doi:</w:t>
      </w:r>
      <w:r>
        <w:rPr>
          <w:rFonts w:ascii="Arial" w:hAnsi="Arial" w:cs="Arial"/>
        </w:rPr>
        <w:t xml:space="preserve"> </w:t>
      </w:r>
      <w:hyperlink r:id="rId4" w:history="1">
        <w:r w:rsidR="00102AAA" w:rsidRPr="00C47999">
          <w:rPr>
            <w:rStyle w:val="Hyperlink"/>
            <w:rFonts w:ascii="Arial" w:hAnsi="Arial" w:cs="Arial"/>
          </w:rPr>
          <w:t>https://doi.org/10.5993/AJHB.31.2.9</w:t>
        </w:r>
      </w:hyperlink>
      <w:r w:rsidR="00102AAA">
        <w:rPr>
          <w:rFonts w:ascii="Arial" w:hAnsi="Arial" w:cs="Arial"/>
        </w:rPr>
        <w:t xml:space="preserve"> </w:t>
      </w:r>
      <w:r w:rsidR="0027199D">
        <w:rPr>
          <w:rFonts w:ascii="Arial" w:hAnsi="Arial" w:cs="Arial"/>
        </w:rPr>
        <w:t xml:space="preserve">                                                                                                                  </w:t>
      </w:r>
    </w:p>
    <w:p w14:paraId="07E8E758" w14:textId="77777777" w:rsidR="00587F59" w:rsidRPr="00587F59" w:rsidRDefault="00587F59" w:rsidP="00436270">
      <w:pPr>
        <w:spacing w:line="360" w:lineRule="auto"/>
        <w:rPr>
          <w:rFonts w:ascii="Arial" w:hAnsi="Arial" w:cs="Arial"/>
        </w:rPr>
      </w:pPr>
      <w:r w:rsidRPr="00587F59">
        <w:rPr>
          <w:rFonts w:ascii="Arial" w:hAnsi="Arial" w:cs="Arial"/>
        </w:rPr>
        <w:t>This study investigates the effectiveness of the Theory of Planned Behaviour in predicting physical activity among older adults (Ajzen, 1991). The research finds that attitudes towards exercise, perceived social expectations, and perceived behavioural control significantly influence participation in physical activity (Gretebeck et al., 2007). Functional ability was also identified as a key factor affecting engagement.</w:t>
      </w:r>
    </w:p>
    <w:p w14:paraId="4BD68623" w14:textId="51352AE9" w:rsidR="00587F59" w:rsidRPr="00587F59" w:rsidRDefault="00587F59" w:rsidP="00436270">
      <w:pPr>
        <w:spacing w:line="360" w:lineRule="auto"/>
        <w:rPr>
          <w:rFonts w:ascii="Arial" w:hAnsi="Arial" w:cs="Arial"/>
        </w:rPr>
      </w:pPr>
      <w:r w:rsidRPr="00587F59">
        <w:rPr>
          <w:rFonts w:ascii="Arial" w:hAnsi="Arial" w:cs="Arial"/>
        </w:rPr>
        <w:t xml:space="preserve">This source is particularly useful in health and social care as it highlights the importance of promoting positive attitudes and confidence in physical ability to encourage active lifestyles. It supports the development of targeted interventions to maintain independence and mobility (Gretebeck et al., 2007). A strength of the study is its practical application of theory to real-world health behaviours. However, </w:t>
      </w:r>
      <w:r w:rsidR="000A42BC">
        <w:rPr>
          <w:rFonts w:ascii="Arial" w:hAnsi="Arial" w:cs="Arial"/>
        </w:rPr>
        <w:t xml:space="preserve">support </w:t>
      </w:r>
      <w:r w:rsidRPr="00587F59">
        <w:rPr>
          <w:rFonts w:ascii="Arial" w:hAnsi="Arial" w:cs="Arial"/>
        </w:rPr>
        <w:t>on self-reported data may reduce reliability, as participants may overestimate their activity levels.</w:t>
      </w:r>
    </w:p>
    <w:p w14:paraId="6BF98780" w14:textId="77777777" w:rsidR="00E221A9" w:rsidRDefault="00E221A9" w:rsidP="00436270">
      <w:pPr>
        <w:spacing w:line="360" w:lineRule="auto"/>
        <w:rPr>
          <w:rFonts w:ascii="Arial" w:hAnsi="Arial" w:cs="Arial"/>
        </w:rPr>
      </w:pPr>
    </w:p>
    <w:p w14:paraId="4443C30B" w14:textId="77777777" w:rsidR="00424219" w:rsidRDefault="00424219" w:rsidP="00436270">
      <w:pPr>
        <w:spacing w:line="360" w:lineRule="auto"/>
        <w:rPr>
          <w:rFonts w:ascii="Arial" w:hAnsi="Arial" w:cs="Arial"/>
          <w:b/>
          <w:bCs/>
        </w:rPr>
      </w:pPr>
    </w:p>
    <w:p w14:paraId="326ACD71" w14:textId="77777777" w:rsidR="00424219" w:rsidRDefault="00424219" w:rsidP="00436270">
      <w:pPr>
        <w:spacing w:line="360" w:lineRule="auto"/>
        <w:rPr>
          <w:rFonts w:ascii="Arial" w:hAnsi="Arial" w:cs="Arial"/>
          <w:b/>
          <w:bCs/>
        </w:rPr>
      </w:pPr>
    </w:p>
    <w:p w14:paraId="42C7DACB" w14:textId="77777777" w:rsidR="00424219" w:rsidRDefault="00424219" w:rsidP="00436270">
      <w:pPr>
        <w:spacing w:line="360" w:lineRule="auto"/>
        <w:rPr>
          <w:rFonts w:ascii="Arial" w:hAnsi="Arial" w:cs="Arial"/>
          <w:b/>
          <w:bCs/>
        </w:rPr>
      </w:pPr>
    </w:p>
    <w:p w14:paraId="07518308" w14:textId="77777777" w:rsidR="00424219" w:rsidRDefault="00424219" w:rsidP="00436270">
      <w:pPr>
        <w:spacing w:line="360" w:lineRule="auto"/>
        <w:rPr>
          <w:rFonts w:ascii="Arial" w:hAnsi="Arial" w:cs="Arial"/>
          <w:b/>
          <w:bCs/>
        </w:rPr>
      </w:pPr>
    </w:p>
    <w:p w14:paraId="266DC805" w14:textId="77777777" w:rsidR="00424219" w:rsidRDefault="00424219" w:rsidP="00436270">
      <w:pPr>
        <w:spacing w:line="360" w:lineRule="auto"/>
        <w:rPr>
          <w:rFonts w:ascii="Arial" w:hAnsi="Arial" w:cs="Arial"/>
          <w:b/>
          <w:bCs/>
        </w:rPr>
      </w:pPr>
    </w:p>
    <w:p w14:paraId="62E62FE0" w14:textId="77777777" w:rsidR="00424219" w:rsidRDefault="00424219" w:rsidP="00436270">
      <w:pPr>
        <w:spacing w:line="360" w:lineRule="auto"/>
        <w:rPr>
          <w:rFonts w:ascii="Arial" w:hAnsi="Arial" w:cs="Arial"/>
          <w:b/>
          <w:bCs/>
        </w:rPr>
      </w:pPr>
    </w:p>
    <w:p w14:paraId="3C5022A8" w14:textId="77777777" w:rsidR="00424219" w:rsidRDefault="00424219" w:rsidP="00436270">
      <w:pPr>
        <w:spacing w:line="360" w:lineRule="auto"/>
        <w:rPr>
          <w:rFonts w:ascii="Arial" w:hAnsi="Arial" w:cs="Arial"/>
          <w:b/>
          <w:bCs/>
        </w:rPr>
      </w:pPr>
    </w:p>
    <w:p w14:paraId="3AA50327" w14:textId="77777777" w:rsidR="00BF3FA1" w:rsidRDefault="00BF3FA1" w:rsidP="00436270">
      <w:pPr>
        <w:spacing w:line="360" w:lineRule="auto"/>
        <w:rPr>
          <w:rFonts w:ascii="Arial" w:hAnsi="Arial" w:cs="Arial"/>
          <w:b/>
          <w:bCs/>
        </w:rPr>
      </w:pPr>
    </w:p>
    <w:p w14:paraId="53633F63" w14:textId="77777777" w:rsidR="00BF3FA1" w:rsidRDefault="00BF3FA1" w:rsidP="00436270">
      <w:pPr>
        <w:spacing w:line="360" w:lineRule="auto"/>
        <w:rPr>
          <w:rFonts w:ascii="Arial" w:hAnsi="Arial" w:cs="Arial"/>
          <w:b/>
          <w:bCs/>
        </w:rPr>
      </w:pPr>
    </w:p>
    <w:p w14:paraId="536C6EED" w14:textId="77777777" w:rsidR="00BF3FA1" w:rsidRDefault="00BF3FA1" w:rsidP="00436270">
      <w:pPr>
        <w:spacing w:line="360" w:lineRule="auto"/>
        <w:rPr>
          <w:rFonts w:ascii="Arial" w:hAnsi="Arial" w:cs="Arial"/>
          <w:b/>
          <w:bCs/>
        </w:rPr>
      </w:pPr>
    </w:p>
    <w:p w14:paraId="6D7A52FE" w14:textId="2183AC0F" w:rsidR="0027199D" w:rsidRPr="00151D0B" w:rsidRDefault="0027199D" w:rsidP="00436270">
      <w:pPr>
        <w:spacing w:line="360" w:lineRule="auto"/>
        <w:rPr>
          <w:rFonts w:ascii="Arial" w:hAnsi="Arial" w:cs="Arial"/>
          <w:b/>
          <w:bCs/>
        </w:rPr>
      </w:pPr>
      <w:r w:rsidRPr="00151D0B">
        <w:rPr>
          <w:rFonts w:ascii="Arial" w:hAnsi="Arial" w:cs="Arial"/>
          <w:b/>
          <w:bCs/>
        </w:rPr>
        <w:lastRenderedPageBreak/>
        <w:t xml:space="preserve">Part B: </w:t>
      </w:r>
      <w:r w:rsidR="000E0375">
        <w:rPr>
          <w:rFonts w:ascii="Arial" w:hAnsi="Arial" w:cs="Arial"/>
          <w:b/>
          <w:bCs/>
        </w:rPr>
        <w:t>S</w:t>
      </w:r>
      <w:r w:rsidR="00151D0B" w:rsidRPr="00151D0B">
        <w:rPr>
          <w:rFonts w:ascii="Arial" w:hAnsi="Arial" w:cs="Arial"/>
          <w:b/>
          <w:bCs/>
        </w:rPr>
        <w:t xml:space="preserve">hort report </w:t>
      </w:r>
    </w:p>
    <w:p w14:paraId="1AF8A3D1" w14:textId="77777777" w:rsidR="00151D0B" w:rsidRPr="004347DF" w:rsidRDefault="00587F59" w:rsidP="00436270">
      <w:pPr>
        <w:spacing w:line="360" w:lineRule="auto"/>
        <w:rPr>
          <w:rFonts w:ascii="Arial" w:hAnsi="Arial" w:cs="Arial"/>
          <w:u w:val="single"/>
        </w:rPr>
      </w:pPr>
      <w:r w:rsidRPr="004347DF">
        <w:rPr>
          <w:rFonts w:ascii="Arial" w:hAnsi="Arial" w:cs="Arial"/>
          <w:u w:val="single"/>
        </w:rPr>
        <w:t>Introduction</w:t>
      </w:r>
    </w:p>
    <w:p w14:paraId="6898A302" w14:textId="3B37F6AD" w:rsidR="00587F59" w:rsidRPr="00587F59" w:rsidRDefault="00587F59" w:rsidP="00436270">
      <w:pPr>
        <w:spacing w:line="360" w:lineRule="auto"/>
        <w:rPr>
          <w:rFonts w:ascii="Arial" w:hAnsi="Arial" w:cs="Arial"/>
        </w:rPr>
      </w:pPr>
      <w:r w:rsidRPr="00587F59">
        <w:rPr>
          <w:rFonts w:ascii="Arial" w:hAnsi="Arial" w:cs="Arial"/>
        </w:rPr>
        <w:t>Psychological theory plays a crucial role in supporting the wellbeing of older adults in residential care (Erikson, 1982). By understanding how individuals experience ageing, health and social care professionals can provide more holistic and person-centred support</w:t>
      </w:r>
      <w:r w:rsidR="008A71A5" w:rsidRPr="008A71A5">
        <w:t xml:space="preserve"> </w:t>
      </w:r>
      <w:r w:rsidR="008A71A5" w:rsidRPr="008A71A5">
        <w:rPr>
          <w:rFonts w:ascii="Arial" w:hAnsi="Arial" w:cs="Arial"/>
        </w:rPr>
        <w:t>(Dezutter et al., 2020</w:t>
      </w:r>
      <w:r w:rsidR="008A71A5">
        <w:rPr>
          <w:rFonts w:ascii="Arial" w:hAnsi="Arial" w:cs="Arial"/>
        </w:rPr>
        <w:t>)</w:t>
      </w:r>
      <w:r w:rsidRPr="00587F59">
        <w:rPr>
          <w:rFonts w:ascii="Arial" w:hAnsi="Arial" w:cs="Arial"/>
        </w:rPr>
        <w:t>. This report focuses on Erikson’s psychosocial theory, specifically the stage of ego integrity versus despair. It explores how the theory can be applied in care settings, provides a practical example, and discusses challenges in implementation.</w:t>
      </w:r>
    </w:p>
    <w:p w14:paraId="228C9CDD" w14:textId="3BC6C80B" w:rsidR="00151D0B" w:rsidRPr="004347DF" w:rsidRDefault="00587F59" w:rsidP="00436270">
      <w:pPr>
        <w:spacing w:line="360" w:lineRule="auto"/>
        <w:rPr>
          <w:rFonts w:ascii="Arial" w:hAnsi="Arial" w:cs="Arial"/>
          <w:u w:val="single"/>
        </w:rPr>
      </w:pPr>
      <w:r w:rsidRPr="004347DF">
        <w:rPr>
          <w:rFonts w:ascii="Arial" w:hAnsi="Arial" w:cs="Arial"/>
          <w:u w:val="single"/>
        </w:rPr>
        <w:t>Explan</w:t>
      </w:r>
      <w:r w:rsidR="00EE6090">
        <w:rPr>
          <w:rFonts w:ascii="Arial" w:hAnsi="Arial" w:cs="Arial"/>
          <w:u w:val="single"/>
        </w:rPr>
        <w:t>]#</w:t>
      </w:r>
      <w:r w:rsidRPr="004347DF">
        <w:rPr>
          <w:rFonts w:ascii="Arial" w:hAnsi="Arial" w:cs="Arial"/>
          <w:u w:val="single"/>
        </w:rPr>
        <w:t>ation of the Theory</w:t>
      </w:r>
    </w:p>
    <w:p w14:paraId="6121B645" w14:textId="5F8B5D87" w:rsidR="00587F59" w:rsidRPr="00587F59" w:rsidRDefault="00587F59" w:rsidP="00436270">
      <w:pPr>
        <w:spacing w:line="360" w:lineRule="auto"/>
        <w:rPr>
          <w:rFonts w:ascii="Arial" w:hAnsi="Arial" w:cs="Arial"/>
        </w:rPr>
      </w:pPr>
      <w:r w:rsidRPr="00587F59">
        <w:rPr>
          <w:rFonts w:ascii="Arial" w:hAnsi="Arial" w:cs="Arial"/>
        </w:rPr>
        <w:t>Life review is a central process within this stage,</w:t>
      </w:r>
      <w:r w:rsidR="007444E7" w:rsidRPr="007444E7">
        <w:t xml:space="preserve"> </w:t>
      </w:r>
      <w:r w:rsidR="007444E7" w:rsidRPr="007444E7">
        <w:rPr>
          <w:rFonts w:ascii="Arial" w:hAnsi="Arial" w:cs="Arial"/>
        </w:rPr>
        <w:t>This allows individuals to reflect on their past experiences and build a coherent understanding of their identity and the meaning of those experiences.</w:t>
      </w:r>
      <w:r w:rsidRPr="00587F59">
        <w:rPr>
          <w:rFonts w:ascii="Arial" w:hAnsi="Arial" w:cs="Arial"/>
        </w:rPr>
        <w:t xml:space="preserve"> (Erikson, 1982). Achieving ego integrity involves accepting both successes and failures as part of a meaningful life </w:t>
      </w:r>
      <w:r w:rsidR="00D91C12">
        <w:rPr>
          <w:rFonts w:ascii="Arial" w:hAnsi="Arial" w:cs="Arial"/>
        </w:rPr>
        <w:t>history</w:t>
      </w:r>
      <w:r w:rsidRPr="00587F59">
        <w:rPr>
          <w:rFonts w:ascii="Arial" w:hAnsi="Arial" w:cs="Arial"/>
        </w:rPr>
        <w:t xml:space="preserve">, leading to the development of wisdom (Erikson, 1982). </w:t>
      </w:r>
      <w:r w:rsidR="00DE2465">
        <w:rPr>
          <w:rFonts w:ascii="Arial" w:hAnsi="Arial" w:cs="Arial"/>
        </w:rPr>
        <w:t>On the other hand</w:t>
      </w:r>
      <w:r w:rsidRPr="00587F59">
        <w:rPr>
          <w:rFonts w:ascii="Arial" w:hAnsi="Arial" w:cs="Arial"/>
        </w:rPr>
        <w:t xml:space="preserve">, unresolved conflicts or </w:t>
      </w:r>
      <w:r w:rsidR="00F7724D">
        <w:rPr>
          <w:rFonts w:ascii="Arial" w:hAnsi="Arial" w:cs="Arial"/>
        </w:rPr>
        <w:t>constant</w:t>
      </w:r>
      <w:r w:rsidRPr="00587F59">
        <w:rPr>
          <w:rFonts w:ascii="Arial" w:hAnsi="Arial" w:cs="Arial"/>
        </w:rPr>
        <w:t xml:space="preserve"> regret may result in despair, which is associated with negative emotional outcomes such as depression and reduced life satisfaction</w:t>
      </w:r>
      <w:r w:rsidR="00277654">
        <w:rPr>
          <w:rFonts w:ascii="Arial" w:hAnsi="Arial" w:cs="Arial"/>
        </w:rPr>
        <w:t xml:space="preserve"> </w:t>
      </w:r>
      <w:r w:rsidR="00277654" w:rsidRPr="00277654">
        <w:rPr>
          <w:rFonts w:ascii="Arial" w:hAnsi="Arial" w:cs="Arial"/>
        </w:rPr>
        <w:t>(Dezutter et al., 2020</w:t>
      </w:r>
      <w:r w:rsidR="00277654">
        <w:rPr>
          <w:rFonts w:ascii="Arial" w:hAnsi="Arial" w:cs="Arial"/>
        </w:rPr>
        <w:t>)</w:t>
      </w:r>
      <w:r w:rsidRPr="00587F59">
        <w:rPr>
          <w:rFonts w:ascii="Arial" w:hAnsi="Arial" w:cs="Arial"/>
        </w:rPr>
        <w:t xml:space="preserve"> </w:t>
      </w:r>
      <w:r w:rsidR="00DE0AB9">
        <w:rPr>
          <w:rFonts w:ascii="Arial" w:hAnsi="Arial" w:cs="Arial"/>
        </w:rPr>
        <w:t xml:space="preserve">evidence based </w:t>
      </w:r>
      <w:r w:rsidRPr="00587F59">
        <w:rPr>
          <w:rFonts w:ascii="Arial" w:hAnsi="Arial" w:cs="Arial"/>
        </w:rPr>
        <w:t xml:space="preserve">research supports this perspective, showing that older adults in residential care who achieve higher levels of ego integrity report significantly greater psychological wellbeing </w:t>
      </w:r>
      <w:r w:rsidR="00277654" w:rsidRPr="00277654">
        <w:rPr>
          <w:rFonts w:ascii="Arial" w:hAnsi="Arial" w:cs="Arial"/>
        </w:rPr>
        <w:t>(Dezutter et al., 2020</w:t>
      </w:r>
      <w:r w:rsidR="00277654">
        <w:rPr>
          <w:rFonts w:ascii="Arial" w:hAnsi="Arial" w:cs="Arial"/>
        </w:rPr>
        <w:t>)</w:t>
      </w:r>
      <w:r w:rsidR="00DE2465">
        <w:rPr>
          <w:rFonts w:ascii="Arial" w:hAnsi="Arial" w:cs="Arial"/>
        </w:rPr>
        <w:t xml:space="preserve"> </w:t>
      </w:r>
      <w:r w:rsidR="00732441">
        <w:rPr>
          <w:rFonts w:ascii="Arial" w:hAnsi="Arial" w:cs="Arial"/>
        </w:rPr>
        <w:t xml:space="preserve"> </w:t>
      </w:r>
    </w:p>
    <w:p w14:paraId="4243FD6D" w14:textId="77777777" w:rsidR="00436270" w:rsidRDefault="00436270" w:rsidP="00436270">
      <w:pPr>
        <w:spacing w:line="360" w:lineRule="auto"/>
        <w:rPr>
          <w:rFonts w:ascii="Arial" w:hAnsi="Arial" w:cs="Arial"/>
          <w:u w:val="single"/>
        </w:rPr>
      </w:pPr>
    </w:p>
    <w:p w14:paraId="6BF66B02" w14:textId="20D5B9C2" w:rsidR="00151D0B" w:rsidRPr="004347DF" w:rsidRDefault="00587F59" w:rsidP="00436270">
      <w:pPr>
        <w:spacing w:line="360" w:lineRule="auto"/>
        <w:rPr>
          <w:rFonts w:ascii="Arial" w:hAnsi="Arial" w:cs="Arial"/>
          <w:u w:val="single"/>
        </w:rPr>
      </w:pPr>
      <w:r w:rsidRPr="004347DF">
        <w:rPr>
          <w:rFonts w:ascii="Arial" w:hAnsi="Arial" w:cs="Arial"/>
          <w:u w:val="single"/>
        </w:rPr>
        <w:t>Application in Practice</w:t>
      </w:r>
    </w:p>
    <w:p w14:paraId="7D149E4B" w14:textId="0CCD72E1" w:rsidR="00587F59" w:rsidRPr="00587F59" w:rsidRDefault="00587F59" w:rsidP="00436270">
      <w:pPr>
        <w:spacing w:line="360" w:lineRule="auto"/>
        <w:rPr>
          <w:rFonts w:ascii="Arial" w:hAnsi="Arial" w:cs="Arial"/>
        </w:rPr>
      </w:pPr>
      <w:r w:rsidRPr="00587F59">
        <w:rPr>
          <w:rFonts w:ascii="Arial" w:hAnsi="Arial" w:cs="Arial"/>
        </w:rPr>
        <w:t>Erikson’s theory can be applied through interventions that support reflection and identity. Reminiscence therapy, storytelling, and life history work enable residents to share experiences and construct meaning, supporting ego integrity (Erikson, 1982).Th</w:t>
      </w:r>
      <w:r w:rsidR="00227267">
        <w:rPr>
          <w:rFonts w:ascii="Arial" w:hAnsi="Arial" w:cs="Arial"/>
        </w:rPr>
        <w:t xml:space="preserve">e </w:t>
      </w:r>
      <w:r w:rsidRPr="00587F59">
        <w:rPr>
          <w:rFonts w:ascii="Arial" w:hAnsi="Arial" w:cs="Arial"/>
        </w:rPr>
        <w:t xml:space="preserve">theory also helps professionals </w:t>
      </w:r>
      <w:r w:rsidR="00227267">
        <w:rPr>
          <w:rFonts w:ascii="Arial" w:hAnsi="Arial" w:cs="Arial"/>
        </w:rPr>
        <w:t xml:space="preserve">understand </w:t>
      </w:r>
      <w:r w:rsidRPr="00587F59">
        <w:rPr>
          <w:rFonts w:ascii="Arial" w:hAnsi="Arial" w:cs="Arial"/>
        </w:rPr>
        <w:t xml:space="preserve">behaviours more effectively. For example, withdrawal or low mood may reflect unresolved </w:t>
      </w:r>
      <w:r w:rsidR="00F93547">
        <w:rPr>
          <w:rFonts w:ascii="Arial" w:hAnsi="Arial" w:cs="Arial"/>
        </w:rPr>
        <w:t>sorrow</w:t>
      </w:r>
      <w:r w:rsidRPr="00587F59">
        <w:rPr>
          <w:rFonts w:ascii="Arial" w:hAnsi="Arial" w:cs="Arial"/>
        </w:rPr>
        <w:t xml:space="preserve"> rather than normal ageing, allowing for more empathetic responses</w:t>
      </w:r>
      <w:r w:rsidR="000E0375">
        <w:rPr>
          <w:rFonts w:ascii="Arial" w:hAnsi="Arial" w:cs="Arial"/>
        </w:rPr>
        <w:t xml:space="preserve"> </w:t>
      </w:r>
      <w:r w:rsidR="00277654" w:rsidRPr="00277654">
        <w:rPr>
          <w:rFonts w:ascii="Arial" w:hAnsi="Arial" w:cs="Arial"/>
        </w:rPr>
        <w:t>(Dezutter et al., 2020</w:t>
      </w:r>
      <w:r w:rsidR="00277654">
        <w:rPr>
          <w:rFonts w:ascii="Arial" w:hAnsi="Arial" w:cs="Arial"/>
        </w:rPr>
        <w:t>)</w:t>
      </w:r>
      <w:r w:rsidRPr="00587F59">
        <w:rPr>
          <w:rFonts w:ascii="Arial" w:hAnsi="Arial" w:cs="Arial"/>
        </w:rPr>
        <w:t>. Overall, applying this theory supports person-centred care by valuing each individual’s life story and promoting dignity and wellbeing.</w:t>
      </w:r>
    </w:p>
    <w:p w14:paraId="7DEA2810" w14:textId="77777777" w:rsidR="00424219" w:rsidRDefault="00424219" w:rsidP="00436270">
      <w:pPr>
        <w:spacing w:line="360" w:lineRule="auto"/>
        <w:rPr>
          <w:rFonts w:ascii="Arial" w:hAnsi="Arial" w:cs="Arial"/>
          <w:u w:val="single"/>
        </w:rPr>
      </w:pPr>
    </w:p>
    <w:p w14:paraId="5B1E0C8A" w14:textId="694E5A46" w:rsidR="00587F59" w:rsidRPr="004347DF" w:rsidRDefault="00587F59" w:rsidP="00436270">
      <w:pPr>
        <w:spacing w:line="360" w:lineRule="auto"/>
        <w:rPr>
          <w:rFonts w:ascii="Arial" w:hAnsi="Arial" w:cs="Arial"/>
          <w:u w:val="single"/>
        </w:rPr>
      </w:pPr>
      <w:r w:rsidRPr="004347DF">
        <w:rPr>
          <w:rFonts w:ascii="Arial" w:hAnsi="Arial" w:cs="Arial"/>
          <w:u w:val="single"/>
        </w:rPr>
        <w:t>Real-World Example</w:t>
      </w:r>
    </w:p>
    <w:p w14:paraId="201E3DB3" w14:textId="417B55C5" w:rsidR="004347DF" w:rsidRDefault="00587F59" w:rsidP="00436270">
      <w:pPr>
        <w:spacing w:line="360" w:lineRule="auto"/>
        <w:rPr>
          <w:rFonts w:ascii="Arial" w:hAnsi="Arial" w:cs="Arial"/>
        </w:rPr>
      </w:pPr>
      <w:r w:rsidRPr="00587F59">
        <w:rPr>
          <w:rFonts w:ascii="Arial" w:hAnsi="Arial" w:cs="Arial"/>
        </w:rPr>
        <w:t>An 8</w:t>
      </w:r>
      <w:r w:rsidR="00E85B31">
        <w:rPr>
          <w:rFonts w:ascii="Arial" w:hAnsi="Arial" w:cs="Arial"/>
        </w:rPr>
        <w:t>2</w:t>
      </w:r>
      <w:r w:rsidRPr="00587F59">
        <w:rPr>
          <w:rFonts w:ascii="Arial" w:hAnsi="Arial" w:cs="Arial"/>
        </w:rPr>
        <w:t xml:space="preserve">-year-old resident began to withdraw from social interaction and showed signs of low mood. Staff, using Erikson’s theory, identified possible feelings of </w:t>
      </w:r>
      <w:r w:rsidR="005D5E15">
        <w:rPr>
          <w:rFonts w:ascii="Arial" w:hAnsi="Arial" w:cs="Arial"/>
        </w:rPr>
        <w:t xml:space="preserve">distress </w:t>
      </w:r>
      <w:r w:rsidRPr="00587F59">
        <w:rPr>
          <w:rFonts w:ascii="Arial" w:hAnsi="Arial" w:cs="Arial"/>
        </w:rPr>
        <w:t>(Erikson, 1982).</w:t>
      </w:r>
      <w:r w:rsidR="00E221A9">
        <w:rPr>
          <w:rFonts w:ascii="Arial" w:hAnsi="Arial" w:cs="Arial"/>
        </w:rPr>
        <w:t xml:space="preserve">                                                                                                       </w:t>
      </w:r>
      <w:r w:rsidRPr="00587F59">
        <w:rPr>
          <w:rFonts w:ascii="Arial" w:hAnsi="Arial" w:cs="Arial"/>
        </w:rPr>
        <w:t xml:space="preserve">They introduced reminiscence sessions and supported the resident in creating a life story book. Over time, the resident became more engaged and reported improved mood and wellbeing </w:t>
      </w:r>
      <w:r w:rsidR="008E2EB6" w:rsidRPr="008E2EB6">
        <w:rPr>
          <w:rFonts w:ascii="Arial" w:hAnsi="Arial" w:cs="Arial"/>
        </w:rPr>
        <w:t>(Dezutter et al., 2020</w:t>
      </w:r>
      <w:r w:rsidR="008E2EB6">
        <w:rPr>
          <w:rFonts w:ascii="Arial" w:hAnsi="Arial" w:cs="Arial"/>
        </w:rPr>
        <w:t>)</w:t>
      </w:r>
      <w:r w:rsidR="00B40443">
        <w:rPr>
          <w:rFonts w:ascii="Arial" w:hAnsi="Arial" w:cs="Arial"/>
        </w:rPr>
        <w:t>.</w:t>
      </w:r>
    </w:p>
    <w:p w14:paraId="5CF6A01A" w14:textId="06AFAAEE" w:rsidR="00587F59" w:rsidRPr="00587F59" w:rsidRDefault="00587F59" w:rsidP="00436270">
      <w:pPr>
        <w:spacing w:line="360" w:lineRule="auto"/>
        <w:rPr>
          <w:rFonts w:ascii="Arial" w:hAnsi="Arial" w:cs="Arial"/>
        </w:rPr>
      </w:pPr>
      <w:r w:rsidRPr="004347DF">
        <w:rPr>
          <w:rFonts w:ascii="Arial" w:hAnsi="Arial" w:cs="Arial"/>
          <w:u w:val="single"/>
        </w:rPr>
        <w:t>Challenges and Strategies</w:t>
      </w:r>
      <w:r w:rsidR="00E221A9">
        <w:rPr>
          <w:rFonts w:ascii="Arial" w:hAnsi="Arial" w:cs="Arial"/>
        </w:rPr>
        <w:t xml:space="preserve">                                                                                            </w:t>
      </w:r>
      <w:r w:rsidRPr="00587F59">
        <w:rPr>
          <w:rFonts w:ascii="Arial" w:hAnsi="Arial" w:cs="Arial"/>
        </w:rPr>
        <w:t>A key challenge is limited time and staffing, which can result in psychological needs being overlooked (National Institute for Health and Care Excellence, 2018).</w:t>
      </w:r>
      <w:r w:rsidR="00E221A9">
        <w:rPr>
          <w:rFonts w:ascii="Arial" w:hAnsi="Arial" w:cs="Arial"/>
        </w:rPr>
        <w:t xml:space="preserve"> </w:t>
      </w:r>
      <w:r w:rsidRPr="00587F59">
        <w:rPr>
          <w:rFonts w:ascii="Arial" w:hAnsi="Arial" w:cs="Arial"/>
        </w:rPr>
        <w:t>Professionals can integrate meaningful conversations into daily care routines. Staff training in communication and person-centred care can also improve confidence in addressing emotional needs (Age UK, 2023).</w:t>
      </w:r>
    </w:p>
    <w:p w14:paraId="4AE2A6AB" w14:textId="6548A29A" w:rsidR="00436270" w:rsidRPr="00E221A9" w:rsidRDefault="00587F59" w:rsidP="00436270">
      <w:pPr>
        <w:spacing w:line="360" w:lineRule="auto"/>
        <w:rPr>
          <w:rFonts w:ascii="Arial" w:hAnsi="Arial" w:cs="Arial"/>
          <w:u w:val="single"/>
        </w:rPr>
      </w:pPr>
      <w:r w:rsidRPr="004347DF">
        <w:rPr>
          <w:rFonts w:ascii="Arial" w:hAnsi="Arial" w:cs="Arial"/>
          <w:u w:val="single"/>
        </w:rPr>
        <w:t>Conclusion</w:t>
      </w:r>
      <w:r w:rsidR="00E221A9">
        <w:rPr>
          <w:rFonts w:ascii="Arial" w:hAnsi="Arial" w:cs="Arial"/>
          <w:u w:val="single"/>
        </w:rPr>
        <w:t xml:space="preserve">  </w:t>
      </w:r>
      <w:r w:rsidR="00E221A9">
        <w:rPr>
          <w:rFonts w:ascii="Arial" w:hAnsi="Arial" w:cs="Arial"/>
        </w:rPr>
        <w:t xml:space="preserve">                                                                                                           </w:t>
      </w:r>
      <w:r w:rsidRPr="00587F59">
        <w:rPr>
          <w:rFonts w:ascii="Arial" w:hAnsi="Arial" w:cs="Arial"/>
        </w:rPr>
        <w:t xml:space="preserve">Erikson’s psychosocial theory provides a valuable framework for understanding the emotional needs of older adults (Erikson, 1982). Supporting life reflection and identity </w:t>
      </w:r>
      <w:r w:rsidR="00CE2613">
        <w:rPr>
          <w:rFonts w:ascii="Arial" w:hAnsi="Arial" w:cs="Arial"/>
        </w:rPr>
        <w:t xml:space="preserve">supports </w:t>
      </w:r>
      <w:r w:rsidRPr="00587F59">
        <w:rPr>
          <w:rFonts w:ascii="Arial" w:hAnsi="Arial" w:cs="Arial"/>
        </w:rPr>
        <w:t xml:space="preserve"> wellbeing and improves quality of life. </w:t>
      </w:r>
      <w:r w:rsidR="00DF3C91">
        <w:rPr>
          <w:rFonts w:ascii="Arial" w:hAnsi="Arial" w:cs="Arial"/>
        </w:rPr>
        <w:t xml:space="preserve">Combining </w:t>
      </w:r>
      <w:r w:rsidRPr="00587F59">
        <w:rPr>
          <w:rFonts w:ascii="Arial" w:hAnsi="Arial" w:cs="Arial"/>
        </w:rPr>
        <w:t xml:space="preserve">psychological theory into everyday care, rather than focusing </w:t>
      </w:r>
      <w:r w:rsidR="00592661" w:rsidRPr="00587F59">
        <w:rPr>
          <w:rFonts w:ascii="Arial" w:hAnsi="Arial" w:cs="Arial"/>
        </w:rPr>
        <w:t>s</w:t>
      </w:r>
      <w:r w:rsidR="00592661">
        <w:rPr>
          <w:rFonts w:ascii="Arial" w:hAnsi="Arial" w:cs="Arial"/>
        </w:rPr>
        <w:t>pecifically</w:t>
      </w:r>
      <w:r w:rsidRPr="00587F59">
        <w:rPr>
          <w:rFonts w:ascii="Arial" w:hAnsi="Arial" w:cs="Arial"/>
        </w:rPr>
        <w:t xml:space="preserve"> on physical needs, </w:t>
      </w:r>
      <w:r w:rsidR="00A61DD0">
        <w:rPr>
          <w:rFonts w:ascii="Arial" w:hAnsi="Arial" w:cs="Arial"/>
        </w:rPr>
        <w:t xml:space="preserve">improves </w:t>
      </w:r>
      <w:r w:rsidRPr="00587F59">
        <w:rPr>
          <w:rFonts w:ascii="Arial" w:hAnsi="Arial" w:cs="Arial"/>
        </w:rPr>
        <w:t xml:space="preserve">both care quality and residents’ lived experience </w:t>
      </w:r>
      <w:r w:rsidR="009406D5" w:rsidRPr="009406D5">
        <w:rPr>
          <w:rFonts w:ascii="Arial" w:hAnsi="Arial" w:cs="Arial"/>
        </w:rPr>
        <w:t xml:space="preserve">(Dezutter </w:t>
      </w:r>
      <w:r w:rsidR="009406D5" w:rsidRPr="009406D5">
        <w:rPr>
          <w:rFonts w:ascii="Arial" w:hAnsi="Arial" w:cs="Arial"/>
          <w:i/>
          <w:iCs/>
        </w:rPr>
        <w:t>et al.</w:t>
      </w:r>
      <w:r w:rsidR="009406D5" w:rsidRPr="009406D5">
        <w:rPr>
          <w:rFonts w:ascii="Arial" w:hAnsi="Arial" w:cs="Arial"/>
        </w:rPr>
        <w:t>, 2020</w:t>
      </w:r>
      <w:r w:rsidR="00507788">
        <w:rPr>
          <w:rFonts w:ascii="Arial" w:hAnsi="Arial" w:cs="Arial"/>
        </w:rPr>
        <w:t>;</w:t>
      </w:r>
      <w:r w:rsidR="00B43E0B">
        <w:rPr>
          <w:rFonts w:ascii="Arial" w:hAnsi="Arial" w:cs="Arial"/>
        </w:rPr>
        <w:t xml:space="preserve"> </w:t>
      </w:r>
      <w:r w:rsidRPr="00587F59">
        <w:rPr>
          <w:rFonts w:ascii="Arial" w:hAnsi="Arial" w:cs="Arial"/>
        </w:rPr>
        <w:t>Age UK, 2023). Despite practical challenges, simple and integrated approaches can ensure effective implementation in residential settings</w:t>
      </w:r>
      <w:r w:rsidR="00A5395F">
        <w:rPr>
          <w:rFonts w:ascii="Arial" w:hAnsi="Arial" w:cs="Arial"/>
        </w:rPr>
        <w:t>.</w:t>
      </w:r>
    </w:p>
    <w:p w14:paraId="11741133" w14:textId="77777777" w:rsidR="00151ED0" w:rsidRDefault="00151ED0" w:rsidP="00436270">
      <w:pPr>
        <w:spacing w:line="360" w:lineRule="auto"/>
        <w:rPr>
          <w:rFonts w:ascii="Arial" w:hAnsi="Arial" w:cs="Arial"/>
        </w:rPr>
      </w:pPr>
    </w:p>
    <w:p w14:paraId="0D2EC682" w14:textId="77777777" w:rsidR="00151ED0" w:rsidRDefault="00151ED0" w:rsidP="00436270">
      <w:pPr>
        <w:spacing w:line="360" w:lineRule="auto"/>
        <w:rPr>
          <w:rFonts w:ascii="Arial" w:hAnsi="Arial" w:cs="Arial"/>
        </w:rPr>
      </w:pPr>
    </w:p>
    <w:p w14:paraId="5A5742C2" w14:textId="77777777" w:rsidR="00151ED0" w:rsidRDefault="00151ED0" w:rsidP="00436270">
      <w:pPr>
        <w:spacing w:line="360" w:lineRule="auto"/>
        <w:rPr>
          <w:rFonts w:ascii="Arial" w:hAnsi="Arial" w:cs="Arial"/>
        </w:rPr>
      </w:pPr>
    </w:p>
    <w:p w14:paraId="4B4D9AF3" w14:textId="77777777" w:rsidR="00151ED0" w:rsidRDefault="00151ED0" w:rsidP="00436270">
      <w:pPr>
        <w:spacing w:line="360" w:lineRule="auto"/>
        <w:rPr>
          <w:rFonts w:ascii="Arial" w:hAnsi="Arial" w:cs="Arial"/>
        </w:rPr>
      </w:pPr>
    </w:p>
    <w:p w14:paraId="1DF3BFF5" w14:textId="77777777" w:rsidR="00151ED0" w:rsidRDefault="00151ED0" w:rsidP="00436270">
      <w:pPr>
        <w:spacing w:line="360" w:lineRule="auto"/>
        <w:rPr>
          <w:rFonts w:ascii="Arial" w:hAnsi="Arial" w:cs="Arial"/>
        </w:rPr>
      </w:pPr>
    </w:p>
    <w:p w14:paraId="501800F8" w14:textId="77777777" w:rsidR="00151ED0" w:rsidRDefault="00151ED0" w:rsidP="00436270">
      <w:pPr>
        <w:spacing w:line="360" w:lineRule="auto"/>
        <w:rPr>
          <w:rFonts w:ascii="Arial" w:hAnsi="Arial" w:cs="Arial"/>
        </w:rPr>
      </w:pPr>
    </w:p>
    <w:p w14:paraId="0485EF6A" w14:textId="77777777" w:rsidR="00151ED0" w:rsidRDefault="00151ED0" w:rsidP="00436270">
      <w:pPr>
        <w:spacing w:line="360" w:lineRule="auto"/>
        <w:rPr>
          <w:rFonts w:ascii="Arial" w:hAnsi="Arial" w:cs="Arial"/>
        </w:rPr>
      </w:pPr>
    </w:p>
    <w:p w14:paraId="700F7715" w14:textId="77777777" w:rsidR="00151ED0" w:rsidRDefault="00151ED0" w:rsidP="00436270">
      <w:pPr>
        <w:spacing w:line="360" w:lineRule="auto"/>
        <w:rPr>
          <w:rFonts w:ascii="Arial" w:hAnsi="Arial" w:cs="Arial"/>
        </w:rPr>
      </w:pPr>
    </w:p>
    <w:p w14:paraId="39BD0844" w14:textId="213E5A00" w:rsidR="00587F59" w:rsidRPr="00587F59" w:rsidRDefault="00587F59" w:rsidP="00436270">
      <w:pPr>
        <w:spacing w:line="360" w:lineRule="auto"/>
        <w:rPr>
          <w:rFonts w:ascii="Arial" w:hAnsi="Arial" w:cs="Arial"/>
        </w:rPr>
      </w:pPr>
      <w:r w:rsidRPr="00587F59">
        <w:rPr>
          <w:rFonts w:ascii="Arial" w:hAnsi="Arial" w:cs="Arial"/>
        </w:rPr>
        <w:t xml:space="preserve">References </w:t>
      </w:r>
    </w:p>
    <w:p w14:paraId="645EDC59" w14:textId="77777777" w:rsidR="000B35F2" w:rsidRPr="000B35F2" w:rsidRDefault="000B35F2" w:rsidP="000B35F2">
      <w:pPr>
        <w:rPr>
          <w:rFonts w:ascii="Arial" w:hAnsi="Arial" w:cs="Arial"/>
        </w:rPr>
      </w:pPr>
      <w:r w:rsidRPr="000B35F2">
        <w:rPr>
          <w:rFonts w:ascii="Arial" w:hAnsi="Arial" w:cs="Arial"/>
        </w:rPr>
        <w:t xml:space="preserve">Icek Ajzen (1991) ‘The theory of planned behavior’, </w:t>
      </w:r>
      <w:r w:rsidRPr="00E221A9">
        <w:rPr>
          <w:rFonts w:ascii="Arial" w:hAnsi="Arial" w:cs="Arial"/>
          <w:i/>
          <w:iCs/>
        </w:rPr>
        <w:t>Organizational Behavior and Human Decision Processes</w:t>
      </w:r>
      <w:r w:rsidRPr="000B35F2">
        <w:rPr>
          <w:rFonts w:ascii="Arial" w:hAnsi="Arial" w:cs="Arial"/>
        </w:rPr>
        <w:t>, 50(2), pp. 179–211.</w:t>
      </w:r>
    </w:p>
    <w:p w14:paraId="51F6B1A5" w14:textId="613EA5F5" w:rsidR="000B35F2" w:rsidRPr="000B35F2" w:rsidRDefault="000B35F2" w:rsidP="000B35F2">
      <w:pPr>
        <w:rPr>
          <w:rFonts w:ascii="Arial" w:hAnsi="Arial" w:cs="Arial"/>
        </w:rPr>
      </w:pPr>
      <w:r w:rsidRPr="000B35F2">
        <w:rPr>
          <w:rFonts w:ascii="Arial" w:hAnsi="Arial" w:cs="Arial"/>
        </w:rPr>
        <w:t xml:space="preserve">Age UK (2023) </w:t>
      </w:r>
      <w:r w:rsidRPr="00E221A9">
        <w:rPr>
          <w:rFonts w:ascii="Arial" w:hAnsi="Arial" w:cs="Arial"/>
          <w:i/>
          <w:iCs/>
        </w:rPr>
        <w:t>Later life wellbeing</w:t>
      </w:r>
      <w:r w:rsidRPr="000B35F2">
        <w:rPr>
          <w:rFonts w:ascii="Arial" w:hAnsi="Arial" w:cs="Arial"/>
        </w:rPr>
        <w:t xml:space="preserve">. Available at: </w:t>
      </w:r>
      <w:hyperlink r:id="rId5" w:history="1">
        <w:r w:rsidR="00E221A9" w:rsidRPr="00C47999">
          <w:rPr>
            <w:rStyle w:val="Hyperlink"/>
            <w:rFonts w:ascii="Arial" w:hAnsi="Arial" w:cs="Arial"/>
          </w:rPr>
          <w:t>https://www.ageuk.org.uk</w:t>
        </w:r>
      </w:hyperlink>
      <w:r w:rsidR="00E221A9">
        <w:rPr>
          <w:rFonts w:ascii="Arial" w:hAnsi="Arial" w:cs="Arial"/>
        </w:rPr>
        <w:t xml:space="preserve"> </w:t>
      </w:r>
    </w:p>
    <w:p w14:paraId="7073170F" w14:textId="54F35D4A" w:rsidR="000B35F2" w:rsidRPr="000B35F2" w:rsidRDefault="000B35F2" w:rsidP="000B35F2">
      <w:pPr>
        <w:rPr>
          <w:rFonts w:ascii="Arial" w:hAnsi="Arial" w:cs="Arial"/>
        </w:rPr>
      </w:pPr>
      <w:r w:rsidRPr="000B35F2">
        <w:rPr>
          <w:rFonts w:ascii="Arial" w:hAnsi="Arial" w:cs="Arial"/>
        </w:rPr>
        <w:t xml:space="preserve">Dezutter, J., Toussaint, L. and Dewitte, L. (2020) ‘Finding a balance between integrity and despair: A challenging task for older adults in residential care’, </w:t>
      </w:r>
      <w:r w:rsidRPr="00E221A9">
        <w:rPr>
          <w:rFonts w:ascii="Arial" w:hAnsi="Arial" w:cs="Arial"/>
          <w:i/>
          <w:iCs/>
        </w:rPr>
        <w:t>Journal of Adult Development,</w:t>
      </w:r>
      <w:r w:rsidRPr="000B35F2">
        <w:rPr>
          <w:rFonts w:ascii="Arial" w:hAnsi="Arial" w:cs="Arial"/>
        </w:rPr>
        <w:t xml:space="preserve"> 27(2), pp. 147–156. doi:10.1007/s10804-019-09332-1</w:t>
      </w:r>
    </w:p>
    <w:p w14:paraId="1A9CADE5" w14:textId="77777777" w:rsidR="000B35F2" w:rsidRPr="000B35F2" w:rsidRDefault="000B35F2" w:rsidP="000B35F2">
      <w:pPr>
        <w:rPr>
          <w:rFonts w:ascii="Arial" w:hAnsi="Arial" w:cs="Arial"/>
        </w:rPr>
      </w:pPr>
      <w:r w:rsidRPr="000B35F2">
        <w:rPr>
          <w:rFonts w:ascii="Arial" w:hAnsi="Arial" w:cs="Arial"/>
        </w:rPr>
        <w:t xml:space="preserve">Erik Erikson (1982) </w:t>
      </w:r>
      <w:r w:rsidRPr="00E221A9">
        <w:rPr>
          <w:rFonts w:ascii="Arial" w:hAnsi="Arial" w:cs="Arial"/>
          <w:i/>
          <w:iCs/>
        </w:rPr>
        <w:t>The Life Cycle Completed.</w:t>
      </w:r>
      <w:r w:rsidRPr="000B35F2">
        <w:rPr>
          <w:rFonts w:ascii="Arial" w:hAnsi="Arial" w:cs="Arial"/>
        </w:rPr>
        <w:t xml:space="preserve"> New York: Norton.</w:t>
      </w:r>
    </w:p>
    <w:p w14:paraId="1BB4C218" w14:textId="77777777" w:rsidR="000B35F2" w:rsidRPr="000B35F2" w:rsidRDefault="000B35F2" w:rsidP="000B35F2">
      <w:pPr>
        <w:rPr>
          <w:rFonts w:ascii="Arial" w:hAnsi="Arial" w:cs="Arial"/>
        </w:rPr>
      </w:pPr>
      <w:r w:rsidRPr="000B35F2">
        <w:rPr>
          <w:rFonts w:ascii="Arial" w:hAnsi="Arial" w:cs="Arial"/>
        </w:rPr>
        <w:t xml:space="preserve">Gretebeck, K.A., Black, D.R., Blue, C.L., Glickman, L.T., Huston, S.A. and Gretebeck, R.J. (2007) ‘Physical activity and function in older adults: Theory of planned behavior’, </w:t>
      </w:r>
      <w:r w:rsidRPr="00552FD3">
        <w:rPr>
          <w:rFonts w:ascii="Arial" w:hAnsi="Arial" w:cs="Arial"/>
          <w:i/>
          <w:iCs/>
        </w:rPr>
        <w:t>American Journal of Health Behavior</w:t>
      </w:r>
      <w:r w:rsidRPr="000B35F2">
        <w:rPr>
          <w:rFonts w:ascii="Arial" w:hAnsi="Arial" w:cs="Arial"/>
        </w:rPr>
        <w:t>, 31(2), pp. 203–214. doi:10.5993/AJHB.31.2.9</w:t>
      </w:r>
    </w:p>
    <w:p w14:paraId="5022FEAB" w14:textId="77777777" w:rsidR="000B35F2" w:rsidRPr="000B35F2" w:rsidRDefault="000B35F2" w:rsidP="000B35F2">
      <w:pPr>
        <w:rPr>
          <w:rFonts w:ascii="Arial" w:hAnsi="Arial" w:cs="Arial"/>
        </w:rPr>
      </w:pPr>
      <w:r w:rsidRPr="000B35F2">
        <w:rPr>
          <w:rFonts w:ascii="Arial" w:hAnsi="Arial" w:cs="Arial"/>
        </w:rPr>
        <w:t xml:space="preserve">National Institute for Health and Care Excellence (2015) </w:t>
      </w:r>
      <w:r w:rsidRPr="00552FD3">
        <w:rPr>
          <w:rFonts w:ascii="Arial" w:hAnsi="Arial" w:cs="Arial"/>
          <w:i/>
          <w:iCs/>
        </w:rPr>
        <w:t>Older people: independence and mental wellbeing (NG32)</w:t>
      </w:r>
      <w:r w:rsidRPr="000B35F2">
        <w:rPr>
          <w:rFonts w:ascii="Arial" w:hAnsi="Arial" w:cs="Arial"/>
        </w:rPr>
        <w:t>. London: NICE.</w:t>
      </w:r>
    </w:p>
    <w:p w14:paraId="71B3B6E8" w14:textId="3A6E3F81" w:rsidR="000B35F2" w:rsidRPr="000B35F2" w:rsidRDefault="000B35F2" w:rsidP="000B35F2">
      <w:pPr>
        <w:rPr>
          <w:rFonts w:ascii="Arial" w:hAnsi="Arial" w:cs="Arial"/>
        </w:rPr>
      </w:pPr>
      <w:r w:rsidRPr="000B35F2">
        <w:rPr>
          <w:rFonts w:ascii="Arial" w:hAnsi="Arial" w:cs="Arial"/>
        </w:rPr>
        <w:t xml:space="preserve">O’Neal, C.W., Wickrama, K., Ralston, P.A., Ilich, J.Z., Harris, C.M., Coccia, C., Young-Clark, I. and Lemacks, J. (2014) ‘Eating behaviors of older African Americans: An application of the theory of planned behavior’, </w:t>
      </w:r>
      <w:r w:rsidRPr="00552FD3">
        <w:rPr>
          <w:rFonts w:ascii="Arial" w:hAnsi="Arial" w:cs="Arial"/>
          <w:i/>
          <w:iCs/>
        </w:rPr>
        <w:t>The Gerontologist</w:t>
      </w:r>
      <w:r w:rsidRPr="000B35F2">
        <w:rPr>
          <w:rFonts w:ascii="Arial" w:hAnsi="Arial" w:cs="Arial"/>
        </w:rPr>
        <w:t>, 54(2), pp. 211–220. doi:10.1093/geront/gns155</w:t>
      </w:r>
      <w:r w:rsidR="004F2BE3">
        <w:rPr>
          <w:rFonts w:ascii="Arial" w:hAnsi="Arial" w:cs="Arial"/>
        </w:rPr>
        <w:t xml:space="preserve"> </w:t>
      </w:r>
    </w:p>
    <w:p w14:paraId="3189458F" w14:textId="4C046F18" w:rsidR="00873783" w:rsidRPr="0004606C" w:rsidRDefault="000B35F2" w:rsidP="000B35F2">
      <w:pPr>
        <w:rPr>
          <w:rFonts w:ascii="Arial" w:hAnsi="Arial" w:cs="Arial"/>
        </w:rPr>
      </w:pPr>
      <w:r w:rsidRPr="000B35F2">
        <w:rPr>
          <w:rFonts w:ascii="Arial" w:hAnsi="Arial" w:cs="Arial"/>
        </w:rPr>
        <w:t xml:space="preserve">Ian Stuart-Hamilton (2012) </w:t>
      </w:r>
      <w:r w:rsidRPr="00552FD3">
        <w:rPr>
          <w:rFonts w:ascii="Arial" w:hAnsi="Arial" w:cs="Arial"/>
          <w:i/>
          <w:iCs/>
        </w:rPr>
        <w:t>The Psychology of Ageing: An Introduction</w:t>
      </w:r>
      <w:r w:rsidRPr="000B35F2">
        <w:rPr>
          <w:rFonts w:ascii="Arial" w:hAnsi="Arial" w:cs="Arial"/>
        </w:rPr>
        <w:t>. 5th edn. London: Jessica Kingsley Publishers.</w:t>
      </w:r>
    </w:p>
    <w:p w14:paraId="4445D60A" w14:textId="77777777" w:rsidR="00873783" w:rsidRPr="0004606C" w:rsidRDefault="00873783" w:rsidP="00C9484C">
      <w:pPr>
        <w:rPr>
          <w:rFonts w:ascii="Arial" w:hAnsi="Arial" w:cs="Arial"/>
        </w:rPr>
      </w:pPr>
    </w:p>
    <w:p w14:paraId="6327DC98" w14:textId="77777777" w:rsidR="00873783" w:rsidRPr="0004606C" w:rsidRDefault="00873783" w:rsidP="00C9484C">
      <w:pPr>
        <w:rPr>
          <w:rFonts w:ascii="Arial" w:hAnsi="Arial" w:cs="Arial"/>
        </w:rPr>
      </w:pPr>
    </w:p>
    <w:p w14:paraId="30026311" w14:textId="77777777" w:rsidR="00873783" w:rsidRPr="0004606C" w:rsidRDefault="00873783" w:rsidP="00C9484C">
      <w:pPr>
        <w:rPr>
          <w:rFonts w:ascii="Arial" w:hAnsi="Arial" w:cs="Arial"/>
        </w:rPr>
      </w:pPr>
    </w:p>
    <w:p w14:paraId="08255222" w14:textId="77777777" w:rsidR="00873783" w:rsidRPr="0004606C" w:rsidRDefault="00873783" w:rsidP="00C9484C">
      <w:pPr>
        <w:rPr>
          <w:rFonts w:ascii="Arial" w:hAnsi="Arial" w:cs="Arial"/>
        </w:rPr>
      </w:pPr>
    </w:p>
    <w:p w14:paraId="35187DA3" w14:textId="77777777" w:rsidR="00873783" w:rsidRPr="0004606C" w:rsidRDefault="00873783" w:rsidP="00C9484C">
      <w:pPr>
        <w:rPr>
          <w:rFonts w:ascii="Arial" w:hAnsi="Arial" w:cs="Arial"/>
        </w:rPr>
      </w:pPr>
    </w:p>
    <w:p w14:paraId="4775EA64" w14:textId="77777777" w:rsidR="006142EA" w:rsidRPr="0004606C" w:rsidRDefault="006142EA">
      <w:pPr>
        <w:rPr>
          <w:rFonts w:ascii="Arial" w:hAnsi="Arial" w:cs="Arial"/>
        </w:rPr>
      </w:pPr>
    </w:p>
    <w:sectPr w:rsidR="006142EA" w:rsidRPr="000460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84C"/>
    <w:rsid w:val="00017A55"/>
    <w:rsid w:val="00036749"/>
    <w:rsid w:val="00042EEB"/>
    <w:rsid w:val="0004606C"/>
    <w:rsid w:val="000A42BC"/>
    <w:rsid w:val="000B35F2"/>
    <w:rsid w:val="000E0375"/>
    <w:rsid w:val="00102AAA"/>
    <w:rsid w:val="001374D3"/>
    <w:rsid w:val="00151D0B"/>
    <w:rsid w:val="00151ED0"/>
    <w:rsid w:val="001F29BA"/>
    <w:rsid w:val="00211F7D"/>
    <w:rsid w:val="00227267"/>
    <w:rsid w:val="00231252"/>
    <w:rsid w:val="0027199D"/>
    <w:rsid w:val="00277654"/>
    <w:rsid w:val="00324E4B"/>
    <w:rsid w:val="003719F2"/>
    <w:rsid w:val="004031CF"/>
    <w:rsid w:val="00424219"/>
    <w:rsid w:val="004347DF"/>
    <w:rsid w:val="00436270"/>
    <w:rsid w:val="0047281F"/>
    <w:rsid w:val="00492662"/>
    <w:rsid w:val="004C6517"/>
    <w:rsid w:val="004E4A53"/>
    <w:rsid w:val="004F2BE3"/>
    <w:rsid w:val="004F50A7"/>
    <w:rsid w:val="00507788"/>
    <w:rsid w:val="00521338"/>
    <w:rsid w:val="005467E4"/>
    <w:rsid w:val="00552FD3"/>
    <w:rsid w:val="00587F59"/>
    <w:rsid w:val="00592661"/>
    <w:rsid w:val="00594EAC"/>
    <w:rsid w:val="005D2447"/>
    <w:rsid w:val="005D5E15"/>
    <w:rsid w:val="006048AF"/>
    <w:rsid w:val="00605821"/>
    <w:rsid w:val="00610D0D"/>
    <w:rsid w:val="006142EA"/>
    <w:rsid w:val="006174EE"/>
    <w:rsid w:val="00641804"/>
    <w:rsid w:val="00655EEF"/>
    <w:rsid w:val="006813AE"/>
    <w:rsid w:val="006974A8"/>
    <w:rsid w:val="006E161F"/>
    <w:rsid w:val="00732441"/>
    <w:rsid w:val="007444E7"/>
    <w:rsid w:val="00782F58"/>
    <w:rsid w:val="007859E8"/>
    <w:rsid w:val="00785DD3"/>
    <w:rsid w:val="007A0E2E"/>
    <w:rsid w:val="007B2C39"/>
    <w:rsid w:val="008418A6"/>
    <w:rsid w:val="00843E97"/>
    <w:rsid w:val="00860789"/>
    <w:rsid w:val="008654F3"/>
    <w:rsid w:val="00873783"/>
    <w:rsid w:val="00890551"/>
    <w:rsid w:val="008A71A5"/>
    <w:rsid w:val="008E2EB6"/>
    <w:rsid w:val="008E31D0"/>
    <w:rsid w:val="008E6071"/>
    <w:rsid w:val="0092404E"/>
    <w:rsid w:val="00937421"/>
    <w:rsid w:val="009406D5"/>
    <w:rsid w:val="00992268"/>
    <w:rsid w:val="009938F7"/>
    <w:rsid w:val="00996E1D"/>
    <w:rsid w:val="009A1BFB"/>
    <w:rsid w:val="00A01E3A"/>
    <w:rsid w:val="00A32B31"/>
    <w:rsid w:val="00A5395F"/>
    <w:rsid w:val="00A61DD0"/>
    <w:rsid w:val="00A87C87"/>
    <w:rsid w:val="00AB027A"/>
    <w:rsid w:val="00AE09DC"/>
    <w:rsid w:val="00B40443"/>
    <w:rsid w:val="00B43E0B"/>
    <w:rsid w:val="00B76D7A"/>
    <w:rsid w:val="00BC05E7"/>
    <w:rsid w:val="00BC38C1"/>
    <w:rsid w:val="00BD7134"/>
    <w:rsid w:val="00BF3FA1"/>
    <w:rsid w:val="00C06DE5"/>
    <w:rsid w:val="00C15996"/>
    <w:rsid w:val="00C9484C"/>
    <w:rsid w:val="00CE2613"/>
    <w:rsid w:val="00CE7B46"/>
    <w:rsid w:val="00D01E57"/>
    <w:rsid w:val="00D17135"/>
    <w:rsid w:val="00D35A52"/>
    <w:rsid w:val="00D91C12"/>
    <w:rsid w:val="00DE0AB9"/>
    <w:rsid w:val="00DE2465"/>
    <w:rsid w:val="00DF3C91"/>
    <w:rsid w:val="00DF5884"/>
    <w:rsid w:val="00E221A9"/>
    <w:rsid w:val="00E514BC"/>
    <w:rsid w:val="00E85B31"/>
    <w:rsid w:val="00EE6090"/>
    <w:rsid w:val="00EF017E"/>
    <w:rsid w:val="00F44697"/>
    <w:rsid w:val="00F716C1"/>
    <w:rsid w:val="00F754E7"/>
    <w:rsid w:val="00F7724D"/>
    <w:rsid w:val="00F93547"/>
    <w:rsid w:val="00F9754F"/>
    <w:rsid w:val="00FD6B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62E25"/>
  <w15:chartTrackingRefBased/>
  <w15:docId w15:val="{DD5A1BDD-85D3-4EB7-8928-D97705F27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48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48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48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48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48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48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48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48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48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48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48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48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48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48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48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48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48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484C"/>
    <w:rPr>
      <w:rFonts w:eastAsiaTheme="majorEastAsia" w:cstheme="majorBidi"/>
      <w:color w:val="272727" w:themeColor="text1" w:themeTint="D8"/>
    </w:rPr>
  </w:style>
  <w:style w:type="paragraph" w:styleId="Title">
    <w:name w:val="Title"/>
    <w:basedOn w:val="Normal"/>
    <w:next w:val="Normal"/>
    <w:link w:val="TitleChar"/>
    <w:uiPriority w:val="10"/>
    <w:qFormat/>
    <w:rsid w:val="00C948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48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48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48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484C"/>
    <w:pPr>
      <w:spacing w:before="160"/>
      <w:jc w:val="center"/>
    </w:pPr>
    <w:rPr>
      <w:i/>
      <w:iCs/>
      <w:color w:val="404040" w:themeColor="text1" w:themeTint="BF"/>
    </w:rPr>
  </w:style>
  <w:style w:type="character" w:customStyle="1" w:styleId="QuoteChar">
    <w:name w:val="Quote Char"/>
    <w:basedOn w:val="DefaultParagraphFont"/>
    <w:link w:val="Quote"/>
    <w:uiPriority w:val="29"/>
    <w:rsid w:val="00C9484C"/>
    <w:rPr>
      <w:i/>
      <w:iCs/>
      <w:color w:val="404040" w:themeColor="text1" w:themeTint="BF"/>
    </w:rPr>
  </w:style>
  <w:style w:type="paragraph" w:styleId="ListParagraph">
    <w:name w:val="List Paragraph"/>
    <w:basedOn w:val="Normal"/>
    <w:uiPriority w:val="34"/>
    <w:qFormat/>
    <w:rsid w:val="00C9484C"/>
    <w:pPr>
      <w:ind w:left="720"/>
      <w:contextualSpacing/>
    </w:pPr>
  </w:style>
  <w:style w:type="character" w:styleId="IntenseEmphasis">
    <w:name w:val="Intense Emphasis"/>
    <w:basedOn w:val="DefaultParagraphFont"/>
    <w:uiPriority w:val="21"/>
    <w:qFormat/>
    <w:rsid w:val="00C9484C"/>
    <w:rPr>
      <w:i/>
      <w:iCs/>
      <w:color w:val="0F4761" w:themeColor="accent1" w:themeShade="BF"/>
    </w:rPr>
  </w:style>
  <w:style w:type="paragraph" w:styleId="IntenseQuote">
    <w:name w:val="Intense Quote"/>
    <w:basedOn w:val="Normal"/>
    <w:next w:val="Normal"/>
    <w:link w:val="IntenseQuoteChar"/>
    <w:uiPriority w:val="30"/>
    <w:qFormat/>
    <w:rsid w:val="00C948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484C"/>
    <w:rPr>
      <w:i/>
      <w:iCs/>
      <w:color w:val="0F4761" w:themeColor="accent1" w:themeShade="BF"/>
    </w:rPr>
  </w:style>
  <w:style w:type="character" w:styleId="IntenseReference">
    <w:name w:val="Intense Reference"/>
    <w:basedOn w:val="DefaultParagraphFont"/>
    <w:uiPriority w:val="32"/>
    <w:qFormat/>
    <w:rsid w:val="00C9484C"/>
    <w:rPr>
      <w:b/>
      <w:bCs/>
      <w:smallCaps/>
      <w:color w:val="0F4761" w:themeColor="accent1" w:themeShade="BF"/>
      <w:spacing w:val="5"/>
    </w:rPr>
  </w:style>
  <w:style w:type="character" w:styleId="Hyperlink">
    <w:name w:val="Hyperlink"/>
    <w:basedOn w:val="DefaultParagraphFont"/>
    <w:uiPriority w:val="99"/>
    <w:unhideWhenUsed/>
    <w:rsid w:val="00C9484C"/>
    <w:rPr>
      <w:color w:val="467886" w:themeColor="hyperlink"/>
      <w:u w:val="single"/>
    </w:rPr>
  </w:style>
  <w:style w:type="character" w:styleId="UnresolvedMention">
    <w:name w:val="Unresolved Mention"/>
    <w:basedOn w:val="DefaultParagraphFont"/>
    <w:uiPriority w:val="99"/>
    <w:semiHidden/>
    <w:unhideWhenUsed/>
    <w:rsid w:val="00C9484C"/>
    <w:rPr>
      <w:color w:val="605E5C"/>
      <w:shd w:val="clear" w:color="auto" w:fill="E1DFDD"/>
    </w:rPr>
  </w:style>
  <w:style w:type="paragraph" w:styleId="NoSpacing">
    <w:name w:val="No Spacing"/>
    <w:uiPriority w:val="1"/>
    <w:qFormat/>
    <w:rsid w:val="00873783"/>
    <w:pPr>
      <w:spacing w:after="0" w:line="240" w:lineRule="auto"/>
    </w:pPr>
  </w:style>
  <w:style w:type="character" w:styleId="FollowedHyperlink">
    <w:name w:val="FollowedHyperlink"/>
    <w:basedOn w:val="DefaultParagraphFont"/>
    <w:uiPriority w:val="99"/>
    <w:semiHidden/>
    <w:unhideWhenUsed/>
    <w:rsid w:val="0087378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ageuk.org.uk" TargetMode="External"/><Relationship Id="rId4" Type="http://schemas.openxmlformats.org/officeDocument/2006/relationships/hyperlink" Target="https://doi.org/10.5993/AJHB.31.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1716</Words>
  <Characters>9783</Characters>
  <Application>Microsoft Office Word</Application>
  <DocSecurity>0</DocSecurity>
  <Lines>81</Lines>
  <Paragraphs>22</Paragraphs>
  <ScaleCrop>false</ScaleCrop>
  <Company/>
  <LinksUpToDate>false</LinksUpToDate>
  <CharactersWithSpaces>11477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Maymunah akhtar</dc:creator>
  <cp:keywords/>
  <dc:description/>
  <cp:lastModifiedBy>Maymunah akhtar</cp:lastModifiedBy>
  <cp:revision>104</cp:revision>
  <dcterms:created xsi:type="dcterms:W3CDTF">2026-03-15T22:30:00Z</dcterms:created>
  <dcterms:modified xsi:type="dcterms:W3CDTF">2026-03-24T04:13:00Z</dcterms:modified>
</cp:coreProperties>
</file>