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8FDBB" w14:textId="77777777" w:rsidR="002522DE" w:rsidRDefault="002522DE" w:rsidP="002522DE">
      <w:pPr>
        <w:jc w:val="center"/>
      </w:pPr>
    </w:p>
    <w:p w14:paraId="34AA1819" w14:textId="77777777" w:rsidR="002522DE" w:rsidRPr="002522DE" w:rsidRDefault="002522DE" w:rsidP="002522DE"/>
    <w:p w14:paraId="384F0A79" w14:textId="77777777" w:rsidR="002522DE" w:rsidRDefault="002522DE" w:rsidP="002522DE">
      <w:pPr>
        <w:jc w:val="center"/>
      </w:pPr>
    </w:p>
    <w:p w14:paraId="1F6426EE" w14:textId="76A83B1B" w:rsidR="002522DE" w:rsidRDefault="002522DE" w:rsidP="009D5CF7">
      <w:pPr>
        <w:tabs>
          <w:tab w:val="left" w:pos="3195"/>
        </w:tabs>
        <w:rPr>
          <w:rFonts w:ascii="Arial" w:hAnsi="Arial" w:cs="Arial"/>
          <w:b/>
          <w:sz w:val="32"/>
          <w:szCs w:val="32"/>
        </w:rPr>
      </w:pPr>
      <w:r>
        <w:tab/>
      </w:r>
      <w:r>
        <w:rPr>
          <w:noProof/>
        </w:rPr>
        <w:drawing>
          <wp:inline distT="0" distB="0" distL="0" distR="0" wp14:anchorId="1797AB7B" wp14:editId="309A589D">
            <wp:extent cx="3381375" cy="1352550"/>
            <wp:effectExtent l="0" t="0" r="1905" b="381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60362FFB" w14:textId="77777777" w:rsidR="002522DE" w:rsidRDefault="002522DE" w:rsidP="002522DE"/>
    <w:p w14:paraId="19DBA0E1" w14:textId="77777777" w:rsidR="002522DE" w:rsidRDefault="002522DE" w:rsidP="002522DE">
      <w:pPr>
        <w:jc w:val="center"/>
      </w:pPr>
    </w:p>
    <w:p w14:paraId="19B79269" w14:textId="77777777" w:rsidR="002522DE" w:rsidRDefault="002522DE" w:rsidP="002522DE">
      <w:pPr>
        <w:jc w:val="center"/>
        <w:rPr>
          <w:rFonts w:ascii="Arial" w:hAnsi="Arial" w:cs="Arial"/>
          <w:b/>
          <w:bCs/>
          <w:lang w:val="en-US"/>
        </w:rPr>
      </w:pPr>
      <w:r>
        <w:rPr>
          <w:rFonts w:ascii="Arial" w:hAnsi="Arial" w:cs="Arial"/>
          <w:b/>
          <w:bCs/>
        </w:rPr>
        <w:t>Student Name:</w:t>
      </w:r>
      <w:r>
        <w:rPr>
          <w:rFonts w:ascii="Arial" w:hAnsi="Arial" w:cs="Arial"/>
          <w:b/>
          <w:bCs/>
          <w:lang w:val="en-US"/>
        </w:rPr>
        <w:t xml:space="preserve"> DHRUV UTPALKUMAR TRIVEDI</w:t>
      </w:r>
    </w:p>
    <w:p w14:paraId="3278823D" w14:textId="77777777" w:rsidR="002522DE" w:rsidRDefault="002522DE" w:rsidP="002522DE">
      <w:pPr>
        <w:jc w:val="center"/>
        <w:rPr>
          <w:rFonts w:ascii="Arial" w:hAnsi="Arial" w:cs="Arial"/>
          <w:b/>
          <w:bCs/>
        </w:rPr>
      </w:pPr>
    </w:p>
    <w:p w14:paraId="54292B8F" w14:textId="77777777" w:rsidR="002522DE" w:rsidRDefault="002522DE" w:rsidP="002522DE">
      <w:pPr>
        <w:jc w:val="center"/>
        <w:rPr>
          <w:rFonts w:ascii="Arial" w:hAnsi="Arial" w:cs="Arial"/>
          <w:b/>
          <w:bCs/>
          <w:lang w:val="en-US"/>
        </w:rPr>
      </w:pPr>
      <w:r>
        <w:rPr>
          <w:rFonts w:ascii="Arial" w:hAnsi="Arial" w:cs="Arial"/>
          <w:b/>
          <w:bCs/>
        </w:rPr>
        <w:t xml:space="preserve">Student ID: </w:t>
      </w:r>
      <w:r>
        <w:rPr>
          <w:rFonts w:ascii="Arial" w:hAnsi="Arial" w:cs="Arial"/>
          <w:b/>
          <w:bCs/>
          <w:lang w:val="en-US"/>
        </w:rPr>
        <w:t>2504920</w:t>
      </w:r>
    </w:p>
    <w:p w14:paraId="4A78FF24" w14:textId="77777777" w:rsidR="002522DE" w:rsidRDefault="002522DE" w:rsidP="002522DE">
      <w:pPr>
        <w:jc w:val="center"/>
        <w:rPr>
          <w:rFonts w:ascii="Arial" w:hAnsi="Arial" w:cs="Arial"/>
        </w:rPr>
      </w:pPr>
    </w:p>
    <w:p w14:paraId="1EE0DB07" w14:textId="77777777" w:rsidR="002522DE" w:rsidRDefault="002522DE" w:rsidP="002522DE">
      <w:pPr>
        <w:jc w:val="center"/>
        <w:rPr>
          <w:rFonts w:ascii="Arial" w:hAnsi="Arial" w:cs="Arial"/>
        </w:rPr>
      </w:pPr>
    </w:p>
    <w:p w14:paraId="1F375F72" w14:textId="295CD5EC" w:rsidR="002522DE" w:rsidRDefault="002522DE" w:rsidP="009D5CF7">
      <w:pPr>
        <w:jc w:val="center"/>
        <w:rPr>
          <w:rFonts w:ascii="Arial" w:hAnsi="Arial" w:cs="Arial"/>
          <w:b/>
          <w:bCs/>
          <w:lang w:val="en-US"/>
        </w:rPr>
      </w:pPr>
      <w:r>
        <w:rPr>
          <w:rFonts w:ascii="Arial" w:hAnsi="Arial" w:cs="Arial"/>
          <w:b/>
          <w:bCs/>
        </w:rPr>
        <w:t xml:space="preserve">Module Name: </w:t>
      </w:r>
      <w:r w:rsidR="006B3D6B">
        <w:rPr>
          <w:rFonts w:ascii="Arial" w:hAnsi="Arial" w:cs="Arial"/>
          <w:b/>
          <w:bCs/>
          <w:lang w:val="en-US"/>
        </w:rPr>
        <w:t>Strategic Management</w:t>
      </w:r>
    </w:p>
    <w:p w14:paraId="2A556A8A" w14:textId="77777777" w:rsidR="002522DE" w:rsidRDefault="002522DE" w:rsidP="002522DE">
      <w:pPr>
        <w:jc w:val="center"/>
        <w:rPr>
          <w:rFonts w:ascii="Arial" w:hAnsi="Arial" w:cs="Arial"/>
          <w:b/>
          <w:bCs/>
        </w:rPr>
      </w:pPr>
    </w:p>
    <w:p w14:paraId="29E4E69B" w14:textId="4B41E249" w:rsidR="002522DE" w:rsidRDefault="002522DE" w:rsidP="002522DE">
      <w:pPr>
        <w:jc w:val="center"/>
        <w:rPr>
          <w:rFonts w:ascii="Arial" w:hAnsi="Arial" w:cs="Arial"/>
          <w:b/>
          <w:bCs/>
          <w:lang w:val="en-US"/>
        </w:rPr>
      </w:pPr>
      <w:r>
        <w:rPr>
          <w:rFonts w:ascii="Arial" w:hAnsi="Arial" w:cs="Arial"/>
          <w:b/>
          <w:bCs/>
        </w:rPr>
        <w:t>Module Code: LCMB</w:t>
      </w:r>
      <w:r>
        <w:rPr>
          <w:rFonts w:ascii="Arial" w:hAnsi="Arial" w:cs="Arial"/>
          <w:b/>
          <w:bCs/>
          <w:lang w:val="en-US"/>
        </w:rPr>
        <w:t>70</w:t>
      </w:r>
      <w:r w:rsidR="009D5CF7">
        <w:rPr>
          <w:rFonts w:ascii="Arial" w:hAnsi="Arial" w:cs="Arial"/>
          <w:b/>
          <w:bCs/>
          <w:lang w:val="en-US"/>
        </w:rPr>
        <w:t>03</w:t>
      </w:r>
    </w:p>
    <w:p w14:paraId="4D6FA42C" w14:textId="77777777" w:rsidR="002522DE" w:rsidRDefault="002522DE" w:rsidP="002522DE">
      <w:pPr>
        <w:jc w:val="center"/>
        <w:rPr>
          <w:rFonts w:ascii="Arial" w:hAnsi="Arial" w:cs="Arial"/>
          <w:b/>
          <w:bCs/>
        </w:rPr>
      </w:pPr>
    </w:p>
    <w:p w14:paraId="4EF9F9FC" w14:textId="735E454C" w:rsidR="002522DE" w:rsidRDefault="002522DE" w:rsidP="002522DE">
      <w:pPr>
        <w:jc w:val="center"/>
        <w:rPr>
          <w:rFonts w:ascii="Arial" w:hAnsi="Arial" w:cs="Arial"/>
          <w:b/>
          <w:bCs/>
          <w:lang w:val="en-US"/>
        </w:rPr>
      </w:pPr>
      <w:r>
        <w:rPr>
          <w:rFonts w:ascii="Arial" w:hAnsi="Arial" w:cs="Arial"/>
          <w:b/>
          <w:bCs/>
        </w:rPr>
        <w:t>Lecturer’s Name:</w:t>
      </w:r>
      <w:r>
        <w:rPr>
          <w:rFonts w:ascii="Arial" w:hAnsi="Arial" w:cs="Arial"/>
          <w:b/>
          <w:bCs/>
          <w:lang w:val="en-US"/>
        </w:rPr>
        <w:t xml:space="preserve"> </w:t>
      </w:r>
      <w:proofErr w:type="spellStart"/>
      <w:r w:rsidR="006B3D6B">
        <w:rPr>
          <w:rFonts w:ascii="Arial" w:hAnsi="Arial" w:cs="Arial"/>
          <w:b/>
          <w:bCs/>
          <w:lang w:val="en-US"/>
        </w:rPr>
        <w:t>Bal</w:t>
      </w:r>
      <w:r w:rsidR="00135342">
        <w:rPr>
          <w:rFonts w:ascii="Arial" w:hAnsi="Arial" w:cs="Arial"/>
          <w:b/>
          <w:bCs/>
          <w:lang w:val="en-US"/>
        </w:rPr>
        <w:t>endran</w:t>
      </w:r>
      <w:proofErr w:type="spellEnd"/>
      <w:r w:rsidR="00135342">
        <w:rPr>
          <w:rFonts w:ascii="Arial" w:hAnsi="Arial" w:cs="Arial"/>
          <w:b/>
          <w:bCs/>
          <w:lang w:val="en-US"/>
        </w:rPr>
        <w:t xml:space="preserve"> Kandasam</w:t>
      </w:r>
      <w:r w:rsidR="00867FAB">
        <w:rPr>
          <w:rFonts w:ascii="Arial" w:hAnsi="Arial" w:cs="Arial"/>
          <w:b/>
          <w:bCs/>
          <w:lang w:val="en-US"/>
        </w:rPr>
        <w:t>y</w:t>
      </w:r>
    </w:p>
    <w:p w14:paraId="110BDD0E" w14:textId="77777777" w:rsidR="002522DE" w:rsidRDefault="002522DE" w:rsidP="002522DE">
      <w:pPr>
        <w:rPr>
          <w:rFonts w:ascii="Arial" w:hAnsi="Arial" w:cs="Arial"/>
          <w:b/>
          <w:bCs/>
        </w:rPr>
      </w:pPr>
    </w:p>
    <w:p w14:paraId="5D120AF0" w14:textId="54B3DF0E" w:rsidR="002522DE" w:rsidRDefault="002522DE" w:rsidP="002522DE">
      <w:pPr>
        <w:rPr>
          <w:rFonts w:ascii="Arial" w:hAnsi="Arial" w:cs="Arial"/>
          <w:b/>
          <w:bCs/>
        </w:rPr>
      </w:pPr>
      <w:r>
        <w:rPr>
          <w:rFonts w:ascii="Arial" w:hAnsi="Arial" w:cs="Arial"/>
          <w:b/>
          <w:bCs/>
        </w:rPr>
        <w:t xml:space="preserve">                                                                Term </w:t>
      </w:r>
      <w:r w:rsidR="009D5CF7">
        <w:rPr>
          <w:rFonts w:ascii="Arial" w:hAnsi="Arial" w:cs="Arial"/>
          <w:b/>
          <w:bCs/>
        </w:rPr>
        <w:t>2</w:t>
      </w:r>
    </w:p>
    <w:p w14:paraId="2D091085" w14:textId="2B0A3636" w:rsidR="00305D30" w:rsidRDefault="00305D30"/>
    <w:p w14:paraId="4FCB8FB0" w14:textId="77777777" w:rsidR="00305D30" w:rsidRDefault="00690D2C">
      <w:pPr>
        <w:keepNext/>
        <w:keepLines/>
        <w:pBdr>
          <w:top w:val="nil"/>
          <w:left w:val="nil"/>
          <w:bottom w:val="nil"/>
          <w:right w:val="nil"/>
          <w:between w:val="nil"/>
        </w:pBdr>
        <w:jc w:val="center"/>
        <w:rPr>
          <w:b/>
          <w:bCs/>
          <w:color w:val="000000"/>
          <w:sz w:val="28"/>
          <w:szCs w:val="28"/>
        </w:rPr>
      </w:pPr>
      <w:r>
        <w:rPr>
          <w:b/>
          <w:bCs/>
          <w:color w:val="000000"/>
          <w:sz w:val="28"/>
          <w:szCs w:val="28"/>
        </w:rPr>
        <w:lastRenderedPageBreak/>
        <w:t>Table of Contents</w:t>
      </w:r>
    </w:p>
    <w:sdt>
      <w:sdtPr>
        <w:id w:val="1062344025"/>
        <w:docPartObj>
          <w:docPartGallery w:val="Table of Contents"/>
          <w:docPartUnique/>
        </w:docPartObj>
      </w:sdtPr>
      <w:sdtEndPr/>
      <w:sdtContent>
        <w:p w14:paraId="4F5436D1" w14:textId="5EB078E6" w:rsidR="008E5B23" w:rsidRDefault="00690D2C">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224930697" w:history="1">
            <w:r w:rsidR="008E5B23" w:rsidRPr="001C1FD2">
              <w:rPr>
                <w:rStyle w:val="Hyperlink"/>
                <w:noProof/>
              </w:rPr>
              <w:t>SECTION 1: Strategic  Report</w:t>
            </w:r>
            <w:r w:rsidR="008E5B23">
              <w:rPr>
                <w:noProof/>
                <w:webHidden/>
              </w:rPr>
              <w:tab/>
            </w:r>
            <w:r w:rsidR="008E5B23">
              <w:rPr>
                <w:noProof/>
                <w:webHidden/>
              </w:rPr>
              <w:fldChar w:fldCharType="begin"/>
            </w:r>
            <w:r w:rsidR="008E5B23">
              <w:rPr>
                <w:noProof/>
                <w:webHidden/>
              </w:rPr>
              <w:instrText xml:space="preserve"> PAGEREF _Toc224930697 \h </w:instrText>
            </w:r>
            <w:r w:rsidR="008E5B23">
              <w:rPr>
                <w:noProof/>
                <w:webHidden/>
              </w:rPr>
            </w:r>
            <w:r w:rsidR="008E5B23">
              <w:rPr>
                <w:noProof/>
                <w:webHidden/>
              </w:rPr>
              <w:fldChar w:fldCharType="separate"/>
            </w:r>
            <w:r w:rsidR="009A104A">
              <w:rPr>
                <w:noProof/>
                <w:webHidden/>
              </w:rPr>
              <w:t>4</w:t>
            </w:r>
            <w:r w:rsidR="008E5B23">
              <w:rPr>
                <w:noProof/>
                <w:webHidden/>
              </w:rPr>
              <w:fldChar w:fldCharType="end"/>
            </w:r>
          </w:hyperlink>
        </w:p>
        <w:p w14:paraId="6CC7CEA2" w14:textId="63D9AE78"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698" w:history="1">
            <w:r w:rsidR="008E5B23" w:rsidRPr="001C1FD2">
              <w:rPr>
                <w:rStyle w:val="Hyperlink"/>
                <w:noProof/>
              </w:rPr>
              <w:t>1. Organisational Context and Overview</w:t>
            </w:r>
            <w:r w:rsidR="008E5B23">
              <w:rPr>
                <w:noProof/>
                <w:webHidden/>
              </w:rPr>
              <w:tab/>
            </w:r>
            <w:r w:rsidR="008E5B23">
              <w:rPr>
                <w:noProof/>
                <w:webHidden/>
              </w:rPr>
              <w:fldChar w:fldCharType="begin"/>
            </w:r>
            <w:r w:rsidR="008E5B23">
              <w:rPr>
                <w:noProof/>
                <w:webHidden/>
              </w:rPr>
              <w:instrText xml:space="preserve"> PAGEREF _Toc224930698 \h </w:instrText>
            </w:r>
            <w:r w:rsidR="008E5B23">
              <w:rPr>
                <w:noProof/>
                <w:webHidden/>
              </w:rPr>
            </w:r>
            <w:r w:rsidR="008E5B23">
              <w:rPr>
                <w:noProof/>
                <w:webHidden/>
              </w:rPr>
              <w:fldChar w:fldCharType="separate"/>
            </w:r>
            <w:r w:rsidR="009A104A">
              <w:rPr>
                <w:noProof/>
                <w:webHidden/>
              </w:rPr>
              <w:t>4</w:t>
            </w:r>
            <w:r w:rsidR="008E5B23">
              <w:rPr>
                <w:noProof/>
                <w:webHidden/>
              </w:rPr>
              <w:fldChar w:fldCharType="end"/>
            </w:r>
          </w:hyperlink>
        </w:p>
        <w:p w14:paraId="484F0D78" w14:textId="47EEB679"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699" w:history="1">
            <w:r w:rsidR="008E5B23" w:rsidRPr="001C1FD2">
              <w:rPr>
                <w:rStyle w:val="Hyperlink"/>
                <w:noProof/>
              </w:rPr>
              <w:t>Company Background</w:t>
            </w:r>
            <w:r w:rsidR="008E5B23">
              <w:rPr>
                <w:noProof/>
                <w:webHidden/>
              </w:rPr>
              <w:tab/>
            </w:r>
            <w:r w:rsidR="008E5B23">
              <w:rPr>
                <w:noProof/>
                <w:webHidden/>
              </w:rPr>
              <w:fldChar w:fldCharType="begin"/>
            </w:r>
            <w:r w:rsidR="008E5B23">
              <w:rPr>
                <w:noProof/>
                <w:webHidden/>
              </w:rPr>
              <w:instrText xml:space="preserve"> PAGEREF _Toc224930699 \h </w:instrText>
            </w:r>
            <w:r w:rsidR="008E5B23">
              <w:rPr>
                <w:noProof/>
                <w:webHidden/>
              </w:rPr>
            </w:r>
            <w:r w:rsidR="008E5B23">
              <w:rPr>
                <w:noProof/>
                <w:webHidden/>
              </w:rPr>
              <w:fldChar w:fldCharType="separate"/>
            </w:r>
            <w:r w:rsidR="009A104A">
              <w:rPr>
                <w:noProof/>
                <w:webHidden/>
              </w:rPr>
              <w:t>4</w:t>
            </w:r>
            <w:r w:rsidR="008E5B23">
              <w:rPr>
                <w:noProof/>
                <w:webHidden/>
              </w:rPr>
              <w:fldChar w:fldCharType="end"/>
            </w:r>
          </w:hyperlink>
        </w:p>
        <w:p w14:paraId="1BC48EBC" w14:textId="14A95515"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00" w:history="1">
            <w:r w:rsidR="008E5B23" w:rsidRPr="001C1FD2">
              <w:rPr>
                <w:rStyle w:val="Hyperlink"/>
                <w:noProof/>
              </w:rPr>
              <w:t>Mission, Vision and Business Model</w:t>
            </w:r>
            <w:r w:rsidR="008E5B23">
              <w:rPr>
                <w:noProof/>
                <w:webHidden/>
              </w:rPr>
              <w:tab/>
            </w:r>
            <w:r w:rsidR="008E5B23">
              <w:rPr>
                <w:noProof/>
                <w:webHidden/>
              </w:rPr>
              <w:fldChar w:fldCharType="begin"/>
            </w:r>
            <w:r w:rsidR="008E5B23">
              <w:rPr>
                <w:noProof/>
                <w:webHidden/>
              </w:rPr>
              <w:instrText xml:space="preserve"> PAGEREF _Toc224930700 \h </w:instrText>
            </w:r>
            <w:r w:rsidR="008E5B23">
              <w:rPr>
                <w:noProof/>
                <w:webHidden/>
              </w:rPr>
            </w:r>
            <w:r w:rsidR="008E5B23">
              <w:rPr>
                <w:noProof/>
                <w:webHidden/>
              </w:rPr>
              <w:fldChar w:fldCharType="separate"/>
            </w:r>
            <w:r w:rsidR="009A104A">
              <w:rPr>
                <w:noProof/>
                <w:webHidden/>
              </w:rPr>
              <w:t>4</w:t>
            </w:r>
            <w:r w:rsidR="008E5B23">
              <w:rPr>
                <w:noProof/>
                <w:webHidden/>
              </w:rPr>
              <w:fldChar w:fldCharType="end"/>
            </w:r>
          </w:hyperlink>
        </w:p>
        <w:p w14:paraId="5EA4897A" w14:textId="638E1531"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01" w:history="1">
            <w:r w:rsidR="008E5B23" w:rsidRPr="001C1FD2">
              <w:rPr>
                <w:rStyle w:val="Hyperlink"/>
                <w:noProof/>
              </w:rPr>
              <w:t>Industry and Market Position</w:t>
            </w:r>
            <w:r w:rsidR="008E5B23">
              <w:rPr>
                <w:noProof/>
                <w:webHidden/>
              </w:rPr>
              <w:tab/>
            </w:r>
            <w:r w:rsidR="008E5B23">
              <w:rPr>
                <w:noProof/>
                <w:webHidden/>
              </w:rPr>
              <w:fldChar w:fldCharType="begin"/>
            </w:r>
            <w:r w:rsidR="008E5B23">
              <w:rPr>
                <w:noProof/>
                <w:webHidden/>
              </w:rPr>
              <w:instrText xml:space="preserve"> PAGEREF _Toc224930701 \h </w:instrText>
            </w:r>
            <w:r w:rsidR="008E5B23">
              <w:rPr>
                <w:noProof/>
                <w:webHidden/>
              </w:rPr>
            </w:r>
            <w:r w:rsidR="008E5B23">
              <w:rPr>
                <w:noProof/>
                <w:webHidden/>
              </w:rPr>
              <w:fldChar w:fldCharType="separate"/>
            </w:r>
            <w:r w:rsidR="009A104A">
              <w:rPr>
                <w:noProof/>
                <w:webHidden/>
              </w:rPr>
              <w:t>4</w:t>
            </w:r>
            <w:r w:rsidR="008E5B23">
              <w:rPr>
                <w:noProof/>
                <w:webHidden/>
              </w:rPr>
              <w:fldChar w:fldCharType="end"/>
            </w:r>
          </w:hyperlink>
        </w:p>
        <w:p w14:paraId="693AFC96" w14:textId="5A47B924"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02" w:history="1">
            <w:r w:rsidR="008E5B23" w:rsidRPr="001C1FD2">
              <w:rPr>
                <w:rStyle w:val="Hyperlink"/>
                <w:noProof/>
              </w:rPr>
              <w:t>2. External and Internal Environment Analysis</w:t>
            </w:r>
            <w:r w:rsidR="008E5B23">
              <w:rPr>
                <w:noProof/>
                <w:webHidden/>
              </w:rPr>
              <w:tab/>
            </w:r>
            <w:r w:rsidR="008E5B23">
              <w:rPr>
                <w:noProof/>
                <w:webHidden/>
              </w:rPr>
              <w:fldChar w:fldCharType="begin"/>
            </w:r>
            <w:r w:rsidR="008E5B23">
              <w:rPr>
                <w:noProof/>
                <w:webHidden/>
              </w:rPr>
              <w:instrText xml:space="preserve"> PAGEREF _Toc224930702 \h </w:instrText>
            </w:r>
            <w:r w:rsidR="008E5B23">
              <w:rPr>
                <w:noProof/>
                <w:webHidden/>
              </w:rPr>
            </w:r>
            <w:r w:rsidR="008E5B23">
              <w:rPr>
                <w:noProof/>
                <w:webHidden/>
              </w:rPr>
              <w:fldChar w:fldCharType="separate"/>
            </w:r>
            <w:r w:rsidR="009A104A">
              <w:rPr>
                <w:noProof/>
                <w:webHidden/>
              </w:rPr>
              <w:t>5</w:t>
            </w:r>
            <w:r w:rsidR="008E5B23">
              <w:rPr>
                <w:noProof/>
                <w:webHidden/>
              </w:rPr>
              <w:fldChar w:fldCharType="end"/>
            </w:r>
          </w:hyperlink>
        </w:p>
        <w:p w14:paraId="16F8FC95" w14:textId="5E437DD9"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03" w:history="1">
            <w:r w:rsidR="008E5B23" w:rsidRPr="001C1FD2">
              <w:rPr>
                <w:rStyle w:val="Hyperlink"/>
                <w:noProof/>
              </w:rPr>
              <w:t>2.1 External Environment Analysis (PESTEL)</w:t>
            </w:r>
            <w:r w:rsidR="008E5B23">
              <w:rPr>
                <w:noProof/>
                <w:webHidden/>
              </w:rPr>
              <w:tab/>
            </w:r>
            <w:r w:rsidR="008E5B23">
              <w:rPr>
                <w:noProof/>
                <w:webHidden/>
              </w:rPr>
              <w:fldChar w:fldCharType="begin"/>
            </w:r>
            <w:r w:rsidR="008E5B23">
              <w:rPr>
                <w:noProof/>
                <w:webHidden/>
              </w:rPr>
              <w:instrText xml:space="preserve"> PAGEREF _Toc224930703 \h </w:instrText>
            </w:r>
            <w:r w:rsidR="008E5B23">
              <w:rPr>
                <w:noProof/>
                <w:webHidden/>
              </w:rPr>
            </w:r>
            <w:r w:rsidR="008E5B23">
              <w:rPr>
                <w:noProof/>
                <w:webHidden/>
              </w:rPr>
              <w:fldChar w:fldCharType="separate"/>
            </w:r>
            <w:r w:rsidR="009A104A">
              <w:rPr>
                <w:noProof/>
                <w:webHidden/>
              </w:rPr>
              <w:t>5</w:t>
            </w:r>
            <w:r w:rsidR="008E5B23">
              <w:rPr>
                <w:noProof/>
                <w:webHidden/>
              </w:rPr>
              <w:fldChar w:fldCharType="end"/>
            </w:r>
          </w:hyperlink>
        </w:p>
        <w:p w14:paraId="68FE9DCB" w14:textId="6052CA28"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4" w:history="1">
            <w:r w:rsidR="008E5B23" w:rsidRPr="001C1FD2">
              <w:rPr>
                <w:rStyle w:val="Hyperlink"/>
                <w:noProof/>
              </w:rPr>
              <w:t>Political Factors</w:t>
            </w:r>
            <w:r w:rsidR="008E5B23">
              <w:rPr>
                <w:noProof/>
                <w:webHidden/>
              </w:rPr>
              <w:tab/>
            </w:r>
            <w:r w:rsidR="008E5B23">
              <w:rPr>
                <w:noProof/>
                <w:webHidden/>
              </w:rPr>
              <w:fldChar w:fldCharType="begin"/>
            </w:r>
            <w:r w:rsidR="008E5B23">
              <w:rPr>
                <w:noProof/>
                <w:webHidden/>
              </w:rPr>
              <w:instrText xml:space="preserve"> PAGEREF _Toc224930704 \h </w:instrText>
            </w:r>
            <w:r w:rsidR="008E5B23">
              <w:rPr>
                <w:noProof/>
                <w:webHidden/>
              </w:rPr>
            </w:r>
            <w:r w:rsidR="008E5B23">
              <w:rPr>
                <w:noProof/>
                <w:webHidden/>
              </w:rPr>
              <w:fldChar w:fldCharType="separate"/>
            </w:r>
            <w:r w:rsidR="009A104A">
              <w:rPr>
                <w:noProof/>
                <w:webHidden/>
              </w:rPr>
              <w:t>5</w:t>
            </w:r>
            <w:r w:rsidR="008E5B23">
              <w:rPr>
                <w:noProof/>
                <w:webHidden/>
              </w:rPr>
              <w:fldChar w:fldCharType="end"/>
            </w:r>
          </w:hyperlink>
        </w:p>
        <w:p w14:paraId="0AF86165" w14:textId="7A1AAF82"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5" w:history="1">
            <w:r w:rsidR="008E5B23" w:rsidRPr="001C1FD2">
              <w:rPr>
                <w:rStyle w:val="Hyperlink"/>
                <w:noProof/>
              </w:rPr>
              <w:t>Economic Factors</w:t>
            </w:r>
            <w:r w:rsidR="008E5B23">
              <w:rPr>
                <w:noProof/>
                <w:webHidden/>
              </w:rPr>
              <w:tab/>
            </w:r>
            <w:r w:rsidR="008E5B23">
              <w:rPr>
                <w:noProof/>
                <w:webHidden/>
              </w:rPr>
              <w:fldChar w:fldCharType="begin"/>
            </w:r>
            <w:r w:rsidR="008E5B23">
              <w:rPr>
                <w:noProof/>
                <w:webHidden/>
              </w:rPr>
              <w:instrText xml:space="preserve"> PAGEREF _Toc224930705 \h </w:instrText>
            </w:r>
            <w:r w:rsidR="008E5B23">
              <w:rPr>
                <w:noProof/>
                <w:webHidden/>
              </w:rPr>
            </w:r>
            <w:r w:rsidR="008E5B23">
              <w:rPr>
                <w:noProof/>
                <w:webHidden/>
              </w:rPr>
              <w:fldChar w:fldCharType="separate"/>
            </w:r>
            <w:r w:rsidR="009A104A">
              <w:rPr>
                <w:noProof/>
                <w:webHidden/>
              </w:rPr>
              <w:t>5</w:t>
            </w:r>
            <w:r w:rsidR="008E5B23">
              <w:rPr>
                <w:noProof/>
                <w:webHidden/>
              </w:rPr>
              <w:fldChar w:fldCharType="end"/>
            </w:r>
          </w:hyperlink>
        </w:p>
        <w:p w14:paraId="75BD21B3" w14:textId="3547B160"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6" w:history="1">
            <w:r w:rsidR="008E5B23" w:rsidRPr="001C1FD2">
              <w:rPr>
                <w:rStyle w:val="Hyperlink"/>
                <w:noProof/>
              </w:rPr>
              <w:t>Social Factors</w:t>
            </w:r>
            <w:r w:rsidR="008E5B23">
              <w:rPr>
                <w:noProof/>
                <w:webHidden/>
              </w:rPr>
              <w:tab/>
            </w:r>
            <w:r w:rsidR="008E5B23">
              <w:rPr>
                <w:noProof/>
                <w:webHidden/>
              </w:rPr>
              <w:fldChar w:fldCharType="begin"/>
            </w:r>
            <w:r w:rsidR="008E5B23">
              <w:rPr>
                <w:noProof/>
                <w:webHidden/>
              </w:rPr>
              <w:instrText xml:space="preserve"> PAGEREF _Toc224930706 \h </w:instrText>
            </w:r>
            <w:r w:rsidR="008E5B23">
              <w:rPr>
                <w:noProof/>
                <w:webHidden/>
              </w:rPr>
            </w:r>
            <w:r w:rsidR="008E5B23">
              <w:rPr>
                <w:noProof/>
                <w:webHidden/>
              </w:rPr>
              <w:fldChar w:fldCharType="separate"/>
            </w:r>
            <w:r w:rsidR="009A104A">
              <w:rPr>
                <w:noProof/>
                <w:webHidden/>
              </w:rPr>
              <w:t>7</w:t>
            </w:r>
            <w:r w:rsidR="008E5B23">
              <w:rPr>
                <w:noProof/>
                <w:webHidden/>
              </w:rPr>
              <w:fldChar w:fldCharType="end"/>
            </w:r>
          </w:hyperlink>
        </w:p>
        <w:p w14:paraId="73C2D133" w14:textId="7DD8702C"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7" w:history="1">
            <w:r w:rsidR="008E5B23" w:rsidRPr="001C1FD2">
              <w:rPr>
                <w:rStyle w:val="Hyperlink"/>
                <w:noProof/>
              </w:rPr>
              <w:t>Technological Factors</w:t>
            </w:r>
            <w:r w:rsidR="008E5B23">
              <w:rPr>
                <w:noProof/>
                <w:webHidden/>
              </w:rPr>
              <w:tab/>
            </w:r>
            <w:r w:rsidR="008E5B23">
              <w:rPr>
                <w:noProof/>
                <w:webHidden/>
              </w:rPr>
              <w:fldChar w:fldCharType="begin"/>
            </w:r>
            <w:r w:rsidR="008E5B23">
              <w:rPr>
                <w:noProof/>
                <w:webHidden/>
              </w:rPr>
              <w:instrText xml:space="preserve"> PAGEREF _Toc224930707 \h </w:instrText>
            </w:r>
            <w:r w:rsidR="008E5B23">
              <w:rPr>
                <w:noProof/>
                <w:webHidden/>
              </w:rPr>
            </w:r>
            <w:r w:rsidR="008E5B23">
              <w:rPr>
                <w:noProof/>
                <w:webHidden/>
              </w:rPr>
              <w:fldChar w:fldCharType="separate"/>
            </w:r>
            <w:r w:rsidR="009A104A">
              <w:rPr>
                <w:noProof/>
                <w:webHidden/>
              </w:rPr>
              <w:t>7</w:t>
            </w:r>
            <w:r w:rsidR="008E5B23">
              <w:rPr>
                <w:noProof/>
                <w:webHidden/>
              </w:rPr>
              <w:fldChar w:fldCharType="end"/>
            </w:r>
          </w:hyperlink>
        </w:p>
        <w:p w14:paraId="13E0976D" w14:textId="041363B6"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8" w:history="1">
            <w:r w:rsidR="008E5B23" w:rsidRPr="001C1FD2">
              <w:rPr>
                <w:rStyle w:val="Hyperlink"/>
                <w:noProof/>
              </w:rPr>
              <w:t>Environmental Factors</w:t>
            </w:r>
            <w:r w:rsidR="008E5B23">
              <w:rPr>
                <w:noProof/>
                <w:webHidden/>
              </w:rPr>
              <w:tab/>
            </w:r>
            <w:r w:rsidR="008E5B23">
              <w:rPr>
                <w:noProof/>
                <w:webHidden/>
              </w:rPr>
              <w:fldChar w:fldCharType="begin"/>
            </w:r>
            <w:r w:rsidR="008E5B23">
              <w:rPr>
                <w:noProof/>
                <w:webHidden/>
              </w:rPr>
              <w:instrText xml:space="preserve"> PAGEREF _Toc224930708 \h </w:instrText>
            </w:r>
            <w:r w:rsidR="008E5B23">
              <w:rPr>
                <w:noProof/>
                <w:webHidden/>
              </w:rPr>
            </w:r>
            <w:r w:rsidR="008E5B23">
              <w:rPr>
                <w:noProof/>
                <w:webHidden/>
              </w:rPr>
              <w:fldChar w:fldCharType="separate"/>
            </w:r>
            <w:r w:rsidR="009A104A">
              <w:rPr>
                <w:noProof/>
                <w:webHidden/>
              </w:rPr>
              <w:t>7</w:t>
            </w:r>
            <w:r w:rsidR="008E5B23">
              <w:rPr>
                <w:noProof/>
                <w:webHidden/>
              </w:rPr>
              <w:fldChar w:fldCharType="end"/>
            </w:r>
          </w:hyperlink>
        </w:p>
        <w:p w14:paraId="2A1DFADA" w14:textId="20C242A5"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09" w:history="1">
            <w:r w:rsidR="008E5B23" w:rsidRPr="001C1FD2">
              <w:rPr>
                <w:rStyle w:val="Hyperlink"/>
                <w:noProof/>
              </w:rPr>
              <w:t>Legal Factors</w:t>
            </w:r>
            <w:r w:rsidR="008E5B23">
              <w:rPr>
                <w:noProof/>
                <w:webHidden/>
              </w:rPr>
              <w:tab/>
            </w:r>
            <w:r w:rsidR="008E5B23">
              <w:rPr>
                <w:noProof/>
                <w:webHidden/>
              </w:rPr>
              <w:fldChar w:fldCharType="begin"/>
            </w:r>
            <w:r w:rsidR="008E5B23">
              <w:rPr>
                <w:noProof/>
                <w:webHidden/>
              </w:rPr>
              <w:instrText xml:space="preserve"> PAGEREF _Toc224930709 \h </w:instrText>
            </w:r>
            <w:r w:rsidR="008E5B23">
              <w:rPr>
                <w:noProof/>
                <w:webHidden/>
              </w:rPr>
            </w:r>
            <w:r w:rsidR="008E5B23">
              <w:rPr>
                <w:noProof/>
                <w:webHidden/>
              </w:rPr>
              <w:fldChar w:fldCharType="separate"/>
            </w:r>
            <w:r w:rsidR="009A104A">
              <w:rPr>
                <w:noProof/>
                <w:webHidden/>
              </w:rPr>
              <w:t>8</w:t>
            </w:r>
            <w:r w:rsidR="008E5B23">
              <w:rPr>
                <w:noProof/>
                <w:webHidden/>
              </w:rPr>
              <w:fldChar w:fldCharType="end"/>
            </w:r>
          </w:hyperlink>
        </w:p>
        <w:p w14:paraId="5B2D5742" w14:textId="3783425F"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10" w:history="1">
            <w:r w:rsidR="008E5B23" w:rsidRPr="001C1FD2">
              <w:rPr>
                <w:rStyle w:val="Hyperlink"/>
                <w:noProof/>
              </w:rPr>
              <w:t>2.2 Critical Success Factors and Strategic Challenges</w:t>
            </w:r>
            <w:r w:rsidR="008E5B23">
              <w:rPr>
                <w:noProof/>
                <w:webHidden/>
              </w:rPr>
              <w:tab/>
            </w:r>
            <w:r w:rsidR="008E5B23">
              <w:rPr>
                <w:noProof/>
                <w:webHidden/>
              </w:rPr>
              <w:fldChar w:fldCharType="begin"/>
            </w:r>
            <w:r w:rsidR="008E5B23">
              <w:rPr>
                <w:noProof/>
                <w:webHidden/>
              </w:rPr>
              <w:instrText xml:space="preserve"> PAGEREF _Toc224930710 \h </w:instrText>
            </w:r>
            <w:r w:rsidR="008E5B23">
              <w:rPr>
                <w:noProof/>
                <w:webHidden/>
              </w:rPr>
            </w:r>
            <w:r w:rsidR="008E5B23">
              <w:rPr>
                <w:noProof/>
                <w:webHidden/>
              </w:rPr>
              <w:fldChar w:fldCharType="separate"/>
            </w:r>
            <w:r w:rsidR="009A104A">
              <w:rPr>
                <w:noProof/>
                <w:webHidden/>
              </w:rPr>
              <w:t>8</w:t>
            </w:r>
            <w:r w:rsidR="008E5B23">
              <w:rPr>
                <w:noProof/>
                <w:webHidden/>
              </w:rPr>
              <w:fldChar w:fldCharType="end"/>
            </w:r>
          </w:hyperlink>
        </w:p>
        <w:p w14:paraId="7579658D" w14:textId="58DF49E9"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1" w:history="1">
            <w:r w:rsidR="008E5B23" w:rsidRPr="001C1FD2">
              <w:rPr>
                <w:rStyle w:val="Hyperlink"/>
                <w:noProof/>
              </w:rPr>
              <w:t>Critical Success Factors</w:t>
            </w:r>
            <w:r w:rsidR="008E5B23">
              <w:rPr>
                <w:noProof/>
                <w:webHidden/>
              </w:rPr>
              <w:tab/>
            </w:r>
            <w:r w:rsidR="008E5B23">
              <w:rPr>
                <w:noProof/>
                <w:webHidden/>
              </w:rPr>
              <w:fldChar w:fldCharType="begin"/>
            </w:r>
            <w:r w:rsidR="008E5B23">
              <w:rPr>
                <w:noProof/>
                <w:webHidden/>
              </w:rPr>
              <w:instrText xml:space="preserve"> PAGEREF _Toc224930711 \h </w:instrText>
            </w:r>
            <w:r w:rsidR="008E5B23">
              <w:rPr>
                <w:noProof/>
                <w:webHidden/>
              </w:rPr>
            </w:r>
            <w:r w:rsidR="008E5B23">
              <w:rPr>
                <w:noProof/>
                <w:webHidden/>
              </w:rPr>
              <w:fldChar w:fldCharType="separate"/>
            </w:r>
            <w:r w:rsidR="009A104A">
              <w:rPr>
                <w:noProof/>
                <w:webHidden/>
              </w:rPr>
              <w:t>8</w:t>
            </w:r>
            <w:r w:rsidR="008E5B23">
              <w:rPr>
                <w:noProof/>
                <w:webHidden/>
              </w:rPr>
              <w:fldChar w:fldCharType="end"/>
            </w:r>
          </w:hyperlink>
        </w:p>
        <w:p w14:paraId="4D39C59D" w14:textId="707CBC11"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2" w:history="1">
            <w:r w:rsidR="008E5B23" w:rsidRPr="001C1FD2">
              <w:rPr>
                <w:rStyle w:val="Hyperlink"/>
                <w:noProof/>
              </w:rPr>
              <w:t>Strategic Challenges</w:t>
            </w:r>
            <w:r w:rsidR="008E5B23">
              <w:rPr>
                <w:noProof/>
                <w:webHidden/>
              </w:rPr>
              <w:tab/>
            </w:r>
            <w:r w:rsidR="008E5B23">
              <w:rPr>
                <w:noProof/>
                <w:webHidden/>
              </w:rPr>
              <w:fldChar w:fldCharType="begin"/>
            </w:r>
            <w:r w:rsidR="008E5B23">
              <w:rPr>
                <w:noProof/>
                <w:webHidden/>
              </w:rPr>
              <w:instrText xml:space="preserve"> PAGEREF _Toc224930712 \h </w:instrText>
            </w:r>
            <w:r w:rsidR="008E5B23">
              <w:rPr>
                <w:noProof/>
                <w:webHidden/>
              </w:rPr>
            </w:r>
            <w:r w:rsidR="008E5B23">
              <w:rPr>
                <w:noProof/>
                <w:webHidden/>
              </w:rPr>
              <w:fldChar w:fldCharType="separate"/>
            </w:r>
            <w:r w:rsidR="009A104A">
              <w:rPr>
                <w:noProof/>
                <w:webHidden/>
              </w:rPr>
              <w:t>8</w:t>
            </w:r>
            <w:r w:rsidR="008E5B23">
              <w:rPr>
                <w:noProof/>
                <w:webHidden/>
              </w:rPr>
              <w:fldChar w:fldCharType="end"/>
            </w:r>
          </w:hyperlink>
        </w:p>
        <w:p w14:paraId="3C5EE763" w14:textId="11FFF510"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13" w:history="1">
            <w:r w:rsidR="008E5B23" w:rsidRPr="001C1FD2">
              <w:rPr>
                <w:rStyle w:val="Hyperlink"/>
                <w:noProof/>
              </w:rPr>
              <w:t>2.3 Internal Environment Analysis</w:t>
            </w:r>
            <w:r w:rsidR="008E5B23">
              <w:rPr>
                <w:noProof/>
                <w:webHidden/>
              </w:rPr>
              <w:tab/>
            </w:r>
            <w:r w:rsidR="008E5B23">
              <w:rPr>
                <w:noProof/>
                <w:webHidden/>
              </w:rPr>
              <w:fldChar w:fldCharType="begin"/>
            </w:r>
            <w:r w:rsidR="008E5B23">
              <w:rPr>
                <w:noProof/>
                <w:webHidden/>
              </w:rPr>
              <w:instrText xml:space="preserve"> PAGEREF _Toc224930713 \h </w:instrText>
            </w:r>
            <w:r w:rsidR="008E5B23">
              <w:rPr>
                <w:noProof/>
                <w:webHidden/>
              </w:rPr>
            </w:r>
            <w:r w:rsidR="008E5B23">
              <w:rPr>
                <w:noProof/>
                <w:webHidden/>
              </w:rPr>
              <w:fldChar w:fldCharType="separate"/>
            </w:r>
            <w:r w:rsidR="009A104A">
              <w:rPr>
                <w:noProof/>
                <w:webHidden/>
              </w:rPr>
              <w:t>9</w:t>
            </w:r>
            <w:r w:rsidR="008E5B23">
              <w:rPr>
                <w:noProof/>
                <w:webHidden/>
              </w:rPr>
              <w:fldChar w:fldCharType="end"/>
            </w:r>
          </w:hyperlink>
        </w:p>
        <w:p w14:paraId="1FDF8228" w14:textId="7E3EB13C"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4" w:history="1">
            <w:r w:rsidR="008E5B23" w:rsidRPr="001C1FD2">
              <w:rPr>
                <w:rStyle w:val="Hyperlink"/>
                <w:noProof/>
              </w:rPr>
              <w:t>Resources and Capabilities</w:t>
            </w:r>
            <w:r w:rsidR="008E5B23">
              <w:rPr>
                <w:noProof/>
                <w:webHidden/>
              </w:rPr>
              <w:tab/>
            </w:r>
            <w:r w:rsidR="008E5B23">
              <w:rPr>
                <w:noProof/>
                <w:webHidden/>
              </w:rPr>
              <w:fldChar w:fldCharType="begin"/>
            </w:r>
            <w:r w:rsidR="008E5B23">
              <w:rPr>
                <w:noProof/>
                <w:webHidden/>
              </w:rPr>
              <w:instrText xml:space="preserve"> PAGEREF _Toc224930714 \h </w:instrText>
            </w:r>
            <w:r w:rsidR="008E5B23">
              <w:rPr>
                <w:noProof/>
                <w:webHidden/>
              </w:rPr>
            </w:r>
            <w:r w:rsidR="008E5B23">
              <w:rPr>
                <w:noProof/>
                <w:webHidden/>
              </w:rPr>
              <w:fldChar w:fldCharType="separate"/>
            </w:r>
            <w:r w:rsidR="009A104A">
              <w:rPr>
                <w:noProof/>
                <w:webHidden/>
              </w:rPr>
              <w:t>9</w:t>
            </w:r>
            <w:r w:rsidR="008E5B23">
              <w:rPr>
                <w:noProof/>
                <w:webHidden/>
              </w:rPr>
              <w:fldChar w:fldCharType="end"/>
            </w:r>
          </w:hyperlink>
        </w:p>
        <w:p w14:paraId="5C90ED0E" w14:textId="75B25207"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5" w:history="1">
            <w:r w:rsidR="008E5B23" w:rsidRPr="001C1FD2">
              <w:rPr>
                <w:rStyle w:val="Hyperlink"/>
                <w:noProof/>
              </w:rPr>
              <w:t>Core Competencies</w:t>
            </w:r>
            <w:r w:rsidR="008E5B23">
              <w:rPr>
                <w:noProof/>
                <w:webHidden/>
              </w:rPr>
              <w:tab/>
            </w:r>
            <w:r w:rsidR="008E5B23">
              <w:rPr>
                <w:noProof/>
                <w:webHidden/>
              </w:rPr>
              <w:fldChar w:fldCharType="begin"/>
            </w:r>
            <w:r w:rsidR="008E5B23">
              <w:rPr>
                <w:noProof/>
                <w:webHidden/>
              </w:rPr>
              <w:instrText xml:space="preserve"> PAGEREF _Toc224930715 \h </w:instrText>
            </w:r>
            <w:r w:rsidR="008E5B23">
              <w:rPr>
                <w:noProof/>
                <w:webHidden/>
              </w:rPr>
            </w:r>
            <w:r w:rsidR="008E5B23">
              <w:rPr>
                <w:noProof/>
                <w:webHidden/>
              </w:rPr>
              <w:fldChar w:fldCharType="separate"/>
            </w:r>
            <w:r w:rsidR="009A104A">
              <w:rPr>
                <w:noProof/>
                <w:webHidden/>
              </w:rPr>
              <w:t>9</w:t>
            </w:r>
            <w:r w:rsidR="008E5B23">
              <w:rPr>
                <w:noProof/>
                <w:webHidden/>
              </w:rPr>
              <w:fldChar w:fldCharType="end"/>
            </w:r>
          </w:hyperlink>
        </w:p>
        <w:p w14:paraId="3EE31897" w14:textId="4B897216"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16" w:history="1">
            <w:r w:rsidR="008E5B23" w:rsidRPr="001C1FD2">
              <w:rPr>
                <w:rStyle w:val="Hyperlink"/>
                <w:noProof/>
              </w:rPr>
              <w:t>2.4 VRIO Analysis of Strategic Capabilities</w:t>
            </w:r>
            <w:r w:rsidR="008E5B23">
              <w:rPr>
                <w:noProof/>
                <w:webHidden/>
              </w:rPr>
              <w:tab/>
            </w:r>
            <w:r w:rsidR="008E5B23">
              <w:rPr>
                <w:noProof/>
                <w:webHidden/>
              </w:rPr>
              <w:fldChar w:fldCharType="begin"/>
            </w:r>
            <w:r w:rsidR="008E5B23">
              <w:rPr>
                <w:noProof/>
                <w:webHidden/>
              </w:rPr>
              <w:instrText xml:space="preserve"> PAGEREF _Toc224930716 \h </w:instrText>
            </w:r>
            <w:r w:rsidR="008E5B23">
              <w:rPr>
                <w:noProof/>
                <w:webHidden/>
              </w:rPr>
            </w:r>
            <w:r w:rsidR="008E5B23">
              <w:rPr>
                <w:noProof/>
                <w:webHidden/>
              </w:rPr>
              <w:fldChar w:fldCharType="separate"/>
            </w:r>
            <w:r w:rsidR="009A104A">
              <w:rPr>
                <w:noProof/>
                <w:webHidden/>
              </w:rPr>
              <w:t>9</w:t>
            </w:r>
            <w:r w:rsidR="008E5B23">
              <w:rPr>
                <w:noProof/>
                <w:webHidden/>
              </w:rPr>
              <w:fldChar w:fldCharType="end"/>
            </w:r>
          </w:hyperlink>
        </w:p>
        <w:p w14:paraId="29331EEA" w14:textId="485DDEF7"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7" w:history="1">
            <w:r w:rsidR="008E5B23" w:rsidRPr="001C1FD2">
              <w:rPr>
                <w:rStyle w:val="Hyperlink"/>
                <w:noProof/>
              </w:rPr>
              <w:t>Value</w:t>
            </w:r>
            <w:r w:rsidR="008E5B23">
              <w:rPr>
                <w:noProof/>
                <w:webHidden/>
              </w:rPr>
              <w:tab/>
            </w:r>
            <w:r w:rsidR="008E5B23">
              <w:rPr>
                <w:noProof/>
                <w:webHidden/>
              </w:rPr>
              <w:fldChar w:fldCharType="begin"/>
            </w:r>
            <w:r w:rsidR="008E5B23">
              <w:rPr>
                <w:noProof/>
                <w:webHidden/>
              </w:rPr>
              <w:instrText xml:space="preserve"> PAGEREF _Toc224930717 \h </w:instrText>
            </w:r>
            <w:r w:rsidR="008E5B23">
              <w:rPr>
                <w:noProof/>
                <w:webHidden/>
              </w:rPr>
            </w:r>
            <w:r w:rsidR="008E5B23">
              <w:rPr>
                <w:noProof/>
                <w:webHidden/>
              </w:rPr>
              <w:fldChar w:fldCharType="separate"/>
            </w:r>
            <w:r w:rsidR="009A104A">
              <w:rPr>
                <w:noProof/>
                <w:webHidden/>
              </w:rPr>
              <w:t>10</w:t>
            </w:r>
            <w:r w:rsidR="008E5B23">
              <w:rPr>
                <w:noProof/>
                <w:webHidden/>
              </w:rPr>
              <w:fldChar w:fldCharType="end"/>
            </w:r>
          </w:hyperlink>
        </w:p>
        <w:p w14:paraId="2935CA7B" w14:textId="65C9A5AD"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8" w:history="1">
            <w:r w:rsidR="008E5B23" w:rsidRPr="001C1FD2">
              <w:rPr>
                <w:rStyle w:val="Hyperlink"/>
                <w:noProof/>
              </w:rPr>
              <w:t>Rarity</w:t>
            </w:r>
            <w:r w:rsidR="008E5B23">
              <w:rPr>
                <w:noProof/>
                <w:webHidden/>
              </w:rPr>
              <w:tab/>
            </w:r>
            <w:r w:rsidR="008E5B23">
              <w:rPr>
                <w:noProof/>
                <w:webHidden/>
              </w:rPr>
              <w:fldChar w:fldCharType="begin"/>
            </w:r>
            <w:r w:rsidR="008E5B23">
              <w:rPr>
                <w:noProof/>
                <w:webHidden/>
              </w:rPr>
              <w:instrText xml:space="preserve"> PAGEREF _Toc224930718 \h </w:instrText>
            </w:r>
            <w:r w:rsidR="008E5B23">
              <w:rPr>
                <w:noProof/>
                <w:webHidden/>
              </w:rPr>
            </w:r>
            <w:r w:rsidR="008E5B23">
              <w:rPr>
                <w:noProof/>
                <w:webHidden/>
              </w:rPr>
              <w:fldChar w:fldCharType="separate"/>
            </w:r>
            <w:r w:rsidR="009A104A">
              <w:rPr>
                <w:noProof/>
                <w:webHidden/>
              </w:rPr>
              <w:t>10</w:t>
            </w:r>
            <w:r w:rsidR="008E5B23">
              <w:rPr>
                <w:noProof/>
                <w:webHidden/>
              </w:rPr>
              <w:fldChar w:fldCharType="end"/>
            </w:r>
          </w:hyperlink>
        </w:p>
        <w:p w14:paraId="0FA59180" w14:textId="4C6E66E2"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19" w:history="1">
            <w:r w:rsidR="008E5B23" w:rsidRPr="001C1FD2">
              <w:rPr>
                <w:rStyle w:val="Hyperlink"/>
                <w:noProof/>
              </w:rPr>
              <w:t>Imitability</w:t>
            </w:r>
            <w:r w:rsidR="008E5B23">
              <w:rPr>
                <w:noProof/>
                <w:webHidden/>
              </w:rPr>
              <w:tab/>
            </w:r>
            <w:r w:rsidR="008E5B23">
              <w:rPr>
                <w:noProof/>
                <w:webHidden/>
              </w:rPr>
              <w:fldChar w:fldCharType="begin"/>
            </w:r>
            <w:r w:rsidR="008E5B23">
              <w:rPr>
                <w:noProof/>
                <w:webHidden/>
              </w:rPr>
              <w:instrText xml:space="preserve"> PAGEREF _Toc224930719 \h </w:instrText>
            </w:r>
            <w:r w:rsidR="008E5B23">
              <w:rPr>
                <w:noProof/>
                <w:webHidden/>
              </w:rPr>
            </w:r>
            <w:r w:rsidR="008E5B23">
              <w:rPr>
                <w:noProof/>
                <w:webHidden/>
              </w:rPr>
              <w:fldChar w:fldCharType="separate"/>
            </w:r>
            <w:r w:rsidR="009A104A">
              <w:rPr>
                <w:noProof/>
                <w:webHidden/>
              </w:rPr>
              <w:t>10</w:t>
            </w:r>
            <w:r w:rsidR="008E5B23">
              <w:rPr>
                <w:noProof/>
                <w:webHidden/>
              </w:rPr>
              <w:fldChar w:fldCharType="end"/>
            </w:r>
          </w:hyperlink>
        </w:p>
        <w:p w14:paraId="5DCB938B" w14:textId="2A3BAB1C" w:rsidR="008E5B23" w:rsidRDefault="00867FAB">
          <w:pPr>
            <w:pStyle w:val="TOC3"/>
            <w:tabs>
              <w:tab w:val="right" w:leader="dot" w:pos="9016"/>
            </w:tabs>
            <w:rPr>
              <w:rFonts w:asciiTheme="minorHAnsi" w:eastAsiaTheme="minorEastAsia" w:hAnsiTheme="minorHAnsi" w:cstheme="minorBidi"/>
              <w:noProof/>
              <w:sz w:val="22"/>
              <w:szCs w:val="22"/>
              <w:lang w:val="en-US"/>
            </w:rPr>
          </w:pPr>
          <w:hyperlink w:anchor="_Toc224930720" w:history="1">
            <w:r w:rsidR="008E5B23" w:rsidRPr="001C1FD2">
              <w:rPr>
                <w:rStyle w:val="Hyperlink"/>
                <w:noProof/>
              </w:rPr>
              <w:t>Organisation</w:t>
            </w:r>
            <w:r w:rsidR="008E5B23">
              <w:rPr>
                <w:noProof/>
                <w:webHidden/>
              </w:rPr>
              <w:tab/>
            </w:r>
            <w:r w:rsidR="008E5B23">
              <w:rPr>
                <w:noProof/>
                <w:webHidden/>
              </w:rPr>
              <w:fldChar w:fldCharType="begin"/>
            </w:r>
            <w:r w:rsidR="008E5B23">
              <w:rPr>
                <w:noProof/>
                <w:webHidden/>
              </w:rPr>
              <w:instrText xml:space="preserve"> PAGEREF _Toc224930720 \h </w:instrText>
            </w:r>
            <w:r w:rsidR="008E5B23">
              <w:rPr>
                <w:noProof/>
                <w:webHidden/>
              </w:rPr>
            </w:r>
            <w:r w:rsidR="008E5B23">
              <w:rPr>
                <w:noProof/>
                <w:webHidden/>
              </w:rPr>
              <w:fldChar w:fldCharType="separate"/>
            </w:r>
            <w:r w:rsidR="009A104A">
              <w:rPr>
                <w:noProof/>
                <w:webHidden/>
              </w:rPr>
              <w:t>10</w:t>
            </w:r>
            <w:r w:rsidR="008E5B23">
              <w:rPr>
                <w:noProof/>
                <w:webHidden/>
              </w:rPr>
              <w:fldChar w:fldCharType="end"/>
            </w:r>
          </w:hyperlink>
        </w:p>
        <w:p w14:paraId="65E8369A" w14:textId="0D9E1741"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21" w:history="1">
            <w:r w:rsidR="008E5B23" w:rsidRPr="001C1FD2">
              <w:rPr>
                <w:rStyle w:val="Hyperlink"/>
                <w:noProof/>
              </w:rPr>
              <w:t>2.5 Internal Strengths and Competitive Advantage</w:t>
            </w:r>
            <w:r w:rsidR="008E5B23">
              <w:rPr>
                <w:noProof/>
                <w:webHidden/>
              </w:rPr>
              <w:tab/>
            </w:r>
            <w:r w:rsidR="008E5B23">
              <w:rPr>
                <w:noProof/>
                <w:webHidden/>
              </w:rPr>
              <w:fldChar w:fldCharType="begin"/>
            </w:r>
            <w:r w:rsidR="008E5B23">
              <w:rPr>
                <w:noProof/>
                <w:webHidden/>
              </w:rPr>
              <w:instrText xml:space="preserve"> PAGEREF _Toc224930721 \h </w:instrText>
            </w:r>
            <w:r w:rsidR="008E5B23">
              <w:rPr>
                <w:noProof/>
                <w:webHidden/>
              </w:rPr>
            </w:r>
            <w:r w:rsidR="008E5B23">
              <w:rPr>
                <w:noProof/>
                <w:webHidden/>
              </w:rPr>
              <w:fldChar w:fldCharType="separate"/>
            </w:r>
            <w:r w:rsidR="009A104A">
              <w:rPr>
                <w:noProof/>
                <w:webHidden/>
              </w:rPr>
              <w:t>11</w:t>
            </w:r>
            <w:r w:rsidR="008E5B23">
              <w:rPr>
                <w:noProof/>
                <w:webHidden/>
              </w:rPr>
              <w:fldChar w:fldCharType="end"/>
            </w:r>
          </w:hyperlink>
        </w:p>
        <w:p w14:paraId="18839C7F" w14:textId="00B1C70E"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2" w:history="1">
            <w:r w:rsidR="008E5B23" w:rsidRPr="001C1FD2">
              <w:rPr>
                <w:rStyle w:val="Hyperlink"/>
                <w:noProof/>
              </w:rPr>
              <w:t>3. CSR &amp; Sustainability</w:t>
            </w:r>
            <w:r w:rsidR="008E5B23">
              <w:rPr>
                <w:noProof/>
                <w:webHidden/>
              </w:rPr>
              <w:tab/>
            </w:r>
            <w:r w:rsidR="008E5B23">
              <w:rPr>
                <w:noProof/>
                <w:webHidden/>
              </w:rPr>
              <w:fldChar w:fldCharType="begin"/>
            </w:r>
            <w:r w:rsidR="008E5B23">
              <w:rPr>
                <w:noProof/>
                <w:webHidden/>
              </w:rPr>
              <w:instrText xml:space="preserve"> PAGEREF _Toc224930722 \h </w:instrText>
            </w:r>
            <w:r w:rsidR="008E5B23">
              <w:rPr>
                <w:noProof/>
                <w:webHidden/>
              </w:rPr>
            </w:r>
            <w:r w:rsidR="008E5B23">
              <w:rPr>
                <w:noProof/>
                <w:webHidden/>
              </w:rPr>
              <w:fldChar w:fldCharType="separate"/>
            </w:r>
            <w:r w:rsidR="009A104A">
              <w:rPr>
                <w:noProof/>
                <w:webHidden/>
              </w:rPr>
              <w:t>11</w:t>
            </w:r>
            <w:r w:rsidR="008E5B23">
              <w:rPr>
                <w:noProof/>
                <w:webHidden/>
              </w:rPr>
              <w:fldChar w:fldCharType="end"/>
            </w:r>
          </w:hyperlink>
        </w:p>
        <w:p w14:paraId="0C1772DB" w14:textId="5F3DC0E4"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3" w:history="1">
            <w:r w:rsidR="008E5B23" w:rsidRPr="001C1FD2">
              <w:rPr>
                <w:rStyle w:val="Hyperlink"/>
                <w:noProof/>
              </w:rPr>
              <w:t>4. Balanced Scorecard</w:t>
            </w:r>
            <w:r w:rsidR="008E5B23">
              <w:rPr>
                <w:noProof/>
                <w:webHidden/>
              </w:rPr>
              <w:tab/>
            </w:r>
            <w:r w:rsidR="008E5B23">
              <w:rPr>
                <w:noProof/>
                <w:webHidden/>
              </w:rPr>
              <w:fldChar w:fldCharType="begin"/>
            </w:r>
            <w:r w:rsidR="008E5B23">
              <w:rPr>
                <w:noProof/>
                <w:webHidden/>
              </w:rPr>
              <w:instrText xml:space="preserve"> PAGEREF _Toc224930723 \h </w:instrText>
            </w:r>
            <w:r w:rsidR="008E5B23">
              <w:rPr>
                <w:noProof/>
                <w:webHidden/>
              </w:rPr>
            </w:r>
            <w:r w:rsidR="008E5B23">
              <w:rPr>
                <w:noProof/>
                <w:webHidden/>
              </w:rPr>
              <w:fldChar w:fldCharType="separate"/>
            </w:r>
            <w:r w:rsidR="009A104A">
              <w:rPr>
                <w:noProof/>
                <w:webHidden/>
              </w:rPr>
              <w:t>13</w:t>
            </w:r>
            <w:r w:rsidR="008E5B23">
              <w:rPr>
                <w:noProof/>
                <w:webHidden/>
              </w:rPr>
              <w:fldChar w:fldCharType="end"/>
            </w:r>
          </w:hyperlink>
        </w:p>
        <w:p w14:paraId="7A9DF04E" w14:textId="6756E94C"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4" w:history="1">
            <w:r w:rsidR="008E5B23" w:rsidRPr="001C1FD2">
              <w:rPr>
                <w:rStyle w:val="Hyperlink"/>
                <w:noProof/>
              </w:rPr>
              <w:t>5. Strategic Choices &amp; Implementation</w:t>
            </w:r>
            <w:r w:rsidR="008E5B23">
              <w:rPr>
                <w:noProof/>
                <w:webHidden/>
              </w:rPr>
              <w:tab/>
            </w:r>
            <w:r w:rsidR="008E5B23">
              <w:rPr>
                <w:noProof/>
                <w:webHidden/>
              </w:rPr>
              <w:fldChar w:fldCharType="begin"/>
            </w:r>
            <w:r w:rsidR="008E5B23">
              <w:rPr>
                <w:noProof/>
                <w:webHidden/>
              </w:rPr>
              <w:instrText xml:space="preserve"> PAGEREF _Toc224930724 \h </w:instrText>
            </w:r>
            <w:r w:rsidR="008E5B23">
              <w:rPr>
                <w:noProof/>
                <w:webHidden/>
              </w:rPr>
            </w:r>
            <w:r w:rsidR="008E5B23">
              <w:rPr>
                <w:noProof/>
                <w:webHidden/>
              </w:rPr>
              <w:fldChar w:fldCharType="separate"/>
            </w:r>
            <w:r w:rsidR="009A104A">
              <w:rPr>
                <w:noProof/>
                <w:webHidden/>
              </w:rPr>
              <w:t>15</w:t>
            </w:r>
            <w:r w:rsidR="008E5B23">
              <w:rPr>
                <w:noProof/>
                <w:webHidden/>
              </w:rPr>
              <w:fldChar w:fldCharType="end"/>
            </w:r>
          </w:hyperlink>
        </w:p>
        <w:p w14:paraId="1818DBBF" w14:textId="6D16DAE7"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5" w:history="1">
            <w:r w:rsidR="008E5B23" w:rsidRPr="001C1FD2">
              <w:rPr>
                <w:rStyle w:val="Hyperlink"/>
                <w:noProof/>
              </w:rPr>
              <w:t>6. Strategic Evaluation &amp; Recommendations</w:t>
            </w:r>
            <w:r w:rsidR="008E5B23">
              <w:rPr>
                <w:noProof/>
                <w:webHidden/>
              </w:rPr>
              <w:tab/>
            </w:r>
            <w:r w:rsidR="008E5B23">
              <w:rPr>
                <w:noProof/>
                <w:webHidden/>
              </w:rPr>
              <w:fldChar w:fldCharType="begin"/>
            </w:r>
            <w:r w:rsidR="008E5B23">
              <w:rPr>
                <w:noProof/>
                <w:webHidden/>
              </w:rPr>
              <w:instrText xml:space="preserve"> PAGEREF _Toc224930725 \h </w:instrText>
            </w:r>
            <w:r w:rsidR="008E5B23">
              <w:rPr>
                <w:noProof/>
                <w:webHidden/>
              </w:rPr>
            </w:r>
            <w:r w:rsidR="008E5B23">
              <w:rPr>
                <w:noProof/>
                <w:webHidden/>
              </w:rPr>
              <w:fldChar w:fldCharType="separate"/>
            </w:r>
            <w:r w:rsidR="009A104A">
              <w:rPr>
                <w:noProof/>
                <w:webHidden/>
              </w:rPr>
              <w:t>17</w:t>
            </w:r>
            <w:r w:rsidR="008E5B23">
              <w:rPr>
                <w:noProof/>
                <w:webHidden/>
              </w:rPr>
              <w:fldChar w:fldCharType="end"/>
            </w:r>
          </w:hyperlink>
        </w:p>
        <w:p w14:paraId="0CB2E829" w14:textId="1A0BD8B5"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26" w:history="1">
            <w:r w:rsidR="008E5B23" w:rsidRPr="001C1FD2">
              <w:rPr>
                <w:rStyle w:val="Hyperlink"/>
                <w:noProof/>
              </w:rPr>
              <w:t>6.1 Strategic Evolution</w:t>
            </w:r>
            <w:r w:rsidR="008E5B23">
              <w:rPr>
                <w:noProof/>
                <w:webHidden/>
              </w:rPr>
              <w:tab/>
            </w:r>
            <w:r w:rsidR="008E5B23">
              <w:rPr>
                <w:noProof/>
                <w:webHidden/>
              </w:rPr>
              <w:fldChar w:fldCharType="begin"/>
            </w:r>
            <w:r w:rsidR="008E5B23">
              <w:rPr>
                <w:noProof/>
                <w:webHidden/>
              </w:rPr>
              <w:instrText xml:space="preserve"> PAGEREF _Toc224930726 \h </w:instrText>
            </w:r>
            <w:r w:rsidR="008E5B23">
              <w:rPr>
                <w:noProof/>
                <w:webHidden/>
              </w:rPr>
            </w:r>
            <w:r w:rsidR="008E5B23">
              <w:rPr>
                <w:noProof/>
                <w:webHidden/>
              </w:rPr>
              <w:fldChar w:fldCharType="separate"/>
            </w:r>
            <w:r w:rsidR="009A104A">
              <w:rPr>
                <w:noProof/>
                <w:webHidden/>
              </w:rPr>
              <w:t>17</w:t>
            </w:r>
            <w:r w:rsidR="008E5B23">
              <w:rPr>
                <w:noProof/>
                <w:webHidden/>
              </w:rPr>
              <w:fldChar w:fldCharType="end"/>
            </w:r>
          </w:hyperlink>
        </w:p>
        <w:p w14:paraId="46812218" w14:textId="5CE6834B" w:rsidR="008E5B23" w:rsidRDefault="00867FAB">
          <w:pPr>
            <w:pStyle w:val="TOC2"/>
            <w:tabs>
              <w:tab w:val="right" w:leader="dot" w:pos="9016"/>
            </w:tabs>
            <w:rPr>
              <w:rFonts w:asciiTheme="minorHAnsi" w:eastAsiaTheme="minorEastAsia" w:hAnsiTheme="minorHAnsi" w:cstheme="minorBidi"/>
              <w:noProof/>
              <w:sz w:val="22"/>
              <w:szCs w:val="22"/>
              <w:lang w:val="en-US"/>
            </w:rPr>
          </w:pPr>
          <w:hyperlink w:anchor="_Toc224930727" w:history="1">
            <w:r w:rsidR="008E5B23" w:rsidRPr="001C1FD2">
              <w:rPr>
                <w:rStyle w:val="Hyperlink"/>
                <w:noProof/>
              </w:rPr>
              <w:t>6.2 Recommendations</w:t>
            </w:r>
            <w:r w:rsidR="008E5B23">
              <w:rPr>
                <w:noProof/>
                <w:webHidden/>
              </w:rPr>
              <w:tab/>
            </w:r>
            <w:r w:rsidR="008E5B23">
              <w:rPr>
                <w:noProof/>
                <w:webHidden/>
              </w:rPr>
              <w:fldChar w:fldCharType="begin"/>
            </w:r>
            <w:r w:rsidR="008E5B23">
              <w:rPr>
                <w:noProof/>
                <w:webHidden/>
              </w:rPr>
              <w:instrText xml:space="preserve"> PAGEREF _Toc224930727 \h </w:instrText>
            </w:r>
            <w:r w:rsidR="008E5B23">
              <w:rPr>
                <w:noProof/>
                <w:webHidden/>
              </w:rPr>
            </w:r>
            <w:r w:rsidR="008E5B23">
              <w:rPr>
                <w:noProof/>
                <w:webHidden/>
              </w:rPr>
              <w:fldChar w:fldCharType="separate"/>
            </w:r>
            <w:r w:rsidR="009A104A">
              <w:rPr>
                <w:noProof/>
                <w:webHidden/>
              </w:rPr>
              <w:t>19</w:t>
            </w:r>
            <w:r w:rsidR="008E5B23">
              <w:rPr>
                <w:noProof/>
                <w:webHidden/>
              </w:rPr>
              <w:fldChar w:fldCharType="end"/>
            </w:r>
          </w:hyperlink>
        </w:p>
        <w:p w14:paraId="6305CB35" w14:textId="75AE0B92"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8" w:history="1">
            <w:r w:rsidR="008E5B23" w:rsidRPr="001C1FD2">
              <w:rPr>
                <w:rStyle w:val="Hyperlink"/>
                <w:noProof/>
              </w:rPr>
              <w:t>SECTION 2: Reflective Report using Gibbs’ Reflective Cycle</w:t>
            </w:r>
            <w:r w:rsidR="008E5B23">
              <w:rPr>
                <w:noProof/>
                <w:webHidden/>
              </w:rPr>
              <w:tab/>
            </w:r>
            <w:r w:rsidR="008E5B23">
              <w:rPr>
                <w:noProof/>
                <w:webHidden/>
              </w:rPr>
              <w:fldChar w:fldCharType="begin"/>
            </w:r>
            <w:r w:rsidR="008E5B23">
              <w:rPr>
                <w:noProof/>
                <w:webHidden/>
              </w:rPr>
              <w:instrText xml:space="preserve"> PAGEREF _Toc224930728 \h </w:instrText>
            </w:r>
            <w:r w:rsidR="008E5B23">
              <w:rPr>
                <w:noProof/>
                <w:webHidden/>
              </w:rPr>
            </w:r>
            <w:r w:rsidR="008E5B23">
              <w:rPr>
                <w:noProof/>
                <w:webHidden/>
              </w:rPr>
              <w:fldChar w:fldCharType="separate"/>
            </w:r>
            <w:r w:rsidR="009A104A">
              <w:rPr>
                <w:noProof/>
                <w:webHidden/>
              </w:rPr>
              <w:t>20</w:t>
            </w:r>
            <w:r w:rsidR="008E5B23">
              <w:rPr>
                <w:noProof/>
                <w:webHidden/>
              </w:rPr>
              <w:fldChar w:fldCharType="end"/>
            </w:r>
          </w:hyperlink>
        </w:p>
        <w:p w14:paraId="70519DF2" w14:textId="5C77357B" w:rsidR="008E5B23" w:rsidRDefault="00867FAB">
          <w:pPr>
            <w:pStyle w:val="TOC1"/>
            <w:tabs>
              <w:tab w:val="right" w:leader="dot" w:pos="9016"/>
            </w:tabs>
            <w:rPr>
              <w:rFonts w:asciiTheme="minorHAnsi" w:eastAsiaTheme="minorEastAsia" w:hAnsiTheme="minorHAnsi" w:cstheme="minorBidi"/>
              <w:noProof/>
              <w:sz w:val="22"/>
              <w:szCs w:val="22"/>
              <w:lang w:val="en-US"/>
            </w:rPr>
          </w:pPr>
          <w:hyperlink w:anchor="_Toc224930729" w:history="1">
            <w:r w:rsidR="008E5B23" w:rsidRPr="001C1FD2">
              <w:rPr>
                <w:rStyle w:val="Hyperlink"/>
                <w:noProof/>
              </w:rPr>
              <w:t>Reference List</w:t>
            </w:r>
            <w:r w:rsidR="008E5B23">
              <w:rPr>
                <w:noProof/>
                <w:webHidden/>
              </w:rPr>
              <w:tab/>
            </w:r>
            <w:r w:rsidR="008E5B23">
              <w:rPr>
                <w:noProof/>
                <w:webHidden/>
              </w:rPr>
              <w:fldChar w:fldCharType="begin"/>
            </w:r>
            <w:r w:rsidR="008E5B23">
              <w:rPr>
                <w:noProof/>
                <w:webHidden/>
              </w:rPr>
              <w:instrText xml:space="preserve"> PAGEREF _Toc224930729 \h </w:instrText>
            </w:r>
            <w:r w:rsidR="008E5B23">
              <w:rPr>
                <w:noProof/>
                <w:webHidden/>
              </w:rPr>
            </w:r>
            <w:r w:rsidR="008E5B23">
              <w:rPr>
                <w:noProof/>
                <w:webHidden/>
              </w:rPr>
              <w:fldChar w:fldCharType="separate"/>
            </w:r>
            <w:r w:rsidR="009A104A">
              <w:rPr>
                <w:noProof/>
                <w:webHidden/>
              </w:rPr>
              <w:t>23</w:t>
            </w:r>
            <w:r w:rsidR="008E5B23">
              <w:rPr>
                <w:noProof/>
                <w:webHidden/>
              </w:rPr>
              <w:fldChar w:fldCharType="end"/>
            </w:r>
          </w:hyperlink>
        </w:p>
        <w:p w14:paraId="06254A20" w14:textId="77777777" w:rsidR="00305D30" w:rsidRDefault="00690D2C">
          <w:pPr>
            <w:widowControl w:val="0"/>
            <w:tabs>
              <w:tab w:val="right" w:leader="dot" w:pos="12000"/>
            </w:tabs>
            <w:spacing w:before="60" w:after="0"/>
            <w:rPr>
              <w:color w:val="000000"/>
            </w:rPr>
          </w:pPr>
          <w:r>
            <w:fldChar w:fldCharType="end"/>
          </w:r>
        </w:p>
      </w:sdtContent>
    </w:sdt>
    <w:p w14:paraId="5F994ED1" w14:textId="77777777" w:rsidR="00305D30" w:rsidRDefault="00690D2C">
      <w:pPr>
        <w:pStyle w:val="Heading1"/>
      </w:pPr>
      <w:bookmarkStart w:id="0" w:name="_w1qtsg2z4g6q" w:colFirst="0" w:colLast="0"/>
      <w:bookmarkEnd w:id="0"/>
      <w:r>
        <w:br w:type="page"/>
      </w:r>
    </w:p>
    <w:p w14:paraId="177193AD" w14:textId="77777777" w:rsidR="008E5B23" w:rsidRDefault="008E5B23" w:rsidP="008E5B23">
      <w:pPr>
        <w:pStyle w:val="Heading1"/>
      </w:pPr>
      <w:bookmarkStart w:id="1" w:name="_Toc224930697"/>
      <w:r>
        <w:lastRenderedPageBreak/>
        <w:t>SECTION 1: Strategic  Report</w:t>
      </w:r>
      <w:bookmarkEnd w:id="1"/>
    </w:p>
    <w:p w14:paraId="7B3B0EF6" w14:textId="77777777" w:rsidR="00305D30" w:rsidRDefault="00690D2C">
      <w:pPr>
        <w:pStyle w:val="Heading1"/>
        <w:spacing w:before="360" w:after="80"/>
      </w:pPr>
      <w:bookmarkStart w:id="2" w:name="_Toc224930698"/>
      <w:r>
        <w:t>1. Organisational Context and Overview</w:t>
      </w:r>
      <w:bookmarkEnd w:id="2"/>
    </w:p>
    <w:p w14:paraId="23B9FFA3" w14:textId="77777777" w:rsidR="00305D30" w:rsidRDefault="00690D2C">
      <w:pPr>
        <w:pStyle w:val="Heading2"/>
        <w:spacing w:before="280"/>
        <w:rPr>
          <w:sz w:val="24"/>
          <w:szCs w:val="24"/>
        </w:rPr>
      </w:pPr>
      <w:bookmarkStart w:id="3" w:name="_Toc224930699"/>
      <w:r>
        <w:rPr>
          <w:sz w:val="24"/>
          <w:szCs w:val="24"/>
        </w:rPr>
        <w:t>Company Background</w:t>
      </w:r>
      <w:bookmarkEnd w:id="3"/>
    </w:p>
    <w:p w14:paraId="3190C4E4" w14:textId="77777777" w:rsidR="00305D30" w:rsidRDefault="00690D2C">
      <w:r>
        <w:t>The Volkswagen Group is regarded as one of the world's largest car manufacturers, with its headquarters located in Wolfsburg, Germany. The company was established in 1937, initially intended to produce affordable cars for the German market. However, it is more commonly known for introducing the Beetle, which brought mobility to the mass market. Over time, Volkswagen has evolved to be a global manufacturer of cars that is known to have various brands, including passenger cars, commercial and luxury cars (Volkswagen Group, 2024).</w:t>
      </w:r>
    </w:p>
    <w:p w14:paraId="19DE2CE8" w14:textId="77777777" w:rsidR="00305D30" w:rsidRDefault="00690D2C">
      <w:pPr>
        <w:pStyle w:val="Heading2"/>
        <w:spacing w:before="280"/>
        <w:rPr>
          <w:sz w:val="24"/>
          <w:szCs w:val="24"/>
        </w:rPr>
      </w:pPr>
      <w:bookmarkStart w:id="4" w:name="_Toc224930700"/>
      <w:r>
        <w:rPr>
          <w:sz w:val="24"/>
          <w:szCs w:val="24"/>
        </w:rPr>
        <w:t>Mission, Vision and Business Model</w:t>
      </w:r>
      <w:bookmarkEnd w:id="4"/>
    </w:p>
    <w:p w14:paraId="7B6D7E18" w14:textId="77777777" w:rsidR="00305D30" w:rsidRDefault="00690D2C">
      <w:r>
        <w:t>The Volkswagen mission is focused on sustainable solutions for mobility and maintaining the innovativeness and quality. It has been broadening its perspective to the goal of becoming an electric vehicle (EVs) and digital mobility ecosystem leader, particularly after the reputational loss of an emissions scandal that shook the Volkswagen Dieselgate, which revealed unethical emissions systems, and re-focusing its strategic priorities (Jong and Vivian, 2022). It is a multi-brand operation framework of the business, and the market segment of the business venture entails economy, premium, and other business market segments. According to Volkswagen Group (2024), it has been making giant investments into electrification, software, and platform-based units of production in order to not only reap the benefits of economies of scale but also long-term viability.</w:t>
      </w:r>
    </w:p>
    <w:p w14:paraId="328B594D" w14:textId="77777777" w:rsidR="00305D30" w:rsidRDefault="00690D2C">
      <w:pPr>
        <w:pStyle w:val="Heading2"/>
        <w:spacing w:before="280"/>
        <w:rPr>
          <w:sz w:val="24"/>
          <w:szCs w:val="24"/>
        </w:rPr>
      </w:pPr>
      <w:bookmarkStart w:id="5" w:name="_Toc224930701"/>
      <w:r>
        <w:rPr>
          <w:sz w:val="24"/>
          <w:szCs w:val="24"/>
        </w:rPr>
        <w:t>Industry and Market Position</w:t>
      </w:r>
      <w:bookmarkEnd w:id="5"/>
    </w:p>
    <w:p w14:paraId="26EDBF1C" w14:textId="77777777" w:rsidR="00305D30" w:rsidRDefault="00690D2C">
      <w:r>
        <w:t>VW is an organisation that falls under the international car manufacturing industry, which is characterised by high rates of technological changes, stringent environmental regulations and ruthless competition. The main competitive forces include Toyota Motor Corporation, Tesla, Inc., and BMW Group. The competing areas of these firms are in innovation, price, brand recognition and sustainability programmes.</w:t>
      </w:r>
    </w:p>
    <w:p w14:paraId="09C94A60" w14:textId="77777777" w:rsidR="00305D30" w:rsidRDefault="00690D2C">
      <w:r>
        <w:lastRenderedPageBreak/>
        <w:t>Volkswagen has a strong brand name, global presence, and production, which have enabled the company to stay firm in the market. However, a change of paradigm to the process of electrification and digitalisation is occurring in the industry, and it will require significant strategic changes. The current focus on electric mobility and sustainability has been used by the company to remain competitive when faced with past challenges and will position it as an intermediary between the past of developing the car engine and the future mobility services provider (Volkswagen AG, 2025).</w:t>
      </w:r>
    </w:p>
    <w:p w14:paraId="0A36F701" w14:textId="77777777" w:rsidR="00305D30" w:rsidRDefault="00690D2C">
      <w:pPr>
        <w:pStyle w:val="Heading1"/>
        <w:spacing w:before="360" w:after="80"/>
      </w:pPr>
      <w:bookmarkStart w:id="6" w:name="_Toc224930702"/>
      <w:r>
        <w:t>2. External and Internal Environment Analysis</w:t>
      </w:r>
      <w:bookmarkEnd w:id="6"/>
    </w:p>
    <w:p w14:paraId="79AEA8B1" w14:textId="77777777" w:rsidR="00305D30" w:rsidRDefault="00690D2C">
      <w:pPr>
        <w:pStyle w:val="Heading2"/>
        <w:spacing w:before="280"/>
        <w:rPr>
          <w:sz w:val="24"/>
          <w:szCs w:val="24"/>
        </w:rPr>
      </w:pPr>
      <w:bookmarkStart w:id="7" w:name="_Toc224930703"/>
      <w:r>
        <w:rPr>
          <w:sz w:val="24"/>
          <w:szCs w:val="24"/>
        </w:rPr>
        <w:t>2.1 External Environment Analysis (PESTEL)</w:t>
      </w:r>
      <w:bookmarkEnd w:id="7"/>
    </w:p>
    <w:p w14:paraId="3C8A8B82" w14:textId="77777777" w:rsidR="00305D30" w:rsidRDefault="00690D2C">
      <w:pPr>
        <w:pStyle w:val="Heading3"/>
        <w:spacing w:before="240"/>
      </w:pPr>
      <w:bookmarkStart w:id="8" w:name="_Toc224930704"/>
      <w:r>
        <w:t>Political Factors</w:t>
      </w:r>
      <w:bookmarkEnd w:id="8"/>
    </w:p>
    <w:p w14:paraId="2A16C1C9" w14:textId="77777777" w:rsidR="00305D30" w:rsidRDefault="00690D2C">
      <w:r>
        <w:t>Government regulations are one of the instruments of strength as a driver of the strategic direction of Volkswagen Group. The influence of the emission standards, environmental policies and international trade agreements on the production processes and strategies of the expanding market is a direct one. Talking about the regulatory scrutiny, following the scandal of the Volkswagen Dieselgate, the governmental control in all countries was tightened to an even greater extent, and the company turned even more rigorous in fulfilling its compliance requirements (Jong and Vivian, 2022).</w:t>
      </w:r>
    </w:p>
    <w:p w14:paraId="46150167" w14:textId="77777777" w:rsidR="00305D30" w:rsidRDefault="00690D2C">
      <w:r>
        <w:t>In Europe, as the CO2 emission amounts are becoming stricter, the company has been compelled to accelerate its transition to electric cars (EVs). The subsidies and incentives to buy EVs adopted by the states of the major markets, including Germany, China, and the United States, impacted the strategic choice of Volkswagen favourably in terms of electrification. Its operations are diffused in over 150 countries and over 100 production facilities, which implies that, in case of an upheaval in international relationships, the cost frameworks and performance rates of the functioning can be severely affected (Volkswagen Group, 2024).</w:t>
      </w:r>
    </w:p>
    <w:p w14:paraId="2EE3ADE7" w14:textId="77777777" w:rsidR="00305D30" w:rsidRDefault="00690D2C">
      <w:pPr>
        <w:pStyle w:val="Heading3"/>
        <w:spacing w:before="240"/>
      </w:pPr>
      <w:bookmarkStart w:id="9" w:name="_Toc224930705"/>
      <w:r>
        <w:t>Economic Factors</w:t>
      </w:r>
      <w:bookmarkEnd w:id="9"/>
    </w:p>
    <w:p w14:paraId="6F933674" w14:textId="77777777" w:rsidR="00305D30" w:rsidRDefault="00690D2C">
      <w:r>
        <w:t xml:space="preserve">The automobile business is highly cyclic and sensitive to the macroeconomic factors such as the GDP, inflation and interest rate worldwide. Volkswagen possesses its own financial </w:t>
      </w:r>
      <w:r>
        <w:lastRenderedPageBreak/>
        <w:t>performance, which shows its strength and vulnerability to the forces of the economy. As the Volkswagen Group Annual Report (2024) shows, the organisation has already attained its income of approximately 322 billion, which testifies to the fact that the company is still not in financial difficulties due to the dynamics of economic insecurity on the planet.</w:t>
      </w:r>
    </w:p>
    <w:p w14:paraId="7D9D018A" w14:textId="77777777" w:rsidR="00305D30" w:rsidRDefault="00690D2C">
      <w:r>
        <w:t>The upward trend in inflation and interest rates has reduced consumer purchasing power, particularly in the up-and-coming economies. There is also a sharp increase in the cost of the raw materials, especially the lithium, cobalt and nickel that are utilised in the EV batteries, which is placing pressure on its production cost and profit margin. Currency fluctuations are another external factor that affects the operational profits of Volkswagen, as the company is widely spread across the world. VW has been able to perform relatively well despite these issues with diversified revenue bases across brands and regions, having a restaurant health, irrespective of these problems (Volkswagen Group, 2025).</w:t>
      </w:r>
    </w:p>
    <w:tbl>
      <w:tblPr>
        <w:tblStyle w:val="Table1"/>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650"/>
        <w:gridCol w:w="7245"/>
      </w:tblGrid>
      <w:tr w:rsidR="00305D30" w14:paraId="7E194A52" w14:textId="77777777" w:rsidTr="008E5B23">
        <w:trPr>
          <w:trHeight w:val="780"/>
          <w:jc w:val="center"/>
        </w:trPr>
        <w:tc>
          <w:tcPr>
            <w:tcW w:w="1650" w:type="dxa"/>
            <w:tcBorders>
              <w:top w:val="single" w:sz="6" w:space="0" w:color="000000"/>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0B50FFA6" w14:textId="77777777" w:rsidR="00305D30" w:rsidRDefault="00690D2C">
            <w:pPr>
              <w:spacing w:before="240" w:after="160"/>
              <w:jc w:val="center"/>
            </w:pPr>
            <w:r>
              <w:t>Factor</w:t>
            </w:r>
          </w:p>
        </w:tc>
        <w:tc>
          <w:tcPr>
            <w:tcW w:w="7245" w:type="dxa"/>
            <w:tcBorders>
              <w:top w:val="single" w:sz="6" w:space="0" w:color="000000"/>
              <w:left w:val="nil"/>
              <w:bottom w:val="single" w:sz="6" w:space="0" w:color="000000"/>
              <w:right w:val="single" w:sz="6" w:space="0" w:color="000000"/>
            </w:tcBorders>
            <w:shd w:val="clear" w:color="auto" w:fill="0F9ED5"/>
            <w:tcMar>
              <w:top w:w="0" w:type="dxa"/>
              <w:left w:w="100" w:type="dxa"/>
              <w:bottom w:w="0" w:type="dxa"/>
              <w:right w:w="100" w:type="dxa"/>
            </w:tcMar>
          </w:tcPr>
          <w:p w14:paraId="3D6C482A" w14:textId="77777777" w:rsidR="00305D30" w:rsidRDefault="00690D2C">
            <w:pPr>
              <w:spacing w:before="240" w:after="0"/>
              <w:jc w:val="center"/>
            </w:pPr>
            <w:r>
              <w:t>Summary (Volkswagen Group)</w:t>
            </w:r>
          </w:p>
        </w:tc>
      </w:tr>
      <w:tr w:rsidR="00305D30" w14:paraId="4E7D8D75"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2B452E8A" w14:textId="77777777" w:rsidR="00305D30" w:rsidRDefault="00690D2C">
            <w:pPr>
              <w:spacing w:before="240" w:after="0"/>
              <w:jc w:val="center"/>
            </w:pPr>
            <w:r>
              <w:t>Political</w:t>
            </w:r>
          </w:p>
        </w:tc>
        <w:tc>
          <w:tcPr>
            <w:tcW w:w="724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18173CA0" w14:textId="77777777" w:rsidR="00305D30" w:rsidRDefault="00690D2C">
            <w:pPr>
              <w:spacing w:before="240" w:after="0"/>
              <w:jc w:val="left"/>
            </w:pPr>
            <w:r>
              <w:t>Strict government regulations and post- policies drive compliance and accelerate EV strategy.</w:t>
            </w:r>
          </w:p>
        </w:tc>
      </w:tr>
      <w:tr w:rsidR="00305D30" w14:paraId="418DF157"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41A89859" w14:textId="77777777" w:rsidR="00305D30" w:rsidRDefault="00690D2C">
            <w:pPr>
              <w:spacing w:before="240" w:after="0"/>
              <w:jc w:val="center"/>
            </w:pPr>
            <w:r>
              <w:t>Economic</w:t>
            </w:r>
          </w:p>
        </w:tc>
        <w:tc>
          <w:tcPr>
            <w:tcW w:w="7245" w:type="dxa"/>
            <w:tcBorders>
              <w:top w:val="nil"/>
              <w:left w:val="nil"/>
              <w:bottom w:val="single" w:sz="6" w:space="0" w:color="000000"/>
              <w:right w:val="single" w:sz="6" w:space="0" w:color="000000"/>
            </w:tcBorders>
            <w:tcMar>
              <w:top w:w="0" w:type="dxa"/>
              <w:left w:w="100" w:type="dxa"/>
              <w:bottom w:w="0" w:type="dxa"/>
              <w:right w:w="100" w:type="dxa"/>
            </w:tcMar>
          </w:tcPr>
          <w:p w14:paraId="7BE955CF" w14:textId="77777777" w:rsidR="00305D30" w:rsidRDefault="00690D2C">
            <w:pPr>
              <w:spacing w:before="240" w:after="0"/>
              <w:jc w:val="left"/>
            </w:pPr>
            <w:r>
              <w:t>Inflation, interest rates, and rising raw material costs impact profitability despite strong global revenue performance.</w:t>
            </w:r>
          </w:p>
        </w:tc>
      </w:tr>
      <w:tr w:rsidR="00305D30" w14:paraId="04A45B1C"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7D707C48" w14:textId="77777777" w:rsidR="00305D30" w:rsidRDefault="00690D2C">
            <w:pPr>
              <w:spacing w:before="240" w:after="0"/>
              <w:jc w:val="center"/>
            </w:pPr>
            <w:r>
              <w:t>Social</w:t>
            </w:r>
          </w:p>
        </w:tc>
        <w:tc>
          <w:tcPr>
            <w:tcW w:w="724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5F5CC2A7" w14:textId="77777777" w:rsidR="00305D30" w:rsidRDefault="00690D2C">
            <w:pPr>
              <w:spacing w:before="240" w:after="0"/>
              <w:jc w:val="left"/>
            </w:pPr>
            <w:r>
              <w:t>Increasing environmental awareness boosts demand for EVs, while trust recovery remains crucial after Dieselgate.</w:t>
            </w:r>
          </w:p>
        </w:tc>
      </w:tr>
      <w:tr w:rsidR="00305D30" w14:paraId="1FA111C3"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3047FDDD" w14:textId="77777777" w:rsidR="00305D30" w:rsidRDefault="00690D2C">
            <w:pPr>
              <w:spacing w:before="240" w:after="0"/>
              <w:jc w:val="center"/>
            </w:pPr>
            <w:r>
              <w:t>Technological</w:t>
            </w:r>
          </w:p>
        </w:tc>
        <w:tc>
          <w:tcPr>
            <w:tcW w:w="7245" w:type="dxa"/>
            <w:tcBorders>
              <w:top w:val="nil"/>
              <w:left w:val="nil"/>
              <w:bottom w:val="single" w:sz="6" w:space="0" w:color="000000"/>
              <w:right w:val="single" w:sz="6" w:space="0" w:color="000000"/>
            </w:tcBorders>
            <w:tcMar>
              <w:top w:w="0" w:type="dxa"/>
              <w:left w:w="100" w:type="dxa"/>
              <w:bottom w:w="0" w:type="dxa"/>
              <w:right w:w="100" w:type="dxa"/>
            </w:tcMar>
          </w:tcPr>
          <w:p w14:paraId="54E2E612" w14:textId="77777777" w:rsidR="00305D30" w:rsidRDefault="00690D2C">
            <w:pPr>
              <w:spacing w:before="240" w:after="0"/>
              <w:jc w:val="left"/>
            </w:pPr>
            <w:r>
              <w:t>Significant R&amp;D investment supports innovation in EVs, autonomous driving, and digital transformation.</w:t>
            </w:r>
          </w:p>
        </w:tc>
      </w:tr>
      <w:tr w:rsidR="00305D30" w14:paraId="1F99802E"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01333BC9" w14:textId="77777777" w:rsidR="00305D30" w:rsidRDefault="00690D2C">
            <w:pPr>
              <w:spacing w:before="240" w:after="0"/>
              <w:jc w:val="center"/>
            </w:pPr>
            <w:r>
              <w:t>Environmental</w:t>
            </w:r>
          </w:p>
        </w:tc>
        <w:tc>
          <w:tcPr>
            <w:tcW w:w="724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25894E9C" w14:textId="77777777" w:rsidR="00305D30" w:rsidRDefault="00690D2C">
            <w:pPr>
              <w:spacing w:before="240" w:after="0"/>
              <w:jc w:val="left"/>
            </w:pPr>
            <w:r>
              <w:t>Pressure to meet global climate goals, like the drive for carbon neutrality and sustainability initiatives.</w:t>
            </w:r>
          </w:p>
        </w:tc>
      </w:tr>
      <w:tr w:rsidR="00305D30" w14:paraId="7D489835" w14:textId="77777777" w:rsidTr="008E5B23">
        <w:trPr>
          <w:trHeight w:val="975"/>
          <w:jc w:val="center"/>
        </w:trPr>
        <w:tc>
          <w:tcPr>
            <w:tcW w:w="1650" w:type="dxa"/>
            <w:tcBorders>
              <w:top w:val="nil"/>
              <w:left w:val="single" w:sz="6" w:space="0" w:color="000000"/>
              <w:bottom w:val="single" w:sz="6" w:space="0" w:color="000000"/>
              <w:right w:val="single" w:sz="6" w:space="0" w:color="000000"/>
            </w:tcBorders>
            <w:shd w:val="clear" w:color="auto" w:fill="0F9ED5"/>
            <w:tcMar>
              <w:top w:w="0" w:type="dxa"/>
              <w:left w:w="100" w:type="dxa"/>
              <w:bottom w:w="0" w:type="dxa"/>
              <w:right w:w="100" w:type="dxa"/>
            </w:tcMar>
          </w:tcPr>
          <w:p w14:paraId="5ED72AF4" w14:textId="77777777" w:rsidR="00305D30" w:rsidRDefault="00690D2C">
            <w:pPr>
              <w:spacing w:before="240" w:after="0"/>
              <w:jc w:val="center"/>
            </w:pPr>
            <w:r>
              <w:t>Legal</w:t>
            </w:r>
          </w:p>
        </w:tc>
        <w:tc>
          <w:tcPr>
            <w:tcW w:w="7245" w:type="dxa"/>
            <w:tcBorders>
              <w:top w:val="nil"/>
              <w:left w:val="nil"/>
              <w:bottom w:val="single" w:sz="6" w:space="0" w:color="000000"/>
              <w:right w:val="single" w:sz="6" w:space="0" w:color="000000"/>
            </w:tcBorders>
            <w:tcMar>
              <w:top w:w="0" w:type="dxa"/>
              <w:left w:w="100" w:type="dxa"/>
              <w:bottom w:w="0" w:type="dxa"/>
              <w:right w:w="100" w:type="dxa"/>
            </w:tcMar>
          </w:tcPr>
          <w:p w14:paraId="7F97CAB6" w14:textId="77777777" w:rsidR="00305D30" w:rsidRDefault="00690D2C">
            <w:pPr>
              <w:spacing w:before="240" w:after="0"/>
              <w:jc w:val="left"/>
            </w:pPr>
            <w:r>
              <w:t>High legal compliance costs and stricter regulations have intensified following Dieselgate-related penalties.</w:t>
            </w:r>
          </w:p>
        </w:tc>
      </w:tr>
    </w:tbl>
    <w:p w14:paraId="65041F44" w14:textId="77777777" w:rsidR="00305D30" w:rsidRDefault="00690D2C">
      <w:pPr>
        <w:jc w:val="center"/>
        <w:rPr>
          <w:b/>
          <w:bCs/>
        </w:rPr>
      </w:pPr>
      <w:r>
        <w:rPr>
          <w:b/>
          <w:bCs/>
        </w:rPr>
        <w:t>Table 1: PESTEL Summary of Volkswagen</w:t>
      </w:r>
    </w:p>
    <w:p w14:paraId="6A3050D6" w14:textId="77777777" w:rsidR="00305D30" w:rsidRDefault="00690D2C">
      <w:pPr>
        <w:jc w:val="center"/>
      </w:pPr>
      <w:r>
        <w:lastRenderedPageBreak/>
        <w:t>(Source: Self-developed)</w:t>
      </w:r>
    </w:p>
    <w:p w14:paraId="5A9A197A" w14:textId="77777777" w:rsidR="00305D30" w:rsidRDefault="00690D2C">
      <w:pPr>
        <w:pStyle w:val="Heading3"/>
        <w:spacing w:before="240"/>
      </w:pPr>
      <w:bookmarkStart w:id="10" w:name="_Toc224930706"/>
      <w:r>
        <w:t>Social Factors</w:t>
      </w:r>
      <w:bookmarkEnd w:id="10"/>
    </w:p>
    <w:p w14:paraId="64D04133" w14:textId="77777777" w:rsidR="00305D30" w:rsidRDefault="00690D2C">
      <w:r>
        <w:t xml:space="preserve">The social trends have significantly changed the automotive industry's consumer behaviour. The increased level of environmental awareness has led to the demand for sustainable mobility, which is predominantly electric and hybrid vehicles. VW has responded to it by diversifying its EV line because over 770,000 units of electric cars have reached customers across the globe in 2024, which means that people have gradually embraced sustainable ways of transportation (Volkswagen Group, 2024). In addition, people's cognition in that situation was considerably affected by the Dieselgate scandal, which is why business ethics and transparency can not be neglected. This orientation has compelled Volkswagen to concentrate on corporate social responsibility (CSR) and restore trust through its sustainability programmes and improved forms of corporate governance (Doni et al., 2022). </w:t>
      </w:r>
    </w:p>
    <w:p w14:paraId="2462203D" w14:textId="77777777" w:rsidR="00305D30" w:rsidRDefault="00690D2C">
      <w:pPr>
        <w:pStyle w:val="Heading3"/>
        <w:spacing w:before="240"/>
      </w:pPr>
      <w:bookmarkStart w:id="11" w:name="_Toc224930707"/>
      <w:r>
        <w:t>Technological Factors</w:t>
      </w:r>
      <w:bookmarkEnd w:id="11"/>
    </w:p>
    <w:p w14:paraId="637B8E6A" w14:textId="77777777" w:rsidR="00305D30" w:rsidRDefault="00690D2C">
      <w:r>
        <w:t xml:space="preserve">Technological innovation is a very crucial aspect in the struggle in the automotive industry. VW has also led in spending on its research and development; now it spends over 21 billion every year, on innovation and digitalisation (Volkswagen Group, 2024). The company is focusing on autonomous driving systems, electric mobility, and connected vehicle systems. The digital transformation has become the best strategy and integration of software platforms, and the process of decision-making relies on data. Vaia et al. (2022) believe that through the means of digital governance, organisations like Volkswagen can be in a better position to adjust to the dynamic business environment, and as a result, become more flexible and structured. However, technological development is not that easy either. </w:t>
      </w:r>
    </w:p>
    <w:p w14:paraId="16135293" w14:textId="77777777" w:rsidR="00305D30" w:rsidRDefault="00690D2C">
      <w:pPr>
        <w:pStyle w:val="Heading3"/>
        <w:spacing w:before="240"/>
      </w:pPr>
      <w:bookmarkStart w:id="12" w:name="_Toc224930708"/>
      <w:r>
        <w:t>Environmental Factors</w:t>
      </w:r>
      <w:bookmarkEnd w:id="12"/>
    </w:p>
    <w:p w14:paraId="7E53919D" w14:textId="77777777" w:rsidR="00305D30" w:rsidRDefault="00690D2C">
      <w:r>
        <w:t xml:space="preserve">Environmental sustainability is concerned with the VW environment. The company is being continuously pressured to reduce greenhouse gas emissions and comply with the world climate targets, such as the Paris Agreement. VW also has a target of achieving carbon neutrality by 2050 and has already invested in mobility in the electric and renewable energy solutions (VW Annual Report, 2023). Way to Zero strategy that the company has proclaimed </w:t>
      </w:r>
      <w:r>
        <w:lastRenderedPageBreak/>
        <w:t xml:space="preserve">is intended to reduce emissions in the entire value chain, or the production, supply chain and product lifecycle.  </w:t>
      </w:r>
    </w:p>
    <w:p w14:paraId="6706276C" w14:textId="77777777" w:rsidR="00305D30" w:rsidRDefault="00690D2C">
      <w:pPr>
        <w:pStyle w:val="Heading3"/>
        <w:spacing w:before="240"/>
      </w:pPr>
      <w:bookmarkStart w:id="13" w:name="_Toc224930709"/>
      <w:r>
        <w:t>Legal Factors</w:t>
      </w:r>
      <w:bookmarkEnd w:id="13"/>
    </w:p>
    <w:p w14:paraId="72234FF2" w14:textId="77777777" w:rsidR="00305D30" w:rsidRDefault="00690D2C">
      <w:r>
        <w:t>The legal considerations are still of great importance in structuring the strategic choices of Volkswagen. Dieselgate is regarded as one of the biggest corporate scandals in automotive history because it paid fines, settlements, and court costs to the tune of more than 30 billion (Jong and Vivian, 2022). This has brought about more emphasis on compliance, transparency and corporate governance. The operations are complicated and expensive due to the continuous regulatory provisions in the domains of emissions requirements, car safety, and data security. In addition, the new legal challenges affect the introduction of digital technologies and, in particular, concern the privacy of data and cybersecurity. VW must ensure it is always evolving, in regard to the changing legal environments, in the pursuit of avoiding both financial and image risks.</w:t>
      </w:r>
    </w:p>
    <w:p w14:paraId="4FBEDE77" w14:textId="77777777" w:rsidR="00305D30" w:rsidRDefault="00690D2C">
      <w:pPr>
        <w:pStyle w:val="Heading2"/>
        <w:spacing w:before="280"/>
        <w:rPr>
          <w:sz w:val="24"/>
          <w:szCs w:val="24"/>
        </w:rPr>
      </w:pPr>
      <w:bookmarkStart w:id="14" w:name="_Toc224930710"/>
      <w:r>
        <w:rPr>
          <w:sz w:val="24"/>
          <w:szCs w:val="24"/>
        </w:rPr>
        <w:t>2.2 Critical Success Factors and Strategic Challenges</w:t>
      </w:r>
      <w:bookmarkEnd w:id="14"/>
    </w:p>
    <w:p w14:paraId="68695644" w14:textId="77777777" w:rsidR="00305D30" w:rsidRDefault="00690D2C">
      <w:pPr>
        <w:pStyle w:val="Heading3"/>
        <w:spacing w:before="240"/>
      </w:pPr>
      <w:bookmarkStart w:id="15" w:name="_Toc224930711"/>
      <w:r>
        <w:t>Critical Success Factors</w:t>
      </w:r>
      <w:bookmarkEnd w:id="15"/>
    </w:p>
    <w:p w14:paraId="2C1F6325" w14:textId="77777777" w:rsidR="00305D30" w:rsidRDefault="00690D2C">
      <w:r>
        <w:t>There are several success factors that are essential to the retention of the competitiveness of Volkswagen. This has not abandoned the innovation ability, particularly regarding the design of electric automobiles and digital technologies. The company possesses an advantageous international brand portfolio with premium and mass-market segments that increase its market penetration and consumer base. VW also possesses operational efficiency and economies of scale that have rendered it a successful one. High volumes of production and distribution networks have also been favourable to the company because over 9 million vehicles have been distributed by the company to different parts of the world in 2024 alone (Volkswagen Group, 2024). Furthermore, the influence of sustainability leadership and partnership is becoming increasingly important as the global community, consumers, and regulators need responsible business operations (Doni et al., 2022).</w:t>
      </w:r>
    </w:p>
    <w:p w14:paraId="4B2B4042" w14:textId="77777777" w:rsidR="00305D30" w:rsidRDefault="00690D2C">
      <w:pPr>
        <w:pStyle w:val="Heading3"/>
        <w:spacing w:before="240"/>
      </w:pPr>
      <w:bookmarkStart w:id="16" w:name="_Toc224930712"/>
      <w:r>
        <w:t>Strategic Challenges</w:t>
      </w:r>
      <w:bookmarkEnd w:id="16"/>
    </w:p>
    <w:p w14:paraId="554CF832" w14:textId="77777777" w:rsidR="00305D30" w:rsidRDefault="00690D2C">
      <w:r>
        <w:lastRenderedPageBreak/>
        <w:t xml:space="preserve">There are several strategic challenges facing VW and its strengths. Electric mobility conversion means a gigantic financial investment, and the business seeks to surpass a greater capital spending of over 180 billion in electrification and digitalisation by 2030. This change is not only limited to the transformation in technology, but it also involves organisational redesign and reskilling of the workforce. The price, innovation, and market share of the established and new car makers, such as Tesla, Inc., are subject to strong competition between the old and the new entrants in the market. In addition to this, disruption in supply chains, particularly semiconductor supply, has also been affecting the capacity of production over the past couple of years. Volkswagen would be forced to participate in continuous odds to demonstrate its stakeholders' transparent ethical practices to win their trust once more. </w:t>
      </w:r>
    </w:p>
    <w:p w14:paraId="04DA764D" w14:textId="77777777" w:rsidR="00305D30" w:rsidRDefault="00690D2C">
      <w:pPr>
        <w:pStyle w:val="Heading2"/>
        <w:spacing w:before="280"/>
        <w:rPr>
          <w:sz w:val="24"/>
          <w:szCs w:val="24"/>
        </w:rPr>
      </w:pPr>
      <w:bookmarkStart w:id="17" w:name="_Toc224930713"/>
      <w:r>
        <w:rPr>
          <w:sz w:val="24"/>
          <w:szCs w:val="24"/>
        </w:rPr>
        <w:t>2.3 Internal Environment Analysis</w:t>
      </w:r>
      <w:bookmarkEnd w:id="17"/>
    </w:p>
    <w:p w14:paraId="4BF91D2C" w14:textId="77777777" w:rsidR="00305D30" w:rsidRDefault="00690D2C">
      <w:pPr>
        <w:pStyle w:val="Heading3"/>
        <w:spacing w:before="240"/>
      </w:pPr>
      <w:bookmarkStart w:id="18" w:name="_Toc224930714"/>
      <w:r>
        <w:t>Resources and Capabilities</w:t>
      </w:r>
      <w:bookmarkEnd w:id="18"/>
    </w:p>
    <w:p w14:paraId="2EE0F97A" w14:textId="77777777" w:rsidR="00305D30" w:rsidRDefault="00690D2C">
      <w:r>
        <w:t>The strategic objective of the Volkswagen Company has a good source of tangible and intangible resources that facilitate the strategic objectives. It has a global network of production units that consists of over 100 production units offering scale production. The company has a good revenue base economically, which provides the capability to make endless investments in innovation and sustainability projects. VW is even more competitive because intangible resources such as brand recognition, intellectual property and technological expertise exist.</w:t>
      </w:r>
    </w:p>
    <w:p w14:paraId="07CF84A8" w14:textId="77777777" w:rsidR="00305D30" w:rsidRDefault="00690D2C">
      <w:pPr>
        <w:pStyle w:val="Heading3"/>
        <w:spacing w:before="240"/>
      </w:pPr>
      <w:bookmarkStart w:id="19" w:name="_Toc224930715"/>
      <w:r>
        <w:t>Core Competencies</w:t>
      </w:r>
      <w:bookmarkEnd w:id="19"/>
    </w:p>
    <w:p w14:paraId="3F20D183" w14:textId="77777777" w:rsidR="00305D30" w:rsidRDefault="00690D2C">
      <w:r>
        <w:t>Innovative engineering, lean production, and management of multiple brands are the three key competencies of Volkswagen. Its mod platform technology, such as the MEB platform on electric vehicles, makes it cost-effective and capable of being used on other models. The competencies increase due to the electric mobility and digital transformation of the company, which enhances its competitiveness within the fast-changing industry. Its efficient network distribution system and supply chain management worldwide have also contributed to the effectiveness of operations.</w:t>
      </w:r>
    </w:p>
    <w:p w14:paraId="69125612" w14:textId="77777777" w:rsidR="00305D30" w:rsidRDefault="00690D2C">
      <w:pPr>
        <w:pStyle w:val="Heading2"/>
        <w:spacing w:before="280"/>
        <w:rPr>
          <w:sz w:val="24"/>
          <w:szCs w:val="24"/>
        </w:rPr>
      </w:pPr>
      <w:bookmarkStart w:id="20" w:name="_Toc224930716"/>
      <w:r>
        <w:rPr>
          <w:sz w:val="24"/>
          <w:szCs w:val="24"/>
        </w:rPr>
        <w:t>2.4 VRIO Analysis of Strategic Capabilities</w:t>
      </w:r>
      <w:bookmarkEnd w:id="20"/>
    </w:p>
    <w:p w14:paraId="7F7CD550" w14:textId="77777777" w:rsidR="00305D30" w:rsidRDefault="00690D2C">
      <w:pPr>
        <w:pStyle w:val="Heading3"/>
        <w:spacing w:before="240"/>
      </w:pPr>
      <w:bookmarkStart w:id="21" w:name="_Toc224930717"/>
      <w:r>
        <w:lastRenderedPageBreak/>
        <w:t>Value</w:t>
      </w:r>
      <w:bookmarkEnd w:id="21"/>
    </w:p>
    <w:p w14:paraId="73106A07" w14:textId="77777777" w:rsidR="00305D30" w:rsidRDefault="00690D2C">
      <w:r>
        <w:t>The resources of Volkswagen are value-generating since they enable being innovative, cost-effective and responsive. Its research and development, and online technologies investment can be viewed as the addition of competitive services and products, depending on the market trends.</w:t>
      </w:r>
    </w:p>
    <w:p w14:paraId="57C07412" w14:textId="77777777" w:rsidR="00305D30" w:rsidRDefault="00690D2C">
      <w:pPr>
        <w:pStyle w:val="Heading3"/>
        <w:spacing w:before="240"/>
      </w:pPr>
      <w:bookmarkStart w:id="22" w:name="_Toc224930718"/>
      <w:r>
        <w:t>Rarity</w:t>
      </w:r>
      <w:bookmarkEnd w:id="22"/>
    </w:p>
    <w:p w14:paraId="0D31B52D" w14:textId="77777777" w:rsidR="00305D30" w:rsidRDefault="00690D2C">
      <w:r>
        <w:t>Volkswagen's business is a relatively rare commodity based on the size as well as the scope of the enterprise. It possesses a market-strategic flexibility and coverage by its ability to deal with various brands in various sections of the market.</w:t>
      </w:r>
    </w:p>
    <w:p w14:paraId="470042A2" w14:textId="77777777" w:rsidR="00305D30" w:rsidRDefault="00690D2C">
      <w:pPr>
        <w:pStyle w:val="Heading3"/>
        <w:spacing w:before="240"/>
      </w:pPr>
      <w:bookmarkStart w:id="23" w:name="_Toc224930719"/>
      <w:r>
        <w:t>Imitability</w:t>
      </w:r>
      <w:bookmarkEnd w:id="23"/>
    </w:p>
    <w:p w14:paraId="70091F09" w14:textId="77777777" w:rsidR="00305D30" w:rsidRDefault="00690D2C">
      <w:r>
        <w:t>The years of experience, brand loyalty, and global infrastructure of Volkswagen are difficult to counter as much as some of the capabilities of the company, including the manufacturing processes, are replicable. These are among the reasons why it will gain a competitive advantage in the long run.</w:t>
      </w:r>
    </w:p>
    <w:p w14:paraId="28F88279" w14:textId="77777777" w:rsidR="00305D30" w:rsidRDefault="00690D2C">
      <w:pPr>
        <w:pStyle w:val="Heading3"/>
        <w:spacing w:before="240"/>
      </w:pPr>
      <w:bookmarkStart w:id="24" w:name="_Toc224930720"/>
      <w:r>
        <w:t>Organisation</w:t>
      </w:r>
      <w:bookmarkEnd w:id="24"/>
    </w:p>
    <w:p w14:paraId="60B22C81" w14:textId="77777777" w:rsidR="00305D30" w:rsidRDefault="00690D2C">
      <w:r>
        <w:t>The Volkswagen structure has assisted the company in efficient utilisation of its resources. The introduction of digital governance structures makes the company more agile and enhances the decision-making models, which enables the response to the dynamic environment on the market (Vaia et al., 2022).</w:t>
      </w:r>
    </w:p>
    <w:tbl>
      <w:tblPr>
        <w:tblStyle w:val="Table2"/>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85"/>
        <w:gridCol w:w="7410"/>
      </w:tblGrid>
      <w:tr w:rsidR="00305D30" w14:paraId="41DCCF71" w14:textId="77777777" w:rsidTr="008E5B23">
        <w:trPr>
          <w:trHeight w:val="1140"/>
          <w:jc w:val="center"/>
        </w:trPr>
        <w:tc>
          <w:tcPr>
            <w:tcW w:w="1485" w:type="dxa"/>
            <w:tcBorders>
              <w:top w:val="single" w:sz="6" w:space="0" w:color="000000"/>
              <w:left w:val="single" w:sz="6" w:space="0" w:color="000000"/>
              <w:bottom w:val="single" w:sz="6" w:space="0" w:color="000000"/>
              <w:right w:val="single" w:sz="6" w:space="0" w:color="000000"/>
            </w:tcBorders>
            <w:shd w:val="clear" w:color="auto" w:fill="E97132"/>
            <w:tcMar>
              <w:top w:w="0" w:type="dxa"/>
              <w:left w:w="100" w:type="dxa"/>
              <w:bottom w:w="0" w:type="dxa"/>
              <w:right w:w="100" w:type="dxa"/>
            </w:tcMar>
          </w:tcPr>
          <w:p w14:paraId="2E6234D2" w14:textId="77777777" w:rsidR="00305D30" w:rsidRDefault="00690D2C">
            <w:pPr>
              <w:spacing w:before="240" w:after="160"/>
              <w:jc w:val="center"/>
            </w:pPr>
            <w:r>
              <w:t>VRIO Factor</w:t>
            </w:r>
          </w:p>
        </w:tc>
        <w:tc>
          <w:tcPr>
            <w:tcW w:w="7410" w:type="dxa"/>
            <w:tcBorders>
              <w:top w:val="single" w:sz="6" w:space="0" w:color="000000"/>
              <w:left w:val="nil"/>
              <w:bottom w:val="single" w:sz="6" w:space="0" w:color="000000"/>
              <w:right w:val="single" w:sz="6" w:space="0" w:color="000000"/>
            </w:tcBorders>
            <w:shd w:val="clear" w:color="auto" w:fill="E97132"/>
            <w:tcMar>
              <w:top w:w="0" w:type="dxa"/>
              <w:left w:w="100" w:type="dxa"/>
              <w:bottom w:w="0" w:type="dxa"/>
              <w:right w:w="100" w:type="dxa"/>
            </w:tcMar>
          </w:tcPr>
          <w:p w14:paraId="08911B9B" w14:textId="77777777" w:rsidR="00305D30" w:rsidRDefault="00690D2C">
            <w:pPr>
              <w:spacing w:before="240" w:after="0"/>
              <w:jc w:val="center"/>
            </w:pPr>
            <w:r>
              <w:t>One-Line Analysis (Volkswagen Group)</w:t>
            </w:r>
          </w:p>
        </w:tc>
      </w:tr>
      <w:tr w:rsidR="00305D30" w14:paraId="4DDEF604" w14:textId="77777777" w:rsidTr="008E5B23">
        <w:trPr>
          <w:trHeight w:val="975"/>
          <w:jc w:val="center"/>
        </w:trPr>
        <w:tc>
          <w:tcPr>
            <w:tcW w:w="1485" w:type="dxa"/>
            <w:tcBorders>
              <w:top w:val="nil"/>
              <w:left w:val="single" w:sz="6" w:space="0" w:color="000000"/>
              <w:bottom w:val="single" w:sz="6" w:space="0" w:color="000000"/>
              <w:right w:val="single" w:sz="6" w:space="0" w:color="000000"/>
            </w:tcBorders>
            <w:shd w:val="clear" w:color="auto" w:fill="E97132"/>
            <w:tcMar>
              <w:top w:w="0" w:type="dxa"/>
              <w:left w:w="100" w:type="dxa"/>
              <w:bottom w:w="0" w:type="dxa"/>
              <w:right w:w="100" w:type="dxa"/>
            </w:tcMar>
          </w:tcPr>
          <w:p w14:paraId="4F0EFC7D" w14:textId="77777777" w:rsidR="00305D30" w:rsidRDefault="00690D2C">
            <w:pPr>
              <w:spacing w:before="240" w:after="0"/>
              <w:jc w:val="center"/>
            </w:pPr>
            <w:r>
              <w:t>Value</w:t>
            </w:r>
          </w:p>
        </w:tc>
        <w:tc>
          <w:tcPr>
            <w:tcW w:w="741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0CF92A78" w14:textId="77777777" w:rsidR="00305D30" w:rsidRDefault="00690D2C">
            <w:pPr>
              <w:spacing w:before="240" w:after="0"/>
              <w:jc w:val="left"/>
            </w:pPr>
            <w:r>
              <w:t>Strong R&amp;D investment and digital capabilities create value through innovation, efficiency, and market responsiveness.</w:t>
            </w:r>
          </w:p>
        </w:tc>
      </w:tr>
      <w:tr w:rsidR="00305D30" w14:paraId="6B60AE68" w14:textId="77777777" w:rsidTr="008E5B23">
        <w:trPr>
          <w:trHeight w:val="975"/>
          <w:jc w:val="center"/>
        </w:trPr>
        <w:tc>
          <w:tcPr>
            <w:tcW w:w="1485" w:type="dxa"/>
            <w:tcBorders>
              <w:top w:val="nil"/>
              <w:left w:val="single" w:sz="6" w:space="0" w:color="000000"/>
              <w:bottom w:val="single" w:sz="6" w:space="0" w:color="000000"/>
              <w:right w:val="single" w:sz="6" w:space="0" w:color="000000"/>
            </w:tcBorders>
            <w:shd w:val="clear" w:color="auto" w:fill="E97132"/>
            <w:tcMar>
              <w:top w:w="0" w:type="dxa"/>
              <w:left w:w="100" w:type="dxa"/>
              <w:bottom w:w="0" w:type="dxa"/>
              <w:right w:w="100" w:type="dxa"/>
            </w:tcMar>
          </w:tcPr>
          <w:p w14:paraId="7D90C8AC" w14:textId="77777777" w:rsidR="00305D30" w:rsidRDefault="00690D2C">
            <w:pPr>
              <w:spacing w:before="240" w:after="0"/>
              <w:jc w:val="center"/>
            </w:pPr>
            <w:r>
              <w:t>Rarity</w:t>
            </w:r>
          </w:p>
        </w:tc>
        <w:tc>
          <w:tcPr>
            <w:tcW w:w="7410" w:type="dxa"/>
            <w:tcBorders>
              <w:top w:val="nil"/>
              <w:left w:val="nil"/>
              <w:bottom w:val="single" w:sz="6" w:space="0" w:color="000000"/>
              <w:right w:val="single" w:sz="6" w:space="0" w:color="000000"/>
            </w:tcBorders>
            <w:tcMar>
              <w:top w:w="0" w:type="dxa"/>
              <w:left w:w="100" w:type="dxa"/>
              <w:bottom w:w="0" w:type="dxa"/>
              <w:right w:w="100" w:type="dxa"/>
            </w:tcMar>
          </w:tcPr>
          <w:p w14:paraId="366F6ACB" w14:textId="77777777" w:rsidR="00305D30" w:rsidRDefault="00690D2C">
            <w:pPr>
              <w:spacing w:before="240" w:after="0"/>
              <w:jc w:val="left"/>
            </w:pPr>
            <w:r>
              <w:t>Large-scale operations and a diverse multi-brand portfolio provide relatively rare market coverage and flexibility.</w:t>
            </w:r>
          </w:p>
        </w:tc>
      </w:tr>
      <w:tr w:rsidR="00305D30" w14:paraId="3F7CCD38" w14:textId="77777777" w:rsidTr="008E5B23">
        <w:trPr>
          <w:trHeight w:val="975"/>
          <w:jc w:val="center"/>
        </w:trPr>
        <w:tc>
          <w:tcPr>
            <w:tcW w:w="1485" w:type="dxa"/>
            <w:tcBorders>
              <w:top w:val="nil"/>
              <w:left w:val="single" w:sz="6" w:space="0" w:color="000000"/>
              <w:bottom w:val="single" w:sz="6" w:space="0" w:color="000000"/>
              <w:right w:val="single" w:sz="6" w:space="0" w:color="000000"/>
            </w:tcBorders>
            <w:shd w:val="clear" w:color="auto" w:fill="E97132"/>
            <w:tcMar>
              <w:top w:w="0" w:type="dxa"/>
              <w:left w:w="100" w:type="dxa"/>
              <w:bottom w:w="0" w:type="dxa"/>
              <w:right w:w="100" w:type="dxa"/>
            </w:tcMar>
          </w:tcPr>
          <w:p w14:paraId="770FC29D" w14:textId="77777777" w:rsidR="00305D30" w:rsidRDefault="00690D2C">
            <w:pPr>
              <w:spacing w:before="240" w:after="0"/>
              <w:jc w:val="center"/>
            </w:pPr>
            <w:r>
              <w:lastRenderedPageBreak/>
              <w:t>Imitability</w:t>
            </w:r>
          </w:p>
        </w:tc>
        <w:tc>
          <w:tcPr>
            <w:tcW w:w="741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32AA0489" w14:textId="77777777" w:rsidR="00305D30" w:rsidRDefault="00690D2C">
            <w:pPr>
              <w:spacing w:before="240" w:after="0"/>
              <w:jc w:val="left"/>
            </w:pPr>
            <w:r>
              <w:t>Brand reputation, global infrastructure, and experience are difficult to imitate, though some processes can be replicated.</w:t>
            </w:r>
          </w:p>
        </w:tc>
      </w:tr>
      <w:tr w:rsidR="00305D30" w14:paraId="08B030F1" w14:textId="77777777" w:rsidTr="008E5B23">
        <w:trPr>
          <w:trHeight w:val="975"/>
          <w:jc w:val="center"/>
        </w:trPr>
        <w:tc>
          <w:tcPr>
            <w:tcW w:w="1485" w:type="dxa"/>
            <w:tcBorders>
              <w:top w:val="nil"/>
              <w:left w:val="single" w:sz="6" w:space="0" w:color="000000"/>
              <w:bottom w:val="single" w:sz="6" w:space="0" w:color="000000"/>
              <w:right w:val="single" w:sz="6" w:space="0" w:color="000000"/>
            </w:tcBorders>
            <w:shd w:val="clear" w:color="auto" w:fill="E97132"/>
            <w:tcMar>
              <w:top w:w="0" w:type="dxa"/>
              <w:left w:w="100" w:type="dxa"/>
              <w:bottom w:w="0" w:type="dxa"/>
              <w:right w:w="100" w:type="dxa"/>
            </w:tcMar>
          </w:tcPr>
          <w:p w14:paraId="31D9A1D4" w14:textId="77777777" w:rsidR="00305D30" w:rsidRDefault="00690D2C">
            <w:pPr>
              <w:spacing w:before="240" w:after="0"/>
              <w:jc w:val="center"/>
            </w:pPr>
            <w:r>
              <w:t>Organisation</w:t>
            </w:r>
          </w:p>
        </w:tc>
        <w:tc>
          <w:tcPr>
            <w:tcW w:w="7410" w:type="dxa"/>
            <w:tcBorders>
              <w:top w:val="nil"/>
              <w:left w:val="nil"/>
              <w:bottom w:val="single" w:sz="6" w:space="0" w:color="000000"/>
              <w:right w:val="single" w:sz="6" w:space="0" w:color="000000"/>
            </w:tcBorders>
            <w:tcMar>
              <w:top w:w="0" w:type="dxa"/>
              <w:left w:w="100" w:type="dxa"/>
              <w:bottom w:w="0" w:type="dxa"/>
              <w:right w:w="100" w:type="dxa"/>
            </w:tcMar>
          </w:tcPr>
          <w:p w14:paraId="05221C9C" w14:textId="77777777" w:rsidR="00305D30" w:rsidRDefault="00690D2C">
            <w:pPr>
              <w:spacing w:before="240" w:after="0"/>
              <w:jc w:val="left"/>
            </w:pPr>
            <w:r>
              <w:t>Effective organisational structure and digital governance enable efficient resource utilisation and strategic agility.</w:t>
            </w:r>
          </w:p>
        </w:tc>
      </w:tr>
    </w:tbl>
    <w:p w14:paraId="6A523DBA" w14:textId="77777777" w:rsidR="00305D30" w:rsidRDefault="00690D2C">
      <w:pPr>
        <w:jc w:val="center"/>
        <w:rPr>
          <w:b/>
          <w:bCs/>
        </w:rPr>
      </w:pPr>
      <w:r>
        <w:rPr>
          <w:b/>
          <w:bCs/>
        </w:rPr>
        <w:t>Table 2: VRIO Analysis of Volkswagen</w:t>
      </w:r>
    </w:p>
    <w:p w14:paraId="701700E7" w14:textId="77777777" w:rsidR="00305D30" w:rsidRDefault="00690D2C">
      <w:pPr>
        <w:jc w:val="center"/>
      </w:pPr>
      <w:r>
        <w:t>(Source: Self-developed)</w:t>
      </w:r>
    </w:p>
    <w:p w14:paraId="3D8A932E" w14:textId="77777777" w:rsidR="00305D30" w:rsidRDefault="00690D2C">
      <w:pPr>
        <w:pStyle w:val="Heading2"/>
        <w:spacing w:before="280"/>
        <w:rPr>
          <w:sz w:val="24"/>
          <w:szCs w:val="24"/>
        </w:rPr>
      </w:pPr>
      <w:bookmarkStart w:id="25" w:name="_Toc224930721"/>
      <w:r>
        <w:rPr>
          <w:sz w:val="24"/>
          <w:szCs w:val="24"/>
        </w:rPr>
        <w:t>2.5 Internal Strengths and Competitive Advantage</w:t>
      </w:r>
      <w:bookmarkEnd w:id="25"/>
    </w:p>
    <w:p w14:paraId="083D2FE5" w14:textId="77777777" w:rsidR="00305D30" w:rsidRDefault="00690D2C">
      <w:r>
        <w:t>The competitiveness of Volkswagen in terms of the sustenance of the competitive advantage relies on its internal strength. It can compete efficiently in a number of market segments due to its high financial performance, extensive international presence, and brand mix and diversification. The company is a visionary organisation as innovation and sustainability enable it to continue following the trends in the industry. Strategic positioning of Volkswagen has also been facilitated by organisational change and leadership. Transformational leadership approaches emphasise flexibility, creativity and stakeholder engagement that are essential when managing disruptions in an industry (Eaton et al., 2024). In order to stay competitive, the governance, ethical and technological capabilities should be continuously enhanced, though.</w:t>
      </w:r>
    </w:p>
    <w:p w14:paraId="2E63120D" w14:textId="77777777" w:rsidR="00305D30" w:rsidRDefault="00690D2C">
      <w:pPr>
        <w:pStyle w:val="Heading1"/>
      </w:pPr>
      <w:bookmarkStart w:id="26" w:name="_lma6q3yebgjc" w:colFirst="0" w:colLast="0"/>
      <w:bookmarkStart w:id="27" w:name="_Toc224930722"/>
      <w:bookmarkEnd w:id="26"/>
      <w:r>
        <w:t>3. CSR &amp; Sustainability</w:t>
      </w:r>
      <w:bookmarkEnd w:id="27"/>
    </w:p>
    <w:p w14:paraId="29B8367E" w14:textId="77777777" w:rsidR="00305D30" w:rsidRDefault="00690D2C">
      <w:r>
        <w:t>The corporate social responsibility (CSR) policy of Volkswagen belongs to a larger sustainability and change program, and Volkswagen is more concerned with such factors as environmental protection, social responsibility, and transparency in governance. The company is concerned with the electrification process, decarbonisation, DAE and less resource-consuming manufacturing processes. The EPS's significant ESG initiatives are the Environmental Protection in Production (UEP) programme and the Zero Impact Factory (ZIF) idea that enables it to reduce its emissions, energy, water and waste in its global operations.</w:t>
      </w:r>
    </w:p>
    <w:p w14:paraId="1B0F5B57" w14:textId="77777777" w:rsidR="00305D30" w:rsidRDefault="00690D2C">
      <w:pPr>
        <w:jc w:val="center"/>
      </w:pPr>
      <w:r>
        <w:rPr>
          <w:noProof/>
          <w:lang w:val="en-US"/>
        </w:rPr>
        <w:lastRenderedPageBreak/>
        <w:drawing>
          <wp:inline distT="114300" distB="114300" distL="114300" distR="114300" wp14:anchorId="725DFFA2" wp14:editId="1B24EBDB">
            <wp:extent cx="5715000" cy="35909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5715000" cy="3590925"/>
                    </a:xfrm>
                    <a:prstGeom prst="rect">
                      <a:avLst/>
                    </a:prstGeom>
                  </pic:spPr>
                </pic:pic>
              </a:graphicData>
            </a:graphic>
          </wp:inline>
        </w:drawing>
      </w:r>
    </w:p>
    <w:p w14:paraId="372FCABC" w14:textId="77777777" w:rsidR="00305D30" w:rsidRDefault="00690D2C">
      <w:pPr>
        <w:jc w:val="center"/>
        <w:rPr>
          <w:b/>
          <w:bCs/>
        </w:rPr>
      </w:pPr>
      <w:r>
        <w:rPr>
          <w:b/>
          <w:bCs/>
        </w:rPr>
        <w:t>Figure 1: Volkswagen’s Environmental Protection in Production (UEP) and Zero Impact Factory (ZIF) sustainability targets (2010–2050)</w:t>
      </w:r>
    </w:p>
    <w:p w14:paraId="3F8155A1" w14:textId="77777777" w:rsidR="00305D30" w:rsidRDefault="00690D2C">
      <w:pPr>
        <w:jc w:val="center"/>
      </w:pPr>
      <w:r>
        <w:t>(Source: Volkswagen Group, 2024)</w:t>
      </w:r>
    </w:p>
    <w:p w14:paraId="5FBED854" w14:textId="77777777" w:rsidR="00305D30" w:rsidRDefault="00690D2C">
      <w:r>
        <w:t>A sustainability development of the organisation is also offered in Figure 1, which indicates that the environmental impact of the organisation has decreased by 25% in 2010 to 2018 and to 45% in 2025. It is a sign of a systematic and quantifiable environmental performance, which demonstrates how sustainability objectives have been embedded in operation and long-term strategies (Volkswagen Group, 2024).</w:t>
      </w:r>
    </w:p>
    <w:p w14:paraId="377DFC5D" w14:textId="77777777" w:rsidR="00305D30" w:rsidRDefault="00690D2C">
      <w:r>
        <w:t>These initiatives are highly aligned with the business goals of Volkswagen and, particularly, its transition to electric mobility and sustainable innovation, especially in a strategic manner. Such alignment enhances compliance with the regulations, brand image, and ease of competition in the car market (Li et al., 2023). The empirical evidence of the role of changes in strategy is proven by the fact that climate, CSR and environmental intellectual capital input have a tremendous effect on innovation and business survival in the long run, and therefore such endeavours should be seen as strategic (Lukin et al., 2022).</w:t>
      </w:r>
    </w:p>
    <w:p w14:paraId="77473A33" w14:textId="77777777" w:rsidR="00305D30" w:rsidRDefault="00305D30"/>
    <w:p w14:paraId="02909C22" w14:textId="77777777" w:rsidR="00305D30" w:rsidRDefault="00305D30"/>
    <w:p w14:paraId="00C28385" w14:textId="77777777" w:rsidR="00305D30" w:rsidRDefault="00690D2C">
      <w:r>
        <w:t>However, the main question that concerns the authenticity of the CSR by Volkswagen is urgent. Even though the current initiatives are much better than before, the past scandals related to emissions suggest that the elements of CSR can also be utilised as the reputational healing instruments rather than being considered a value-oriented promise.</w:t>
      </w:r>
    </w:p>
    <w:p w14:paraId="413C3D84" w14:textId="77777777" w:rsidR="00305D30" w:rsidRDefault="00690D2C">
      <w:pPr>
        <w:pStyle w:val="Heading1"/>
      </w:pPr>
      <w:bookmarkStart w:id="28" w:name="_3xwaq5t11yto" w:colFirst="0" w:colLast="0"/>
      <w:bookmarkStart w:id="29" w:name="_Toc224930723"/>
      <w:bookmarkEnd w:id="28"/>
      <w:r>
        <w:t>4. Balanced Scorecard</w:t>
      </w:r>
      <w:bookmarkEnd w:id="29"/>
    </w:p>
    <w:p w14:paraId="3F10C445" w14:textId="77777777" w:rsidR="00305D30" w:rsidRDefault="00690D2C">
      <w:r>
        <w:t>Balanced Scorecard provides a holistic framework that can be used to assess the strategic performance of the clients at Volkswagen by considering both financial and non-financial variables in accordance with the long-term transformational agenda of the company.</w:t>
      </w:r>
    </w:p>
    <w:p w14:paraId="01465134" w14:textId="77777777" w:rsidR="00305D30" w:rsidRDefault="00690D2C">
      <w:r>
        <w:t>In financial terms, the goal of Volkswagen is to sustain positive growth rates in revenues and profitability through the fluctuations in the market. The KPIs are operating margin, revenue growth and return on investment. The long-term objectives of the organisation are constant margins and growth, depending on the policies of electrification and premiumisation (Volkswagen Group, 2024). The additional financial prowess is also covered with the cost optimisation and platform standardisation operations that will be adopted to remain able to withstand the adversarial environment (Volkswagen Group, 2025).</w:t>
      </w:r>
    </w:p>
    <w:p w14:paraId="01A5EBF8" w14:textId="77777777" w:rsidR="00305D30" w:rsidRDefault="00690D2C">
      <w:r>
        <w:t>The customer perspective focuses on retention, satisfaction and recognition of the brand. Customer satisfaction rates, brand perception and repeat purchase are the KPIs. As part of building trust, sustainable mobility and high-quality products are components of its activities at Volkswagen. The brand online awareness development and the strategies of electric vehicle development are illustrations of strategic actions that can be correlated with the results that the corporate image is a major driver of consumer purchasing behaviour (Sanchez-Iglesias et al., 2024).</w:t>
      </w:r>
    </w:p>
    <w:p w14:paraId="555A45C9" w14:textId="77777777" w:rsidR="00305D30" w:rsidRDefault="00690D2C">
      <w:r>
        <w:t xml:space="preserve">Regarding the internal business process, Volkswagen concentrates on the following spheres: operational efficiency, innovation, and integration of sustainability. The efficiency of production, the quantity of emissions per vehicle, and the degree of innovation are some of the KPIs. The objectives are goal-oriented and oriented towards the reduction of negative environmental impact and maximisation of productivity. The notion of a zero-impact factory and the idea of a circular economy help to become resource efficient and greener with regard </w:t>
      </w:r>
      <w:r>
        <w:lastRenderedPageBreak/>
        <w:t>to the environment (Gebler et al., 2024). And the round stakeholder engagement also contributes to the sustainability in the operations processes (Fobbe and Hilletofth, 2023).</w:t>
      </w:r>
    </w:p>
    <w:p w14:paraId="03341A4F" w14:textId="77777777" w:rsidR="00305D30" w:rsidRDefault="00690D2C">
      <w:r>
        <w:t>The learning and growth perspective emphasises the workforce competency, organisational culture and innovation. Some of the KPIs include skills training to employees, training in digital skills and the capacity to innovate. Sustainability consciousness and sustenance through reskilling programmes and practices of stakeholder engagement are ensured, and promote the value of Volkswagen, adding flexibility and value addition in the long term (Gagne et al., 2022).</w:t>
      </w:r>
    </w:p>
    <w:p w14:paraId="00E1EB3F" w14:textId="77777777" w:rsidR="00305D30" w:rsidRDefault="00690D2C">
      <w:pPr>
        <w:jc w:val="center"/>
      </w:pPr>
      <w:r>
        <w:rPr>
          <w:noProof/>
          <w:lang w:val="en-US"/>
        </w:rPr>
        <w:drawing>
          <wp:inline distT="114300" distB="114300" distL="114300" distR="114300" wp14:anchorId="7278E9BA" wp14:editId="23AB751D">
            <wp:extent cx="5534025" cy="27336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534025" cy="2733675"/>
                    </a:xfrm>
                    <a:prstGeom prst="rect">
                      <a:avLst/>
                    </a:prstGeom>
                  </pic:spPr>
                </pic:pic>
              </a:graphicData>
            </a:graphic>
          </wp:inline>
        </w:drawing>
      </w:r>
    </w:p>
    <w:p w14:paraId="760A793F" w14:textId="77777777" w:rsidR="00305D30" w:rsidRDefault="00690D2C">
      <w:pPr>
        <w:jc w:val="center"/>
        <w:rPr>
          <w:b/>
          <w:bCs/>
        </w:rPr>
      </w:pPr>
      <w:r>
        <w:rPr>
          <w:b/>
          <w:bCs/>
        </w:rPr>
        <w:t>Figure 2: Volkswagen Group Strategic Imperatives and Core Strategic Pillars</w:t>
      </w:r>
    </w:p>
    <w:p w14:paraId="0ADA60EB" w14:textId="77777777" w:rsidR="00305D30" w:rsidRDefault="00690D2C">
      <w:pPr>
        <w:jc w:val="center"/>
      </w:pPr>
      <w:r>
        <w:t>(Source: Volkswagen Group, 2024)</w:t>
      </w:r>
    </w:p>
    <w:p w14:paraId="76C4C18D" w14:textId="77777777" w:rsidR="00305D30" w:rsidRDefault="00690D2C">
      <w:r>
        <w:t>The three pillars in the strategic priorities of Volkswagen include customer focus, organisational capability, and foundational efficiency. It is presented in Figure 2 that displays such strategic imperatives as portfolio optimisation, technological leadership, AI transformation, and sustainability elevation. All this evidence indicates that Volkswagen is undertaking a combined policy to ensure competitive advantage through innovation, efficiency in its operations and long-term resilience.</w:t>
      </w:r>
    </w:p>
    <w:tbl>
      <w:tblPr>
        <w:tblStyle w:val="Table3"/>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70"/>
        <w:gridCol w:w="1695"/>
        <w:gridCol w:w="1755"/>
        <w:gridCol w:w="1920"/>
        <w:gridCol w:w="2055"/>
      </w:tblGrid>
      <w:tr w:rsidR="00305D30" w14:paraId="6B191339" w14:textId="77777777" w:rsidTr="008E5B23">
        <w:trPr>
          <w:trHeight w:val="555"/>
          <w:jc w:val="center"/>
        </w:trPr>
        <w:tc>
          <w:tcPr>
            <w:tcW w:w="1470" w:type="dxa"/>
            <w:tcBorders>
              <w:top w:val="single" w:sz="6" w:space="0" w:color="000000"/>
              <w:left w:val="single" w:sz="6" w:space="0" w:color="000000"/>
              <w:bottom w:val="single" w:sz="6" w:space="0" w:color="000000"/>
              <w:right w:val="single" w:sz="6" w:space="0" w:color="000000"/>
            </w:tcBorders>
            <w:shd w:val="clear" w:color="auto" w:fill="F79646"/>
            <w:tcMar>
              <w:top w:w="0" w:type="dxa"/>
              <w:left w:w="100" w:type="dxa"/>
              <w:bottom w:w="0" w:type="dxa"/>
              <w:right w:w="100" w:type="dxa"/>
            </w:tcMar>
          </w:tcPr>
          <w:p w14:paraId="7542488A" w14:textId="77777777" w:rsidR="00305D30" w:rsidRDefault="00690D2C">
            <w:pPr>
              <w:spacing w:before="240" w:after="0" w:line="276" w:lineRule="auto"/>
              <w:jc w:val="center"/>
              <w:rPr>
                <w:b/>
                <w:bCs/>
              </w:rPr>
            </w:pPr>
            <w:r>
              <w:rPr>
                <w:b/>
                <w:bCs/>
              </w:rPr>
              <w:t>Perspective</w:t>
            </w:r>
          </w:p>
        </w:tc>
        <w:tc>
          <w:tcPr>
            <w:tcW w:w="1695" w:type="dxa"/>
            <w:tcBorders>
              <w:top w:val="single" w:sz="6" w:space="0" w:color="000000"/>
              <w:left w:val="nil"/>
              <w:bottom w:val="single" w:sz="6" w:space="0" w:color="000000"/>
              <w:right w:val="single" w:sz="6" w:space="0" w:color="000000"/>
            </w:tcBorders>
            <w:shd w:val="clear" w:color="auto" w:fill="F79646"/>
            <w:tcMar>
              <w:top w:w="0" w:type="dxa"/>
              <w:left w:w="100" w:type="dxa"/>
              <w:bottom w:w="0" w:type="dxa"/>
              <w:right w:w="100" w:type="dxa"/>
            </w:tcMar>
          </w:tcPr>
          <w:p w14:paraId="0AE5BBF7" w14:textId="77777777" w:rsidR="00305D30" w:rsidRDefault="00690D2C">
            <w:pPr>
              <w:spacing w:before="240" w:after="0" w:line="276" w:lineRule="auto"/>
              <w:jc w:val="center"/>
              <w:rPr>
                <w:b/>
                <w:bCs/>
              </w:rPr>
            </w:pPr>
            <w:r>
              <w:rPr>
                <w:b/>
                <w:bCs/>
              </w:rPr>
              <w:t>Objectives</w:t>
            </w:r>
          </w:p>
        </w:tc>
        <w:tc>
          <w:tcPr>
            <w:tcW w:w="1755" w:type="dxa"/>
            <w:tcBorders>
              <w:top w:val="single" w:sz="6" w:space="0" w:color="000000"/>
              <w:left w:val="nil"/>
              <w:bottom w:val="single" w:sz="6" w:space="0" w:color="000000"/>
              <w:right w:val="single" w:sz="6" w:space="0" w:color="000000"/>
            </w:tcBorders>
            <w:shd w:val="clear" w:color="auto" w:fill="F79646"/>
            <w:tcMar>
              <w:top w:w="0" w:type="dxa"/>
              <w:left w:w="100" w:type="dxa"/>
              <w:bottom w:w="0" w:type="dxa"/>
              <w:right w:w="100" w:type="dxa"/>
            </w:tcMar>
          </w:tcPr>
          <w:p w14:paraId="2A68A083" w14:textId="77777777" w:rsidR="00305D30" w:rsidRDefault="00690D2C">
            <w:pPr>
              <w:spacing w:before="240" w:after="0" w:line="276" w:lineRule="auto"/>
              <w:jc w:val="center"/>
              <w:rPr>
                <w:b/>
                <w:bCs/>
              </w:rPr>
            </w:pPr>
            <w:r>
              <w:rPr>
                <w:b/>
                <w:bCs/>
              </w:rPr>
              <w:t>KPIs</w:t>
            </w:r>
          </w:p>
        </w:tc>
        <w:tc>
          <w:tcPr>
            <w:tcW w:w="1920" w:type="dxa"/>
            <w:tcBorders>
              <w:top w:val="single" w:sz="6" w:space="0" w:color="000000"/>
              <w:left w:val="nil"/>
              <w:bottom w:val="single" w:sz="6" w:space="0" w:color="000000"/>
              <w:right w:val="single" w:sz="6" w:space="0" w:color="000000"/>
            </w:tcBorders>
            <w:shd w:val="clear" w:color="auto" w:fill="F79646"/>
            <w:tcMar>
              <w:top w:w="0" w:type="dxa"/>
              <w:left w:w="100" w:type="dxa"/>
              <w:bottom w:w="0" w:type="dxa"/>
              <w:right w:w="100" w:type="dxa"/>
            </w:tcMar>
          </w:tcPr>
          <w:p w14:paraId="0AE29AC2" w14:textId="77777777" w:rsidR="00305D30" w:rsidRDefault="00690D2C">
            <w:pPr>
              <w:spacing w:before="240" w:after="0" w:line="276" w:lineRule="auto"/>
              <w:jc w:val="center"/>
              <w:rPr>
                <w:b/>
                <w:bCs/>
              </w:rPr>
            </w:pPr>
            <w:r>
              <w:rPr>
                <w:b/>
                <w:bCs/>
              </w:rPr>
              <w:t>Targets</w:t>
            </w:r>
          </w:p>
        </w:tc>
        <w:tc>
          <w:tcPr>
            <w:tcW w:w="2055" w:type="dxa"/>
            <w:tcBorders>
              <w:top w:val="single" w:sz="6" w:space="0" w:color="000000"/>
              <w:left w:val="nil"/>
              <w:bottom w:val="single" w:sz="6" w:space="0" w:color="000000"/>
              <w:right w:val="single" w:sz="6" w:space="0" w:color="000000"/>
            </w:tcBorders>
            <w:shd w:val="clear" w:color="auto" w:fill="F79646"/>
            <w:tcMar>
              <w:top w:w="0" w:type="dxa"/>
              <w:left w:w="100" w:type="dxa"/>
              <w:bottom w:w="0" w:type="dxa"/>
              <w:right w:w="100" w:type="dxa"/>
            </w:tcMar>
          </w:tcPr>
          <w:p w14:paraId="3257BDCC" w14:textId="77777777" w:rsidR="00305D30" w:rsidRDefault="00690D2C">
            <w:pPr>
              <w:spacing w:before="240" w:after="0" w:line="276" w:lineRule="auto"/>
              <w:jc w:val="center"/>
              <w:rPr>
                <w:b/>
                <w:bCs/>
              </w:rPr>
            </w:pPr>
            <w:r>
              <w:rPr>
                <w:b/>
                <w:bCs/>
              </w:rPr>
              <w:t>Strategic Initiatives</w:t>
            </w:r>
          </w:p>
        </w:tc>
      </w:tr>
      <w:tr w:rsidR="00305D30" w14:paraId="004E17CC" w14:textId="77777777" w:rsidTr="008E5B23">
        <w:trPr>
          <w:trHeight w:val="1095"/>
          <w:jc w:val="center"/>
        </w:trPr>
        <w:tc>
          <w:tcPr>
            <w:tcW w:w="1470" w:type="dxa"/>
            <w:tcBorders>
              <w:top w:val="nil"/>
              <w:left w:val="single" w:sz="6" w:space="0" w:color="000000"/>
              <w:bottom w:val="single" w:sz="6" w:space="0" w:color="000000"/>
              <w:right w:val="single" w:sz="6" w:space="0" w:color="000000"/>
            </w:tcBorders>
            <w:shd w:val="clear" w:color="auto" w:fill="F79646"/>
            <w:tcMar>
              <w:top w:w="0" w:type="dxa"/>
              <w:left w:w="100" w:type="dxa"/>
              <w:bottom w:w="0" w:type="dxa"/>
              <w:right w:w="100" w:type="dxa"/>
            </w:tcMar>
          </w:tcPr>
          <w:p w14:paraId="3C0362ED" w14:textId="77777777" w:rsidR="00305D30" w:rsidRDefault="00690D2C">
            <w:pPr>
              <w:spacing w:before="240" w:after="0" w:line="276" w:lineRule="auto"/>
              <w:jc w:val="center"/>
              <w:rPr>
                <w:b/>
                <w:bCs/>
              </w:rPr>
            </w:pPr>
            <w:r>
              <w:rPr>
                <w:b/>
                <w:bCs/>
              </w:rPr>
              <w:lastRenderedPageBreak/>
              <w:t>Financial</w:t>
            </w:r>
          </w:p>
        </w:tc>
        <w:tc>
          <w:tcPr>
            <w:tcW w:w="169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68F6E341" w14:textId="77777777" w:rsidR="00305D30" w:rsidRDefault="00690D2C">
            <w:pPr>
              <w:spacing w:before="240" w:after="0" w:line="276" w:lineRule="auto"/>
              <w:jc w:val="left"/>
            </w:pPr>
            <w:r>
              <w:t>Revenue growth, profitability</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6279278D" w14:textId="77777777" w:rsidR="00305D30" w:rsidRDefault="00690D2C">
            <w:pPr>
              <w:spacing w:before="240" w:after="0" w:line="276" w:lineRule="auto"/>
              <w:jc w:val="left"/>
            </w:pPr>
            <w:r>
              <w:t>Operating margin, ROI, revenue growth</w:t>
            </w:r>
          </w:p>
        </w:tc>
        <w:tc>
          <w:tcPr>
            <w:tcW w:w="192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5CEF3E7D" w14:textId="77777777" w:rsidR="00305D30" w:rsidRDefault="00690D2C">
            <w:pPr>
              <w:spacing w:before="240" w:after="0" w:line="276" w:lineRule="auto"/>
              <w:jc w:val="left"/>
            </w:pPr>
            <w:r>
              <w:t>Stable margins, increased EV revenue</w:t>
            </w:r>
          </w:p>
        </w:tc>
        <w:tc>
          <w:tcPr>
            <w:tcW w:w="20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613D1B53" w14:textId="77777777" w:rsidR="00305D30" w:rsidRDefault="00690D2C">
            <w:pPr>
              <w:spacing w:before="240" w:after="0" w:line="276" w:lineRule="auto"/>
              <w:jc w:val="left"/>
            </w:pPr>
            <w:r>
              <w:t>Cost optimisation, EV investment, platform standardisation</w:t>
            </w:r>
          </w:p>
        </w:tc>
      </w:tr>
      <w:tr w:rsidR="00305D30" w14:paraId="53A7FD82" w14:textId="77777777" w:rsidTr="008E5B23">
        <w:trPr>
          <w:trHeight w:val="1635"/>
          <w:jc w:val="center"/>
        </w:trPr>
        <w:tc>
          <w:tcPr>
            <w:tcW w:w="1470" w:type="dxa"/>
            <w:tcBorders>
              <w:top w:val="nil"/>
              <w:left w:val="single" w:sz="6" w:space="0" w:color="000000"/>
              <w:bottom w:val="single" w:sz="6" w:space="0" w:color="000000"/>
              <w:right w:val="single" w:sz="6" w:space="0" w:color="000000"/>
            </w:tcBorders>
            <w:shd w:val="clear" w:color="auto" w:fill="F79646"/>
            <w:tcMar>
              <w:top w:w="0" w:type="dxa"/>
              <w:left w:w="100" w:type="dxa"/>
              <w:bottom w:w="0" w:type="dxa"/>
              <w:right w:w="100" w:type="dxa"/>
            </w:tcMar>
          </w:tcPr>
          <w:p w14:paraId="4EF39C04" w14:textId="77777777" w:rsidR="00305D30" w:rsidRDefault="00690D2C">
            <w:pPr>
              <w:spacing w:before="240" w:after="0" w:line="276" w:lineRule="auto"/>
              <w:jc w:val="center"/>
              <w:rPr>
                <w:b/>
                <w:bCs/>
              </w:rPr>
            </w:pPr>
            <w:r>
              <w:rPr>
                <w:b/>
                <w:bCs/>
              </w:rPr>
              <w:t>Customer</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72B5140D" w14:textId="77777777" w:rsidR="00305D30" w:rsidRDefault="00690D2C">
            <w:pPr>
              <w:spacing w:before="240" w:after="0" w:line="276" w:lineRule="auto"/>
              <w:jc w:val="left"/>
            </w:pPr>
            <w:r>
              <w:t>Satisfaction, retention, brand value</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27CF33B4" w14:textId="77777777" w:rsidR="00305D30" w:rsidRDefault="00690D2C">
            <w:pPr>
              <w:spacing w:before="240" w:after="0" w:line="276" w:lineRule="auto"/>
              <w:jc w:val="left"/>
            </w:pPr>
            <w:r>
              <w:t>Customer satisfaction, brand perception, repeat purchases</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52FF5954" w14:textId="77777777" w:rsidR="00305D30" w:rsidRDefault="00690D2C">
            <w:pPr>
              <w:spacing w:before="240" w:after="0" w:line="276" w:lineRule="auto"/>
              <w:jc w:val="left"/>
            </w:pPr>
            <w:r>
              <w:t>Improved loyalty and brand trust</w:t>
            </w:r>
          </w:p>
        </w:tc>
        <w:tc>
          <w:tcPr>
            <w:tcW w:w="2055" w:type="dxa"/>
            <w:tcBorders>
              <w:top w:val="nil"/>
              <w:left w:val="nil"/>
              <w:bottom w:val="single" w:sz="6" w:space="0" w:color="000000"/>
              <w:right w:val="single" w:sz="6" w:space="0" w:color="000000"/>
            </w:tcBorders>
            <w:tcMar>
              <w:top w:w="0" w:type="dxa"/>
              <w:left w:w="100" w:type="dxa"/>
              <w:bottom w:w="0" w:type="dxa"/>
              <w:right w:w="100" w:type="dxa"/>
            </w:tcMar>
          </w:tcPr>
          <w:p w14:paraId="2912DCA9" w14:textId="77777777" w:rsidR="00305D30" w:rsidRDefault="00690D2C">
            <w:pPr>
              <w:spacing w:before="240" w:after="0" w:line="276" w:lineRule="auto"/>
              <w:jc w:val="left"/>
            </w:pPr>
            <w:r>
              <w:t>Digital engagement, EV portfolio expansion</w:t>
            </w:r>
          </w:p>
        </w:tc>
      </w:tr>
      <w:tr w:rsidR="00305D30" w14:paraId="7738D628" w14:textId="77777777" w:rsidTr="008E5B23">
        <w:trPr>
          <w:trHeight w:val="1365"/>
          <w:jc w:val="center"/>
        </w:trPr>
        <w:tc>
          <w:tcPr>
            <w:tcW w:w="1470" w:type="dxa"/>
            <w:tcBorders>
              <w:top w:val="nil"/>
              <w:left w:val="single" w:sz="6" w:space="0" w:color="000000"/>
              <w:bottom w:val="single" w:sz="6" w:space="0" w:color="000000"/>
              <w:right w:val="single" w:sz="6" w:space="0" w:color="000000"/>
            </w:tcBorders>
            <w:shd w:val="clear" w:color="auto" w:fill="F79646"/>
            <w:tcMar>
              <w:top w:w="0" w:type="dxa"/>
              <w:left w:w="100" w:type="dxa"/>
              <w:bottom w:w="0" w:type="dxa"/>
              <w:right w:w="100" w:type="dxa"/>
            </w:tcMar>
          </w:tcPr>
          <w:p w14:paraId="6EB55451" w14:textId="77777777" w:rsidR="00305D30" w:rsidRDefault="00690D2C">
            <w:pPr>
              <w:spacing w:before="240" w:after="0" w:line="276" w:lineRule="auto"/>
              <w:jc w:val="center"/>
              <w:rPr>
                <w:b/>
                <w:bCs/>
              </w:rPr>
            </w:pPr>
            <w:r>
              <w:rPr>
                <w:b/>
                <w:bCs/>
              </w:rPr>
              <w:t>Internal Processes</w:t>
            </w:r>
          </w:p>
        </w:tc>
        <w:tc>
          <w:tcPr>
            <w:tcW w:w="169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3D709D70" w14:textId="77777777" w:rsidR="00305D30" w:rsidRDefault="00690D2C">
            <w:pPr>
              <w:spacing w:before="240" w:after="0" w:line="276" w:lineRule="auto"/>
              <w:jc w:val="left"/>
            </w:pPr>
            <w:r>
              <w:t>Efficiency, innovation, sustainability</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2454AED3" w14:textId="77777777" w:rsidR="00305D30" w:rsidRDefault="00690D2C">
            <w:pPr>
              <w:spacing w:before="240" w:after="0" w:line="276" w:lineRule="auto"/>
              <w:jc w:val="left"/>
            </w:pPr>
            <w:r>
              <w:t>Production efficiency, emissions per vehicle, innovation rate</w:t>
            </w:r>
          </w:p>
        </w:tc>
        <w:tc>
          <w:tcPr>
            <w:tcW w:w="192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5FC3A606" w14:textId="77777777" w:rsidR="00305D30" w:rsidRDefault="00690D2C">
            <w:pPr>
              <w:spacing w:before="240" w:after="0" w:line="276" w:lineRule="auto"/>
              <w:jc w:val="left"/>
            </w:pPr>
            <w:r>
              <w:t>Reduced environmental impact, improved efficiency</w:t>
            </w:r>
          </w:p>
        </w:tc>
        <w:tc>
          <w:tcPr>
            <w:tcW w:w="20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6FC5180E" w14:textId="77777777" w:rsidR="00305D30" w:rsidRDefault="00690D2C">
            <w:pPr>
              <w:spacing w:before="240" w:after="0" w:line="276" w:lineRule="auto"/>
              <w:jc w:val="left"/>
            </w:pPr>
            <w:r>
              <w:t>Zero Impact Factory, circular economy practices</w:t>
            </w:r>
          </w:p>
        </w:tc>
      </w:tr>
      <w:tr w:rsidR="00305D30" w14:paraId="51500DA9" w14:textId="77777777" w:rsidTr="008E5B23">
        <w:trPr>
          <w:trHeight w:val="1365"/>
          <w:jc w:val="center"/>
        </w:trPr>
        <w:tc>
          <w:tcPr>
            <w:tcW w:w="1470" w:type="dxa"/>
            <w:tcBorders>
              <w:top w:val="nil"/>
              <w:left w:val="single" w:sz="6" w:space="0" w:color="000000"/>
              <w:bottom w:val="single" w:sz="6" w:space="0" w:color="000000"/>
              <w:right w:val="single" w:sz="6" w:space="0" w:color="000000"/>
            </w:tcBorders>
            <w:shd w:val="clear" w:color="auto" w:fill="F79646"/>
            <w:tcMar>
              <w:top w:w="0" w:type="dxa"/>
              <w:left w:w="100" w:type="dxa"/>
              <w:bottom w:w="0" w:type="dxa"/>
              <w:right w:w="100" w:type="dxa"/>
            </w:tcMar>
          </w:tcPr>
          <w:p w14:paraId="5A7CAD26" w14:textId="77777777" w:rsidR="00305D30" w:rsidRDefault="00690D2C">
            <w:pPr>
              <w:spacing w:before="240" w:after="0" w:line="276" w:lineRule="auto"/>
              <w:jc w:val="center"/>
              <w:rPr>
                <w:b/>
                <w:bCs/>
              </w:rPr>
            </w:pPr>
            <w:r>
              <w:rPr>
                <w:b/>
                <w:bCs/>
              </w:rPr>
              <w:t>Learning &amp; Growth</w:t>
            </w:r>
          </w:p>
        </w:tc>
        <w:tc>
          <w:tcPr>
            <w:tcW w:w="1695" w:type="dxa"/>
            <w:tcBorders>
              <w:top w:val="nil"/>
              <w:left w:val="nil"/>
              <w:bottom w:val="single" w:sz="6" w:space="0" w:color="000000"/>
              <w:right w:val="single" w:sz="6" w:space="0" w:color="000000"/>
            </w:tcBorders>
            <w:tcMar>
              <w:top w:w="0" w:type="dxa"/>
              <w:left w:w="100" w:type="dxa"/>
              <w:bottom w:w="0" w:type="dxa"/>
              <w:right w:w="100" w:type="dxa"/>
            </w:tcMar>
          </w:tcPr>
          <w:p w14:paraId="7C0B64F1" w14:textId="77777777" w:rsidR="00305D30" w:rsidRDefault="00690D2C">
            <w:pPr>
              <w:spacing w:before="240" w:after="0" w:line="276" w:lineRule="auto"/>
              <w:jc w:val="left"/>
            </w:pPr>
            <w:r>
              <w:t>Skills, culture, innovation capability</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5C2C5F18" w14:textId="77777777" w:rsidR="00305D30" w:rsidRDefault="00690D2C">
            <w:pPr>
              <w:spacing w:before="240" w:after="0" w:line="276" w:lineRule="auto"/>
              <w:jc w:val="left"/>
            </w:pPr>
            <w:r>
              <w:t>Training hours, digital skills, innovation capability</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2D490B23" w14:textId="77777777" w:rsidR="00305D30" w:rsidRDefault="00690D2C">
            <w:pPr>
              <w:spacing w:before="240" w:after="0" w:line="276" w:lineRule="auto"/>
              <w:jc w:val="left"/>
            </w:pPr>
            <w:r>
              <w:t>Workforce upskilling, innovation culture</w:t>
            </w:r>
          </w:p>
        </w:tc>
        <w:tc>
          <w:tcPr>
            <w:tcW w:w="2055" w:type="dxa"/>
            <w:tcBorders>
              <w:top w:val="nil"/>
              <w:left w:val="nil"/>
              <w:bottom w:val="single" w:sz="6" w:space="0" w:color="000000"/>
              <w:right w:val="single" w:sz="6" w:space="0" w:color="000000"/>
            </w:tcBorders>
            <w:tcMar>
              <w:top w:w="0" w:type="dxa"/>
              <w:left w:w="100" w:type="dxa"/>
              <w:bottom w:w="0" w:type="dxa"/>
              <w:right w:w="100" w:type="dxa"/>
            </w:tcMar>
          </w:tcPr>
          <w:p w14:paraId="663D1B60" w14:textId="77777777" w:rsidR="00305D30" w:rsidRDefault="00690D2C">
            <w:pPr>
              <w:spacing w:before="240" w:after="0" w:line="276" w:lineRule="auto"/>
              <w:jc w:val="left"/>
            </w:pPr>
            <w:r>
              <w:t>EV training, stakeholder engagement, and sustainability awareness</w:t>
            </w:r>
          </w:p>
        </w:tc>
      </w:tr>
    </w:tbl>
    <w:p w14:paraId="0728F9CB" w14:textId="77777777" w:rsidR="00305D30" w:rsidRDefault="00690D2C">
      <w:pPr>
        <w:jc w:val="center"/>
        <w:rPr>
          <w:b/>
          <w:bCs/>
        </w:rPr>
      </w:pPr>
      <w:r>
        <w:rPr>
          <w:b/>
          <w:bCs/>
        </w:rPr>
        <w:t>Table 3: Balanced Scorecard for Volkswagen</w:t>
      </w:r>
    </w:p>
    <w:p w14:paraId="4A039BB7" w14:textId="77777777" w:rsidR="00305D30" w:rsidRDefault="00690D2C">
      <w:pPr>
        <w:jc w:val="center"/>
      </w:pPr>
      <w:r>
        <w:t>(Source: Self-developed)</w:t>
      </w:r>
    </w:p>
    <w:p w14:paraId="07799373" w14:textId="77777777" w:rsidR="00305D30" w:rsidRDefault="00690D2C">
      <w:pPr>
        <w:pStyle w:val="Heading1"/>
      </w:pPr>
      <w:bookmarkStart w:id="30" w:name="_9rgwmjmksy4w" w:colFirst="0" w:colLast="0"/>
      <w:bookmarkStart w:id="31" w:name="_Toc224930724"/>
      <w:bookmarkEnd w:id="30"/>
      <w:r>
        <w:t>5. Strategic Choices &amp; Implementation</w:t>
      </w:r>
      <w:bookmarkEnd w:id="31"/>
    </w:p>
    <w:p w14:paraId="5E1A5FB1" w14:textId="77777777" w:rsidR="00305D30" w:rsidRDefault="00690D2C">
      <w:r>
        <w:t>The hybrid orientation adopted by Volkswagen is a strategic decision involving differentiation by the business level, with a combination of corporate-level growth strategy to guarantee the company has a competitive advantage in a highly dynamic automotive industry. The major levels, in which the organisation's learning focuses, at the business level, include differentiation strategy in terms of technological innovation, the quality of the products and brand positioning. The transition to the production process in electric vehicles (EVs), the virtual world, and high-order production systems significantly contributes to the value creation and enables Volkswagen to be a person in the crowd. With Industry 4.0 technologies, it is possible to remain efficient and automated and make the utilisation of data-</w:t>
      </w:r>
      <w:r>
        <w:lastRenderedPageBreak/>
        <w:t>driven decisions, thereby increasing operational resilience and performance (Nagy and Lazaroiu, 2022). In addition, the focus on the implementation of the principles of the circular economy fosters the differentiation in terms of sustainability through the increase of resource efficiency and reducing the negative effects on the surrounding environment (Yu et al., 2022).</w:t>
      </w:r>
    </w:p>
    <w:p w14:paraId="34D5FCFE" w14:textId="77777777" w:rsidR="00305D30" w:rsidRDefault="00690D2C">
      <w:r>
        <w:t>Watanabe (2010) notes that the corporate-level approach of Volkswagen is to become diversified, expand and develop the market to enable the attainment of long-term growth. This differs in its investments in EV technologies, battery manufacturing, software services, and mobility solutions in a way that the organisation can alleviate the dependence that it had on the markets of internal combustion engines. The growth strategies are also reflected in the development of its global production platform and increased incursion into the emerging markets and high-growth markets. It expands its business based on the need to find new categories of clients and accelerate the proliferation of EVs in different geographical regions. These strategic directions are in sync with the transformational changes in the European automotive market that require companies to reposition themselves in the rearranging global value chains (Pavlinek, 2022). In the case of electrification, it has additionally increased regional adaptation and integration of new production systems (Pavlinek, 2023). In addition to that, the compliance with the system of sustainability, such as the EU taxonomy, reinforces the bridges between Volkswagen and climate neutrality objectives and improves its capacity to get climate-neutral funds (Schutze and Stede, 2024).</w:t>
      </w:r>
    </w:p>
    <w:p w14:paraId="10576123" w14:textId="77777777" w:rsidR="00305D30" w:rsidRDefault="00690D2C">
      <w:r>
        <w:t>The most suitable strategy direction for Volkswagen is the differentiation-based growth strategy, where diversification is involved in sustainable and digital technologies. Such a dual approach can assist the organisation to maintain its premium status earnestly to respond to regulatory demands, technology, and to meet the changing needs of the people. It is also an assurance of long-term competitiveness since it aligns its innovation abilities with sustainability objectives.</w:t>
      </w:r>
    </w:p>
    <w:p w14:paraId="03362C6C" w14:textId="77777777" w:rsidR="00305D30" w:rsidRDefault="00690D2C">
      <w:r>
        <w:t xml:space="preserve">Volkswagen has been subjected to a massive organisational change that is geared at electrification, digitalisation and sustainability. Evidence of this has been witnessed in highly structured forms of the company through massive investments, refocusing and building capabilities. It has not been smooth sailing, however. The international character of the operations, historical systems and reliance on the supply chain have slowed down the </w:t>
      </w:r>
      <w:r>
        <w:lastRenderedPageBreak/>
        <w:t>implementation rates in certain locations. Irrespective of these restrictions, Volkswagen has accomplished important achievements in expanding the portfolio of EVs and embracing sustainability in business and operations. Overall, the organisational change management can be rated as progressive but dynamic, implying the balancing between the strategic ambition and business realities.</w:t>
      </w:r>
    </w:p>
    <w:tbl>
      <w:tblPr>
        <w:tblStyle w:val="Table4"/>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55"/>
        <w:gridCol w:w="1755"/>
        <w:gridCol w:w="1755"/>
        <w:gridCol w:w="2250"/>
        <w:gridCol w:w="1680"/>
      </w:tblGrid>
      <w:tr w:rsidR="00305D30" w14:paraId="3D71BC70" w14:textId="77777777" w:rsidTr="008E5B23">
        <w:trPr>
          <w:trHeight w:val="555"/>
          <w:jc w:val="center"/>
        </w:trPr>
        <w:tc>
          <w:tcPr>
            <w:tcW w:w="1455" w:type="dxa"/>
            <w:tcBorders>
              <w:top w:val="single" w:sz="6" w:space="0" w:color="000000"/>
              <w:left w:val="single" w:sz="6" w:space="0" w:color="000000"/>
              <w:bottom w:val="single" w:sz="6" w:space="0" w:color="000000"/>
              <w:right w:val="single" w:sz="6" w:space="0" w:color="000000"/>
            </w:tcBorders>
            <w:shd w:val="clear" w:color="auto" w:fill="9BBB59"/>
            <w:tcMar>
              <w:top w:w="0" w:type="dxa"/>
              <w:left w:w="100" w:type="dxa"/>
              <w:bottom w:w="0" w:type="dxa"/>
              <w:right w:w="100" w:type="dxa"/>
            </w:tcMar>
          </w:tcPr>
          <w:p w14:paraId="5052E142" w14:textId="77777777" w:rsidR="00305D30" w:rsidRDefault="00690D2C">
            <w:pPr>
              <w:spacing w:before="240" w:after="0" w:line="276" w:lineRule="auto"/>
              <w:jc w:val="center"/>
              <w:rPr>
                <w:b/>
                <w:bCs/>
              </w:rPr>
            </w:pPr>
            <w:r>
              <w:rPr>
                <w:b/>
                <w:bCs/>
              </w:rPr>
              <w:t>Strategy Level</w:t>
            </w:r>
          </w:p>
        </w:tc>
        <w:tc>
          <w:tcPr>
            <w:tcW w:w="1755" w:type="dxa"/>
            <w:tcBorders>
              <w:top w:val="single" w:sz="6" w:space="0" w:color="000000"/>
              <w:left w:val="nil"/>
              <w:bottom w:val="single" w:sz="6" w:space="0" w:color="000000"/>
              <w:right w:val="single" w:sz="6" w:space="0" w:color="000000"/>
            </w:tcBorders>
            <w:shd w:val="clear" w:color="auto" w:fill="9BBB59"/>
            <w:tcMar>
              <w:top w:w="0" w:type="dxa"/>
              <w:left w:w="100" w:type="dxa"/>
              <w:bottom w:w="0" w:type="dxa"/>
              <w:right w:w="100" w:type="dxa"/>
            </w:tcMar>
          </w:tcPr>
          <w:p w14:paraId="16987966" w14:textId="77777777" w:rsidR="00305D30" w:rsidRDefault="00690D2C">
            <w:pPr>
              <w:spacing w:before="240" w:after="0" w:line="276" w:lineRule="auto"/>
              <w:jc w:val="center"/>
              <w:rPr>
                <w:b/>
                <w:bCs/>
              </w:rPr>
            </w:pPr>
            <w:r>
              <w:rPr>
                <w:b/>
                <w:bCs/>
              </w:rPr>
              <w:t>Strategy Type</w:t>
            </w:r>
          </w:p>
        </w:tc>
        <w:tc>
          <w:tcPr>
            <w:tcW w:w="1755" w:type="dxa"/>
            <w:tcBorders>
              <w:top w:val="single" w:sz="6" w:space="0" w:color="000000"/>
              <w:left w:val="nil"/>
              <w:bottom w:val="single" w:sz="6" w:space="0" w:color="000000"/>
              <w:right w:val="single" w:sz="6" w:space="0" w:color="000000"/>
            </w:tcBorders>
            <w:shd w:val="clear" w:color="auto" w:fill="9BBB59"/>
            <w:tcMar>
              <w:top w:w="0" w:type="dxa"/>
              <w:left w:w="100" w:type="dxa"/>
              <w:bottom w:w="0" w:type="dxa"/>
              <w:right w:w="100" w:type="dxa"/>
            </w:tcMar>
          </w:tcPr>
          <w:p w14:paraId="7275EF0E" w14:textId="77777777" w:rsidR="00305D30" w:rsidRDefault="00690D2C">
            <w:pPr>
              <w:spacing w:before="240" w:after="0" w:line="276" w:lineRule="auto"/>
              <w:jc w:val="center"/>
              <w:rPr>
                <w:b/>
                <w:bCs/>
              </w:rPr>
            </w:pPr>
            <w:r>
              <w:rPr>
                <w:b/>
                <w:bCs/>
              </w:rPr>
              <w:t>Key Focus</w:t>
            </w:r>
          </w:p>
        </w:tc>
        <w:tc>
          <w:tcPr>
            <w:tcW w:w="2250" w:type="dxa"/>
            <w:tcBorders>
              <w:top w:val="single" w:sz="6" w:space="0" w:color="000000"/>
              <w:left w:val="nil"/>
              <w:bottom w:val="single" w:sz="6" w:space="0" w:color="000000"/>
              <w:right w:val="single" w:sz="6" w:space="0" w:color="000000"/>
            </w:tcBorders>
            <w:shd w:val="clear" w:color="auto" w:fill="9BBB59"/>
            <w:tcMar>
              <w:top w:w="0" w:type="dxa"/>
              <w:left w:w="100" w:type="dxa"/>
              <w:bottom w:w="0" w:type="dxa"/>
              <w:right w:w="100" w:type="dxa"/>
            </w:tcMar>
          </w:tcPr>
          <w:p w14:paraId="3160E459" w14:textId="77777777" w:rsidR="00305D30" w:rsidRDefault="00690D2C">
            <w:pPr>
              <w:spacing w:before="240" w:after="0" w:line="276" w:lineRule="auto"/>
              <w:jc w:val="center"/>
              <w:rPr>
                <w:b/>
                <w:bCs/>
              </w:rPr>
            </w:pPr>
            <w:r>
              <w:rPr>
                <w:b/>
                <w:bCs/>
              </w:rPr>
              <w:t>Implementation Approach</w:t>
            </w:r>
          </w:p>
        </w:tc>
        <w:tc>
          <w:tcPr>
            <w:tcW w:w="1680" w:type="dxa"/>
            <w:tcBorders>
              <w:top w:val="single" w:sz="6" w:space="0" w:color="000000"/>
              <w:left w:val="nil"/>
              <w:bottom w:val="single" w:sz="6" w:space="0" w:color="000000"/>
              <w:right w:val="single" w:sz="6" w:space="0" w:color="000000"/>
            </w:tcBorders>
            <w:shd w:val="clear" w:color="auto" w:fill="9BBB59"/>
            <w:tcMar>
              <w:top w:w="0" w:type="dxa"/>
              <w:left w:w="100" w:type="dxa"/>
              <w:bottom w:w="0" w:type="dxa"/>
              <w:right w:w="100" w:type="dxa"/>
            </w:tcMar>
          </w:tcPr>
          <w:p w14:paraId="6D24F256" w14:textId="77777777" w:rsidR="00305D30" w:rsidRDefault="00690D2C">
            <w:pPr>
              <w:spacing w:before="240" w:after="0" w:line="276" w:lineRule="auto"/>
              <w:jc w:val="center"/>
              <w:rPr>
                <w:b/>
                <w:bCs/>
              </w:rPr>
            </w:pPr>
            <w:r>
              <w:rPr>
                <w:b/>
                <w:bCs/>
              </w:rPr>
              <w:t>Outcome</w:t>
            </w:r>
          </w:p>
        </w:tc>
      </w:tr>
      <w:tr w:rsidR="00305D30" w14:paraId="13B05552" w14:textId="77777777" w:rsidTr="008E5B23">
        <w:trPr>
          <w:trHeight w:val="825"/>
          <w:jc w:val="center"/>
        </w:trPr>
        <w:tc>
          <w:tcPr>
            <w:tcW w:w="1455" w:type="dxa"/>
            <w:tcBorders>
              <w:top w:val="nil"/>
              <w:left w:val="single" w:sz="6" w:space="0" w:color="000000"/>
              <w:bottom w:val="single" w:sz="6" w:space="0" w:color="000000"/>
              <w:right w:val="single" w:sz="6" w:space="0" w:color="000000"/>
            </w:tcBorders>
            <w:shd w:val="clear" w:color="auto" w:fill="9BBB59"/>
            <w:tcMar>
              <w:top w:w="0" w:type="dxa"/>
              <w:left w:w="100" w:type="dxa"/>
              <w:bottom w:w="0" w:type="dxa"/>
              <w:right w:w="100" w:type="dxa"/>
            </w:tcMar>
          </w:tcPr>
          <w:p w14:paraId="4F56DD71" w14:textId="77777777" w:rsidR="00305D30" w:rsidRDefault="00690D2C">
            <w:pPr>
              <w:spacing w:before="240" w:after="0" w:line="276" w:lineRule="auto"/>
              <w:jc w:val="center"/>
              <w:rPr>
                <w:b/>
                <w:bCs/>
              </w:rPr>
            </w:pPr>
            <w:r>
              <w:rPr>
                <w:b/>
                <w:bCs/>
              </w:rPr>
              <w:t>Business-Level</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527A2033" w14:textId="77777777" w:rsidR="00305D30" w:rsidRDefault="00690D2C">
            <w:pPr>
              <w:spacing w:before="240" w:after="0" w:line="276" w:lineRule="auto"/>
              <w:jc w:val="center"/>
            </w:pPr>
            <w:r>
              <w:t>Differentiation</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323230CD" w14:textId="77777777" w:rsidR="00305D30" w:rsidRDefault="00690D2C">
            <w:pPr>
              <w:spacing w:before="240" w:after="0" w:line="276" w:lineRule="auto"/>
              <w:jc w:val="center"/>
            </w:pPr>
            <w:r>
              <w:t>Innovation, EVs, digitalisation</w:t>
            </w:r>
          </w:p>
        </w:tc>
        <w:tc>
          <w:tcPr>
            <w:tcW w:w="225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4A86EE01" w14:textId="77777777" w:rsidR="00305D30" w:rsidRDefault="00690D2C">
            <w:pPr>
              <w:spacing w:before="240" w:after="0" w:line="276" w:lineRule="auto"/>
              <w:jc w:val="center"/>
            </w:pPr>
            <w:r>
              <w:t>Industry 4.0 technologies, circular practices</w:t>
            </w:r>
          </w:p>
        </w:tc>
        <w:tc>
          <w:tcPr>
            <w:tcW w:w="168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35658BC8" w14:textId="77777777" w:rsidR="00305D30" w:rsidRDefault="00690D2C">
            <w:pPr>
              <w:spacing w:before="240" w:after="0" w:line="276" w:lineRule="auto"/>
              <w:jc w:val="center"/>
            </w:pPr>
            <w:r>
              <w:t>Enhanced competitive positioning</w:t>
            </w:r>
          </w:p>
        </w:tc>
      </w:tr>
      <w:tr w:rsidR="00305D30" w14:paraId="6A5F7586" w14:textId="77777777" w:rsidTr="008E5B23">
        <w:trPr>
          <w:trHeight w:val="825"/>
          <w:jc w:val="center"/>
        </w:trPr>
        <w:tc>
          <w:tcPr>
            <w:tcW w:w="1455" w:type="dxa"/>
            <w:tcBorders>
              <w:top w:val="nil"/>
              <w:left w:val="single" w:sz="6" w:space="0" w:color="000000"/>
              <w:bottom w:val="single" w:sz="6" w:space="0" w:color="000000"/>
              <w:right w:val="single" w:sz="6" w:space="0" w:color="000000"/>
            </w:tcBorders>
            <w:shd w:val="clear" w:color="auto" w:fill="9BBB59"/>
            <w:tcMar>
              <w:top w:w="0" w:type="dxa"/>
              <w:left w:w="100" w:type="dxa"/>
              <w:bottom w:w="0" w:type="dxa"/>
              <w:right w:w="100" w:type="dxa"/>
            </w:tcMar>
          </w:tcPr>
          <w:p w14:paraId="6EC5E036" w14:textId="77777777" w:rsidR="00305D30" w:rsidRDefault="00690D2C">
            <w:pPr>
              <w:spacing w:before="240" w:after="0" w:line="276" w:lineRule="auto"/>
              <w:jc w:val="center"/>
              <w:rPr>
                <w:b/>
                <w:bCs/>
              </w:rPr>
            </w:pPr>
            <w:r>
              <w:rPr>
                <w:b/>
                <w:bCs/>
              </w:rPr>
              <w:t>Corporate-Level</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38376503" w14:textId="77777777" w:rsidR="00305D30" w:rsidRDefault="00690D2C">
            <w:pPr>
              <w:spacing w:before="240" w:after="0" w:line="276" w:lineRule="auto"/>
              <w:jc w:val="center"/>
            </w:pPr>
            <w:r>
              <w:t>Diversification</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402B056C" w14:textId="77777777" w:rsidR="00305D30" w:rsidRDefault="00690D2C">
            <w:pPr>
              <w:spacing w:before="240" w:after="0" w:line="276" w:lineRule="auto"/>
              <w:jc w:val="center"/>
            </w:pPr>
            <w:r>
              <w:t>EVs, batteries, mobility services</w:t>
            </w:r>
          </w:p>
        </w:tc>
        <w:tc>
          <w:tcPr>
            <w:tcW w:w="2250" w:type="dxa"/>
            <w:tcBorders>
              <w:top w:val="nil"/>
              <w:left w:val="nil"/>
              <w:bottom w:val="single" w:sz="6" w:space="0" w:color="000000"/>
              <w:right w:val="single" w:sz="6" w:space="0" w:color="000000"/>
            </w:tcBorders>
            <w:tcMar>
              <w:top w:w="0" w:type="dxa"/>
              <w:left w:w="100" w:type="dxa"/>
              <w:bottom w:w="0" w:type="dxa"/>
              <w:right w:w="100" w:type="dxa"/>
            </w:tcMar>
          </w:tcPr>
          <w:p w14:paraId="4D7BD833" w14:textId="77777777" w:rsidR="00305D30" w:rsidRDefault="00690D2C">
            <w:pPr>
              <w:spacing w:before="240" w:after="0" w:line="276" w:lineRule="auto"/>
              <w:jc w:val="center"/>
            </w:pPr>
            <w:r>
              <w:t>Investment in new technologies</w:t>
            </w:r>
          </w:p>
        </w:tc>
        <w:tc>
          <w:tcPr>
            <w:tcW w:w="1680" w:type="dxa"/>
            <w:tcBorders>
              <w:top w:val="nil"/>
              <w:left w:val="nil"/>
              <w:bottom w:val="single" w:sz="6" w:space="0" w:color="000000"/>
              <w:right w:val="single" w:sz="6" w:space="0" w:color="000000"/>
            </w:tcBorders>
            <w:tcMar>
              <w:top w:w="0" w:type="dxa"/>
              <w:left w:w="100" w:type="dxa"/>
              <w:bottom w:w="0" w:type="dxa"/>
              <w:right w:w="100" w:type="dxa"/>
            </w:tcMar>
          </w:tcPr>
          <w:p w14:paraId="2321FFCF" w14:textId="77777777" w:rsidR="00305D30" w:rsidRDefault="00690D2C">
            <w:pPr>
              <w:spacing w:before="240" w:after="0" w:line="276" w:lineRule="auto"/>
              <w:jc w:val="center"/>
            </w:pPr>
            <w:r>
              <w:t>Future growth potential</w:t>
            </w:r>
          </w:p>
        </w:tc>
      </w:tr>
      <w:tr w:rsidR="00305D30" w14:paraId="6C1021D5" w14:textId="77777777" w:rsidTr="008E5B23">
        <w:trPr>
          <w:trHeight w:val="825"/>
          <w:jc w:val="center"/>
        </w:trPr>
        <w:tc>
          <w:tcPr>
            <w:tcW w:w="1455" w:type="dxa"/>
            <w:tcBorders>
              <w:top w:val="nil"/>
              <w:left w:val="single" w:sz="6" w:space="0" w:color="000000"/>
              <w:bottom w:val="single" w:sz="6" w:space="0" w:color="000000"/>
              <w:right w:val="single" w:sz="6" w:space="0" w:color="000000"/>
            </w:tcBorders>
            <w:shd w:val="clear" w:color="auto" w:fill="9BBB59"/>
            <w:tcMar>
              <w:top w:w="0" w:type="dxa"/>
              <w:left w:w="100" w:type="dxa"/>
              <w:bottom w:w="0" w:type="dxa"/>
              <w:right w:w="100" w:type="dxa"/>
            </w:tcMar>
          </w:tcPr>
          <w:p w14:paraId="6B2C80E6" w14:textId="77777777" w:rsidR="00305D30" w:rsidRDefault="00690D2C">
            <w:pPr>
              <w:spacing w:before="240" w:after="0" w:line="276" w:lineRule="auto"/>
              <w:jc w:val="center"/>
              <w:rPr>
                <w:b/>
                <w:bCs/>
              </w:rPr>
            </w:pPr>
            <w:r>
              <w:rPr>
                <w:b/>
                <w:bCs/>
              </w:rPr>
              <w:t>Corporate-Level</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2559F4FD" w14:textId="77777777" w:rsidR="00305D30" w:rsidRDefault="00690D2C">
            <w:pPr>
              <w:spacing w:before="240" w:after="0" w:line="276" w:lineRule="auto"/>
              <w:jc w:val="center"/>
            </w:pPr>
            <w:r>
              <w:t>Expansion</w:t>
            </w:r>
          </w:p>
        </w:tc>
        <w:tc>
          <w:tcPr>
            <w:tcW w:w="1755"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07184416" w14:textId="77777777" w:rsidR="00305D30" w:rsidRDefault="00690D2C">
            <w:pPr>
              <w:spacing w:before="240" w:after="0" w:line="276" w:lineRule="auto"/>
              <w:jc w:val="center"/>
            </w:pPr>
            <w:r>
              <w:t>Global markets</w:t>
            </w:r>
          </w:p>
        </w:tc>
        <w:tc>
          <w:tcPr>
            <w:tcW w:w="225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48F8BFFB" w14:textId="77777777" w:rsidR="00305D30" w:rsidRDefault="00690D2C">
            <w:pPr>
              <w:spacing w:before="240" w:after="0" w:line="276" w:lineRule="auto"/>
              <w:jc w:val="center"/>
            </w:pPr>
            <w:r>
              <w:t>Production network expansion</w:t>
            </w:r>
          </w:p>
        </w:tc>
        <w:tc>
          <w:tcPr>
            <w:tcW w:w="1680" w:type="dxa"/>
            <w:tcBorders>
              <w:top w:val="nil"/>
              <w:left w:val="nil"/>
              <w:bottom w:val="single" w:sz="6" w:space="0" w:color="000000"/>
              <w:right w:val="single" w:sz="6" w:space="0" w:color="000000"/>
            </w:tcBorders>
            <w:shd w:val="clear" w:color="auto" w:fill="D8D8D8"/>
            <w:tcMar>
              <w:top w:w="0" w:type="dxa"/>
              <w:left w:w="100" w:type="dxa"/>
              <w:bottom w:w="0" w:type="dxa"/>
              <w:right w:w="100" w:type="dxa"/>
            </w:tcMar>
          </w:tcPr>
          <w:p w14:paraId="09E9DEAC" w14:textId="77777777" w:rsidR="00305D30" w:rsidRDefault="00690D2C">
            <w:pPr>
              <w:spacing w:before="240" w:after="0" w:line="276" w:lineRule="auto"/>
              <w:jc w:val="center"/>
            </w:pPr>
            <w:r>
              <w:t>Increased market presence</w:t>
            </w:r>
          </w:p>
        </w:tc>
      </w:tr>
      <w:tr w:rsidR="00305D30" w14:paraId="038B6ECB" w14:textId="77777777" w:rsidTr="008E5B23">
        <w:trPr>
          <w:trHeight w:val="555"/>
          <w:jc w:val="center"/>
        </w:trPr>
        <w:tc>
          <w:tcPr>
            <w:tcW w:w="1455" w:type="dxa"/>
            <w:tcBorders>
              <w:top w:val="nil"/>
              <w:left w:val="single" w:sz="6" w:space="0" w:color="000000"/>
              <w:bottom w:val="single" w:sz="6" w:space="0" w:color="000000"/>
              <w:right w:val="single" w:sz="6" w:space="0" w:color="000000"/>
            </w:tcBorders>
            <w:shd w:val="clear" w:color="auto" w:fill="9BBB59"/>
            <w:tcMar>
              <w:top w:w="0" w:type="dxa"/>
              <w:left w:w="100" w:type="dxa"/>
              <w:bottom w:w="0" w:type="dxa"/>
              <w:right w:w="100" w:type="dxa"/>
            </w:tcMar>
          </w:tcPr>
          <w:p w14:paraId="41EECECE" w14:textId="77777777" w:rsidR="00305D30" w:rsidRDefault="00690D2C">
            <w:pPr>
              <w:spacing w:before="240" w:after="0" w:line="276" w:lineRule="auto"/>
              <w:jc w:val="center"/>
              <w:rPr>
                <w:b/>
                <w:bCs/>
              </w:rPr>
            </w:pPr>
            <w:r>
              <w:rPr>
                <w:b/>
                <w:bCs/>
              </w:rPr>
              <w:t>Corporate-Level</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01809A5E" w14:textId="77777777" w:rsidR="00305D30" w:rsidRDefault="00690D2C">
            <w:pPr>
              <w:spacing w:before="240" w:after="0" w:line="276" w:lineRule="auto"/>
              <w:jc w:val="center"/>
            </w:pPr>
            <w:r>
              <w:t>Market Development</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3DAEC058" w14:textId="77777777" w:rsidR="00305D30" w:rsidRDefault="00690D2C">
            <w:pPr>
              <w:spacing w:before="240" w:after="0" w:line="276" w:lineRule="auto"/>
              <w:jc w:val="center"/>
            </w:pPr>
            <w:r>
              <w:t>New segments, EV adoption</w:t>
            </w:r>
          </w:p>
        </w:tc>
        <w:tc>
          <w:tcPr>
            <w:tcW w:w="2250" w:type="dxa"/>
            <w:tcBorders>
              <w:top w:val="nil"/>
              <w:left w:val="nil"/>
              <w:bottom w:val="single" w:sz="6" w:space="0" w:color="000000"/>
              <w:right w:val="single" w:sz="6" w:space="0" w:color="000000"/>
            </w:tcBorders>
            <w:tcMar>
              <w:top w:w="0" w:type="dxa"/>
              <w:left w:w="100" w:type="dxa"/>
              <w:bottom w:w="0" w:type="dxa"/>
              <w:right w:w="100" w:type="dxa"/>
            </w:tcMar>
          </w:tcPr>
          <w:p w14:paraId="7415D2A6" w14:textId="77777777" w:rsidR="00305D30" w:rsidRDefault="00690D2C">
            <w:pPr>
              <w:spacing w:before="240" w:after="0" w:line="276" w:lineRule="auto"/>
              <w:jc w:val="center"/>
            </w:pPr>
            <w:r>
              <w:t>Regional market penetration</w:t>
            </w:r>
          </w:p>
        </w:tc>
        <w:tc>
          <w:tcPr>
            <w:tcW w:w="1680" w:type="dxa"/>
            <w:tcBorders>
              <w:top w:val="nil"/>
              <w:left w:val="nil"/>
              <w:bottom w:val="single" w:sz="6" w:space="0" w:color="000000"/>
              <w:right w:val="single" w:sz="6" w:space="0" w:color="000000"/>
            </w:tcBorders>
            <w:tcMar>
              <w:top w:w="0" w:type="dxa"/>
              <w:left w:w="100" w:type="dxa"/>
              <w:bottom w:w="0" w:type="dxa"/>
              <w:right w:w="100" w:type="dxa"/>
            </w:tcMar>
          </w:tcPr>
          <w:p w14:paraId="043F1814" w14:textId="77777777" w:rsidR="00305D30" w:rsidRDefault="00690D2C">
            <w:pPr>
              <w:spacing w:before="240" w:after="0" w:line="276" w:lineRule="auto"/>
              <w:jc w:val="center"/>
            </w:pPr>
            <w:r>
              <w:t>Broader customer base</w:t>
            </w:r>
          </w:p>
        </w:tc>
      </w:tr>
    </w:tbl>
    <w:p w14:paraId="172605B7" w14:textId="77777777" w:rsidR="00305D30" w:rsidRDefault="00690D2C">
      <w:pPr>
        <w:jc w:val="center"/>
        <w:rPr>
          <w:b/>
          <w:bCs/>
        </w:rPr>
      </w:pPr>
      <w:r>
        <w:rPr>
          <w:b/>
          <w:bCs/>
        </w:rPr>
        <w:t>Table 4: Strategic Choices and Implementation of Volkswagen</w:t>
      </w:r>
    </w:p>
    <w:p w14:paraId="28B5F827" w14:textId="77777777" w:rsidR="00305D30" w:rsidRDefault="00690D2C">
      <w:pPr>
        <w:jc w:val="center"/>
      </w:pPr>
      <w:r>
        <w:t>(Source: Self-developed)</w:t>
      </w:r>
    </w:p>
    <w:p w14:paraId="67FDAC42" w14:textId="77777777" w:rsidR="00305D30" w:rsidRDefault="00690D2C">
      <w:pPr>
        <w:pStyle w:val="Heading1"/>
      </w:pPr>
      <w:bookmarkStart w:id="32" w:name="_bf4v8hcift0s" w:colFirst="0" w:colLast="0"/>
      <w:bookmarkStart w:id="33" w:name="_Toc224930725"/>
      <w:bookmarkEnd w:id="32"/>
      <w:r>
        <w:t>6. Strategic Evaluation &amp; Recommendations</w:t>
      </w:r>
      <w:bookmarkEnd w:id="33"/>
    </w:p>
    <w:p w14:paraId="09C653BF" w14:textId="77777777" w:rsidR="00305D30" w:rsidRDefault="00690D2C">
      <w:pPr>
        <w:pStyle w:val="Heading2"/>
      </w:pPr>
      <w:bookmarkStart w:id="34" w:name="_nj9xi2774zjm" w:colFirst="0" w:colLast="0"/>
      <w:bookmarkStart w:id="35" w:name="_Toc224930726"/>
      <w:bookmarkEnd w:id="34"/>
      <w:r>
        <w:t>6.1 Strategic Evolution</w:t>
      </w:r>
      <w:bookmarkEnd w:id="35"/>
    </w:p>
    <w:p w14:paraId="18876BDB" w14:textId="77777777" w:rsidR="00305D30" w:rsidRDefault="00690D2C">
      <w:r>
        <w:t>The turning point of the strategic development of Volkswagen is when the company, which was focused on the internal combustion engine, became the provider of mobility on the concept of sustainability and technological advancement. The competitive advantage of the organisation was traditionally based on the mass, the engineering perfection, and the products created worldwide. However, the increasing environmental, regulatory and technological disruption has compelled Volkswagen to reconsider the strategic priorities of integration of electrification, digitalisation and sustainability. This shift can be specifically seen in its large-</w:t>
      </w:r>
      <w:r>
        <w:lastRenderedPageBreak/>
        <w:t>volume investment in electric vehicle (EV) and battery technology and software development, which is intended to change its long-term value promise.</w:t>
      </w:r>
    </w:p>
    <w:p w14:paraId="1E415D25" w14:textId="77777777" w:rsidR="00305D30" w:rsidRDefault="00690D2C">
      <w:r>
        <w:t>The transition to EV manufacturing has also required a change in the organisation of the global value chain of Volkswagen. The reorganisation of the relations with suppliers and resettlement of the production chains are signs of the general redesign of the automotive industry, where the companies in the sector should meet the peculiarities of the technologies and the environmental aspect (Pavlinek, 2023). At the same time, the technologies of Industry 4.0 have provided the enhancement of efficiency in the operations, enabling the advancement of automation rates and making more judgments relying on the methods in the manufacturing processes (Nagy and Lazaroiu, 2022).</w:t>
      </w:r>
    </w:p>
    <w:tbl>
      <w:tblPr>
        <w:tblStyle w:val="Table5"/>
        <w:tblW w:w="7650" w:type="dxa"/>
        <w:jc w:val="cente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975"/>
        <w:gridCol w:w="3675"/>
      </w:tblGrid>
      <w:tr w:rsidR="00305D30" w14:paraId="3399651F" w14:textId="77777777" w:rsidTr="008E5B23">
        <w:trPr>
          <w:trHeight w:val="300"/>
          <w:jc w:val="center"/>
        </w:trPr>
        <w:tc>
          <w:tcPr>
            <w:tcW w:w="3975" w:type="dxa"/>
            <w:tcBorders>
              <w:top w:val="nil"/>
              <w:left w:val="nil"/>
              <w:bottom w:val="nil"/>
              <w:right w:val="nil"/>
            </w:tcBorders>
            <w:shd w:val="clear" w:color="auto" w:fill="95B3D7"/>
            <w:tcMar>
              <w:top w:w="20" w:type="dxa"/>
              <w:left w:w="20" w:type="dxa"/>
              <w:bottom w:w="20" w:type="dxa"/>
              <w:right w:w="20" w:type="dxa"/>
            </w:tcMar>
          </w:tcPr>
          <w:p w14:paraId="4C9F0AD7" w14:textId="77777777" w:rsidR="00305D30" w:rsidRDefault="00690D2C">
            <w:pPr>
              <w:spacing w:before="240" w:after="0" w:line="276" w:lineRule="auto"/>
              <w:jc w:val="center"/>
              <w:rPr>
                <w:b/>
                <w:bCs/>
              </w:rPr>
            </w:pPr>
            <w:r>
              <w:rPr>
                <w:b/>
                <w:bCs/>
              </w:rPr>
              <w:t>Strengths</w:t>
            </w:r>
          </w:p>
        </w:tc>
        <w:tc>
          <w:tcPr>
            <w:tcW w:w="3675" w:type="dxa"/>
            <w:tcBorders>
              <w:top w:val="nil"/>
              <w:left w:val="nil"/>
              <w:bottom w:val="nil"/>
              <w:right w:val="nil"/>
            </w:tcBorders>
            <w:shd w:val="clear" w:color="auto" w:fill="E36C0A"/>
            <w:tcMar>
              <w:top w:w="20" w:type="dxa"/>
              <w:left w:w="20" w:type="dxa"/>
              <w:bottom w:w="20" w:type="dxa"/>
              <w:right w:w="20" w:type="dxa"/>
            </w:tcMar>
          </w:tcPr>
          <w:p w14:paraId="0C6FAF01" w14:textId="77777777" w:rsidR="00305D30" w:rsidRDefault="00690D2C">
            <w:pPr>
              <w:spacing w:before="240" w:after="0" w:line="276" w:lineRule="auto"/>
              <w:jc w:val="center"/>
              <w:rPr>
                <w:b/>
                <w:bCs/>
              </w:rPr>
            </w:pPr>
            <w:r>
              <w:rPr>
                <w:b/>
                <w:bCs/>
              </w:rPr>
              <w:t>Weaknesses</w:t>
            </w:r>
          </w:p>
        </w:tc>
      </w:tr>
      <w:tr w:rsidR="00305D30" w14:paraId="2AB50EEB"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1EC9331A" w14:textId="77777777" w:rsidR="00305D30" w:rsidRDefault="00690D2C">
            <w:pPr>
              <w:spacing w:before="240" w:after="0" w:line="276" w:lineRule="auto"/>
              <w:jc w:val="center"/>
            </w:pPr>
            <w:r>
              <w:t>Strong global brand and market presence</w:t>
            </w:r>
          </w:p>
        </w:tc>
        <w:tc>
          <w:tcPr>
            <w:tcW w:w="3675" w:type="dxa"/>
            <w:tcBorders>
              <w:top w:val="nil"/>
              <w:left w:val="nil"/>
              <w:bottom w:val="nil"/>
              <w:right w:val="nil"/>
            </w:tcBorders>
            <w:tcMar>
              <w:top w:w="20" w:type="dxa"/>
              <w:left w:w="20" w:type="dxa"/>
              <w:bottom w:w="20" w:type="dxa"/>
              <w:right w:w="20" w:type="dxa"/>
            </w:tcMar>
          </w:tcPr>
          <w:p w14:paraId="27BA21F2" w14:textId="77777777" w:rsidR="00305D30" w:rsidRDefault="00690D2C">
            <w:pPr>
              <w:spacing w:before="240" w:after="0" w:line="276" w:lineRule="auto"/>
              <w:jc w:val="center"/>
            </w:pPr>
            <w:r>
              <w:t>Complex global operations</w:t>
            </w:r>
          </w:p>
        </w:tc>
      </w:tr>
      <w:tr w:rsidR="00305D30" w14:paraId="38970969"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7F0A0437" w14:textId="77777777" w:rsidR="00305D30" w:rsidRDefault="00690D2C">
            <w:pPr>
              <w:spacing w:before="240" w:after="0" w:line="276" w:lineRule="auto"/>
              <w:jc w:val="center"/>
            </w:pPr>
            <w:r>
              <w:t>Investment in EVs and innovation</w:t>
            </w:r>
          </w:p>
        </w:tc>
        <w:tc>
          <w:tcPr>
            <w:tcW w:w="3675" w:type="dxa"/>
            <w:tcBorders>
              <w:top w:val="nil"/>
              <w:left w:val="nil"/>
              <w:bottom w:val="nil"/>
              <w:right w:val="nil"/>
            </w:tcBorders>
            <w:tcMar>
              <w:top w:w="20" w:type="dxa"/>
              <w:left w:w="20" w:type="dxa"/>
              <w:bottom w:w="20" w:type="dxa"/>
              <w:right w:w="20" w:type="dxa"/>
            </w:tcMar>
          </w:tcPr>
          <w:p w14:paraId="3E50B0AF" w14:textId="77777777" w:rsidR="00305D30" w:rsidRDefault="00690D2C">
            <w:pPr>
              <w:spacing w:before="240" w:after="0" w:line="276" w:lineRule="auto"/>
              <w:jc w:val="center"/>
            </w:pPr>
            <w:r>
              <w:t>Dependence on legacy systems</w:t>
            </w:r>
          </w:p>
        </w:tc>
      </w:tr>
      <w:tr w:rsidR="00305D30" w14:paraId="3C022CE4"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1550C0D6" w14:textId="77777777" w:rsidR="00305D30" w:rsidRDefault="00690D2C">
            <w:pPr>
              <w:spacing w:before="240" w:after="0" w:line="276" w:lineRule="auto"/>
              <w:jc w:val="center"/>
            </w:pPr>
            <w:r>
              <w:t>Advanced manufacturing capabilities</w:t>
            </w:r>
          </w:p>
        </w:tc>
        <w:tc>
          <w:tcPr>
            <w:tcW w:w="3675" w:type="dxa"/>
            <w:tcBorders>
              <w:top w:val="nil"/>
              <w:left w:val="nil"/>
              <w:bottom w:val="nil"/>
              <w:right w:val="nil"/>
            </w:tcBorders>
            <w:tcMar>
              <w:top w:w="20" w:type="dxa"/>
              <w:left w:w="20" w:type="dxa"/>
              <w:bottom w:w="20" w:type="dxa"/>
              <w:right w:w="20" w:type="dxa"/>
            </w:tcMar>
          </w:tcPr>
          <w:p w14:paraId="5602945A" w14:textId="77777777" w:rsidR="00305D30" w:rsidRDefault="00690D2C">
            <w:pPr>
              <w:spacing w:before="240" w:after="0" w:line="276" w:lineRule="auto"/>
              <w:jc w:val="center"/>
            </w:pPr>
            <w:r>
              <w:t>Uneven transformation across regions</w:t>
            </w:r>
          </w:p>
        </w:tc>
      </w:tr>
      <w:tr w:rsidR="00305D30" w14:paraId="19E689F5" w14:textId="77777777" w:rsidTr="008E5B23">
        <w:trPr>
          <w:trHeight w:val="300"/>
          <w:jc w:val="center"/>
        </w:trPr>
        <w:tc>
          <w:tcPr>
            <w:tcW w:w="3975" w:type="dxa"/>
            <w:tcBorders>
              <w:top w:val="nil"/>
              <w:left w:val="nil"/>
              <w:bottom w:val="nil"/>
              <w:right w:val="nil"/>
            </w:tcBorders>
            <w:shd w:val="clear" w:color="auto" w:fill="00B050"/>
            <w:tcMar>
              <w:top w:w="20" w:type="dxa"/>
              <w:left w:w="20" w:type="dxa"/>
              <w:bottom w:w="20" w:type="dxa"/>
              <w:right w:w="20" w:type="dxa"/>
            </w:tcMar>
          </w:tcPr>
          <w:p w14:paraId="3A810BC2" w14:textId="77777777" w:rsidR="00305D30" w:rsidRDefault="00690D2C">
            <w:pPr>
              <w:spacing w:before="240" w:after="0" w:line="276" w:lineRule="auto"/>
              <w:jc w:val="center"/>
              <w:rPr>
                <w:b/>
                <w:bCs/>
              </w:rPr>
            </w:pPr>
            <w:r>
              <w:rPr>
                <w:b/>
                <w:bCs/>
              </w:rPr>
              <w:t>Opportunities</w:t>
            </w:r>
          </w:p>
        </w:tc>
        <w:tc>
          <w:tcPr>
            <w:tcW w:w="3675" w:type="dxa"/>
            <w:tcBorders>
              <w:top w:val="nil"/>
              <w:left w:val="nil"/>
              <w:bottom w:val="nil"/>
              <w:right w:val="nil"/>
            </w:tcBorders>
            <w:shd w:val="clear" w:color="auto" w:fill="FF0000"/>
            <w:tcMar>
              <w:top w:w="20" w:type="dxa"/>
              <w:left w:w="20" w:type="dxa"/>
              <w:bottom w:w="20" w:type="dxa"/>
              <w:right w:w="20" w:type="dxa"/>
            </w:tcMar>
          </w:tcPr>
          <w:p w14:paraId="03ACDEA8" w14:textId="77777777" w:rsidR="00305D30" w:rsidRDefault="00690D2C">
            <w:pPr>
              <w:spacing w:before="240" w:after="0" w:line="276" w:lineRule="auto"/>
              <w:jc w:val="center"/>
              <w:rPr>
                <w:b/>
                <w:bCs/>
              </w:rPr>
            </w:pPr>
            <w:r>
              <w:rPr>
                <w:b/>
                <w:bCs/>
              </w:rPr>
              <w:t>Threats</w:t>
            </w:r>
          </w:p>
        </w:tc>
      </w:tr>
      <w:tr w:rsidR="00305D30" w14:paraId="7D9FD577"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3C4734F3" w14:textId="77777777" w:rsidR="00305D30" w:rsidRDefault="00690D2C">
            <w:pPr>
              <w:spacing w:before="240" w:after="0" w:line="276" w:lineRule="auto"/>
              <w:jc w:val="center"/>
            </w:pPr>
            <w:r>
              <w:t>EV market growth</w:t>
            </w:r>
          </w:p>
        </w:tc>
        <w:tc>
          <w:tcPr>
            <w:tcW w:w="3675" w:type="dxa"/>
            <w:tcBorders>
              <w:top w:val="nil"/>
              <w:left w:val="nil"/>
              <w:bottom w:val="nil"/>
              <w:right w:val="nil"/>
            </w:tcBorders>
            <w:tcMar>
              <w:top w:w="20" w:type="dxa"/>
              <w:left w:w="20" w:type="dxa"/>
              <w:bottom w:w="20" w:type="dxa"/>
              <w:right w:w="20" w:type="dxa"/>
            </w:tcMar>
          </w:tcPr>
          <w:p w14:paraId="12C729EB" w14:textId="77777777" w:rsidR="00305D30" w:rsidRDefault="00690D2C">
            <w:pPr>
              <w:spacing w:before="240" w:after="0" w:line="276" w:lineRule="auto"/>
              <w:jc w:val="center"/>
            </w:pPr>
            <w:r>
              <w:t>Intense global competition</w:t>
            </w:r>
          </w:p>
        </w:tc>
      </w:tr>
      <w:tr w:rsidR="00305D30" w14:paraId="17E731FF"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77CD1FCD" w14:textId="77777777" w:rsidR="00305D30" w:rsidRDefault="00690D2C">
            <w:pPr>
              <w:spacing w:before="240" w:after="0" w:line="276" w:lineRule="auto"/>
              <w:jc w:val="center"/>
            </w:pPr>
            <w:r>
              <w:t>Circular economy integration</w:t>
            </w:r>
          </w:p>
        </w:tc>
        <w:tc>
          <w:tcPr>
            <w:tcW w:w="3675" w:type="dxa"/>
            <w:tcBorders>
              <w:top w:val="nil"/>
              <w:left w:val="nil"/>
              <w:bottom w:val="nil"/>
              <w:right w:val="nil"/>
            </w:tcBorders>
            <w:tcMar>
              <w:top w:w="20" w:type="dxa"/>
              <w:left w:w="20" w:type="dxa"/>
              <w:bottom w:w="20" w:type="dxa"/>
              <w:right w:w="20" w:type="dxa"/>
            </w:tcMar>
          </w:tcPr>
          <w:p w14:paraId="1349F921" w14:textId="77777777" w:rsidR="00305D30" w:rsidRDefault="00690D2C">
            <w:pPr>
              <w:spacing w:before="240" w:after="0" w:line="276" w:lineRule="auto"/>
              <w:jc w:val="center"/>
            </w:pPr>
            <w:r>
              <w:t>Regulatory pressures</w:t>
            </w:r>
          </w:p>
        </w:tc>
      </w:tr>
      <w:tr w:rsidR="00305D30" w14:paraId="4A0D1798" w14:textId="77777777" w:rsidTr="008E5B23">
        <w:trPr>
          <w:trHeight w:val="300"/>
          <w:jc w:val="center"/>
        </w:trPr>
        <w:tc>
          <w:tcPr>
            <w:tcW w:w="3975" w:type="dxa"/>
            <w:tcBorders>
              <w:top w:val="nil"/>
              <w:left w:val="nil"/>
              <w:bottom w:val="nil"/>
              <w:right w:val="nil"/>
            </w:tcBorders>
            <w:tcMar>
              <w:top w:w="20" w:type="dxa"/>
              <w:left w:w="20" w:type="dxa"/>
              <w:bottom w:w="20" w:type="dxa"/>
              <w:right w:w="20" w:type="dxa"/>
            </w:tcMar>
          </w:tcPr>
          <w:p w14:paraId="1B75B04C" w14:textId="77777777" w:rsidR="00305D30" w:rsidRDefault="00690D2C">
            <w:pPr>
              <w:spacing w:before="240" w:after="0" w:line="276" w:lineRule="auto"/>
              <w:jc w:val="center"/>
            </w:pPr>
            <w:r>
              <w:t>Industry 4.0 and digitalisation</w:t>
            </w:r>
          </w:p>
        </w:tc>
        <w:tc>
          <w:tcPr>
            <w:tcW w:w="3675" w:type="dxa"/>
            <w:tcBorders>
              <w:top w:val="nil"/>
              <w:left w:val="nil"/>
              <w:bottom w:val="nil"/>
              <w:right w:val="nil"/>
            </w:tcBorders>
            <w:tcMar>
              <w:top w:w="20" w:type="dxa"/>
              <w:left w:w="20" w:type="dxa"/>
              <w:bottom w:w="20" w:type="dxa"/>
              <w:right w:w="20" w:type="dxa"/>
            </w:tcMar>
          </w:tcPr>
          <w:p w14:paraId="0CF910FB" w14:textId="77777777" w:rsidR="00305D30" w:rsidRDefault="00690D2C">
            <w:pPr>
              <w:spacing w:before="240" w:after="0" w:line="276" w:lineRule="auto"/>
              <w:jc w:val="center"/>
            </w:pPr>
            <w:r>
              <w:t>Supply chain disruptions</w:t>
            </w:r>
          </w:p>
        </w:tc>
      </w:tr>
    </w:tbl>
    <w:p w14:paraId="734EF4B6" w14:textId="77777777" w:rsidR="00305D30" w:rsidRDefault="00690D2C">
      <w:pPr>
        <w:jc w:val="center"/>
        <w:rPr>
          <w:b/>
          <w:bCs/>
        </w:rPr>
      </w:pPr>
      <w:r>
        <w:rPr>
          <w:b/>
          <w:bCs/>
        </w:rPr>
        <w:t>Table 5: SWOT Analysis of Volkswagen</w:t>
      </w:r>
    </w:p>
    <w:p w14:paraId="370EE9CC" w14:textId="77777777" w:rsidR="00305D30" w:rsidRDefault="00690D2C">
      <w:pPr>
        <w:jc w:val="center"/>
      </w:pPr>
      <w:r>
        <w:t>(Source: Self-developed)</w:t>
      </w:r>
    </w:p>
    <w:p w14:paraId="522BFE5E" w14:textId="77777777" w:rsidR="00305D30" w:rsidRDefault="00690D2C">
      <w:r>
        <w:t xml:space="preserve">In line with this, the strategic development of Volkswagen has been a complex and unequal one. The supply of sustainability, such as but not limited to the circular economy and zero-impact production system, remains unevenly distributed across different regions and processes of operation (Gebler et al., 2024). Also, the pace at which change is evolving is grappling with old systems and organisational inertia. The evolving business strategy of </w:t>
      </w:r>
      <w:r>
        <w:lastRenderedPageBreak/>
        <w:t>Volkswagen, however, demonstrates a promise of commitment towards aligning itself with the global trends in sustainability and competitiveness in the rapidly changing business environment.</w:t>
      </w:r>
    </w:p>
    <w:p w14:paraId="7CCA2C05" w14:textId="77777777" w:rsidR="00305D30" w:rsidRDefault="00690D2C">
      <w:pPr>
        <w:pStyle w:val="Heading2"/>
      </w:pPr>
      <w:bookmarkStart w:id="36" w:name="_fklwobke2eh7" w:colFirst="0" w:colLast="0"/>
      <w:bookmarkStart w:id="37" w:name="_Toc224930727"/>
      <w:bookmarkEnd w:id="36"/>
      <w:r>
        <w:t>6.2 Recommendations</w:t>
      </w:r>
      <w:bookmarkEnd w:id="37"/>
    </w:p>
    <w:p w14:paraId="7307ADC8" w14:textId="77777777" w:rsidR="00305D30" w:rsidRDefault="00690D2C">
      <w:r>
        <w:t>To enhance its strategic position, Volkswagen should be more specific towards the general implementation of the elements of the circular economy in its global supply chain. As much as this is being done despite the improvements made, a better coordinated approach should be provided in order to make it coherent and effective. According to the studies, the effectiveness of stakeholder engagement on the systems of circle enhances the realisation of the performance of sustainability and efficiency of operations (Fobbe and Hilletofth, 2023). Due to the proximity of cooperation with suppliers and partners, Volkswagen will manage to optimise the resource utilisation, reduce the amount of waste and enhance the resilience of the supply chain.</w:t>
      </w:r>
    </w:p>
    <w:p w14:paraId="08A2B624" w14:textId="77777777" w:rsidR="00305D30" w:rsidRDefault="00690D2C">
      <w:r>
        <w:t>Second, Volkswagen must accelerate the process of the digital transformation by disseminating Industry 4.0 technologies across all its production facilities. In spite of the improvements, disparities in the implementation limit the opportunities of the organisation to exploit data-driven capabilities to the maximum. The production can be simplified and costs reduced with higher technologies such as artificial intelligence and predictive analytics, as well as contribute to innovation, to become more competitive (Nagy and Lazaroiu, 2022).</w:t>
      </w:r>
    </w:p>
    <w:p w14:paraId="65322684" w14:textId="77777777" w:rsidR="00305D30" w:rsidRDefault="00690D2C">
      <w:r>
        <w:t>Thirdly, the organisation should be more tactical in conforming to the regulations of sustainability and financial frameworks, namely, the EU sustainable finance taxonomy. Compliance can not only be achieved by getting corporate strategy in line with the regulatory expectations, but it can also be more likely to access green finance and can also be more effective in attracting investors (Schutze and Stede, 2024).</w:t>
      </w:r>
    </w:p>
    <w:p w14:paraId="4FFC92EF" w14:textId="77777777" w:rsidR="00305D30" w:rsidRDefault="00690D2C">
      <w:r>
        <w:t>Finally, Volkswagen should streamline its business operations in the global arena to increase strategic agility and reduce complexity. Improved response to strategic actions, fewer systems that require implementation and alternative ways to address issues will be easier due to the simplification of organisational structures and reduced dependency on old systems. All these suggestions would leave a realistic and theory-founded roadmap of changes that can help Volkswagen to enhance its performance in long-term competitiveness and sustainability.</w:t>
      </w:r>
    </w:p>
    <w:p w14:paraId="279DB3C4" w14:textId="77777777" w:rsidR="00305D30" w:rsidRDefault="00690D2C">
      <w:pPr>
        <w:pStyle w:val="Heading1"/>
      </w:pPr>
      <w:bookmarkStart w:id="38" w:name="_6a0hhgov0wlq" w:colFirst="0" w:colLast="0"/>
      <w:bookmarkStart w:id="39" w:name="_Toc224930728"/>
      <w:bookmarkEnd w:id="38"/>
      <w:r>
        <w:lastRenderedPageBreak/>
        <w:t>SECTION 2: Reflective Report using Gibbs’ Reflective Cycle</w:t>
      </w:r>
      <w:bookmarkEnd w:id="39"/>
    </w:p>
    <w:p w14:paraId="680630FB" w14:textId="77777777" w:rsidR="00305D30" w:rsidRDefault="00690D2C">
      <w:r>
        <w:t>The critical analysis under the Reflective Cycle in this reflective report was used in the preparation of the strategic management report on Volkswagen. The model offers a paradigm and system approach that enables a thorough evaluation of the learning experiences in six steps, and they include description, feelings, evaluation, analysis, conclusion and action plan. All steps contribute to a deeper look into oneself as they effectively allow seeing the strong and weak points and seeing what can be improved. Use of this model makes it easy to develop critical thinking and self-awareness, which is much needed at the post-graduate level of study. Moreover, it enables the integration of the theoretical and the practical experience and leads to the improvement of the entire learning experience. It is thanks to this in-depth process that the reflection is not merely a simple description, but helps to think more wisely and autonomously and draw more informed conclusions and future improvements. It aligns with the belief that Gibbs model of reflection can be used to enhance reflective writing and ensure that academic development is significant (Aneeis Hashim et al., 2023).</w:t>
      </w:r>
    </w:p>
    <w:p w14:paraId="5091F1A9" w14:textId="77777777" w:rsidR="00305D30" w:rsidRDefault="00690D2C">
      <w:pPr>
        <w:rPr>
          <w:b/>
          <w:bCs/>
        </w:rPr>
      </w:pPr>
      <w:r>
        <w:rPr>
          <w:b/>
          <w:bCs/>
        </w:rPr>
        <w:t>Description</w:t>
      </w:r>
    </w:p>
    <w:p w14:paraId="09F0D07E" w14:textId="77777777" w:rsidR="00305D30" w:rsidRDefault="00690D2C">
      <w:r>
        <w:t>The assignment of completing this report involved the decision of Volkswagen as the focus organisation, and further strategic research with the set of frameworks that comprised PESTEL, VRIO, Balanced Scorecard, and SWOT. The process of conducting research required a huge amount of academic literature, industry reports, and corporate publications to compose a thorough insight into the internal and external environment of the organisation. The analysis was developed to follow the specification of analysis in accordance with the logical flow of the organisational setting, to strategic analysis and recommendations. Reflective practice has also contributed to the report writing because it has allowed us to continuously review the approach taken in the research and its analytical rigour (Lee and Hales, 2022).</w:t>
      </w:r>
    </w:p>
    <w:p w14:paraId="767B1B0E" w14:textId="77777777" w:rsidR="00305D30" w:rsidRDefault="00690D2C">
      <w:pPr>
        <w:rPr>
          <w:b/>
          <w:bCs/>
        </w:rPr>
      </w:pPr>
      <w:r>
        <w:rPr>
          <w:b/>
          <w:bCs/>
        </w:rPr>
        <w:t>Feelings</w:t>
      </w:r>
    </w:p>
    <w:p w14:paraId="6BC9EB82" w14:textId="77777777" w:rsidR="00305D30" w:rsidRDefault="00690D2C">
      <w:r>
        <w:t xml:space="preserve">The task appeared as a complex and sophisticated process initially because the selection of strategic models and the necessity of their critical analysis were post-graduate. The challenge on the level of analysis that was required and the means of integrating theory and practice were dubious. The extent of confidence, as the research, however, increased particularly </w:t>
      </w:r>
      <w:r>
        <w:lastRenderedPageBreak/>
        <w:t>when it came to applying a strategic framework to real organisational circumstances. The intellectual progression in the shape of learning the academic sources and achieving the information assisted in experiencing the intellectual progress. This has been enabled through the reflective practice that encouraged self-awareness and critical thinking throughout the course of the assignment (Sherwood et al., 2025).</w:t>
      </w:r>
    </w:p>
    <w:p w14:paraId="3C5CCB25" w14:textId="77777777" w:rsidR="00305D30" w:rsidRDefault="00690D2C">
      <w:pPr>
        <w:rPr>
          <w:b/>
          <w:bCs/>
        </w:rPr>
      </w:pPr>
      <w:r>
        <w:rPr>
          <w:b/>
          <w:bCs/>
        </w:rPr>
        <w:t>Evaluation</w:t>
      </w:r>
    </w:p>
    <w:p w14:paraId="4EEA1A17" w14:textId="77777777" w:rsidR="00305D30" w:rsidRDefault="00690D2C">
      <w:r>
        <w:t>The overall process was effective in coming up with a well-detailed and coordinated analysis of strategy. One of the best strengths was the ability to integrate different theoretical perspectives to provide a full picture of the strategy of Volkswagen. This has enhanced the quality and reliability of the analysis since trustworthy academic sources have been employed. However, there might be certain negative aspects. The automotive industry is multifaceted, and the scope of the operations with which Volkswagen operates made it hard to go down the rabbit hole and cover the area which had to be covered. In addition, the process of prioritisation of the content had to be extremely attentive whenever a strong need arose to regulate the quantity of words to be employed during critical discussion.</w:t>
      </w:r>
    </w:p>
    <w:p w14:paraId="05F7C16C" w14:textId="77777777" w:rsidR="00305D30" w:rsidRDefault="00690D2C">
      <w:pPr>
        <w:rPr>
          <w:b/>
          <w:bCs/>
        </w:rPr>
      </w:pPr>
      <w:r>
        <w:rPr>
          <w:b/>
          <w:bCs/>
        </w:rPr>
        <w:t>Analysis</w:t>
      </w:r>
    </w:p>
    <w:p w14:paraId="0CC3F047" w14:textId="77777777" w:rsidR="00305D30" w:rsidRDefault="00690D2C">
      <w:r>
        <w:t>There is the reflective process, which talks about the importance of having a methodology in research and analysis. The application of the model of Gibbs gave the opportunity to think logically because it encouraged the process of constantly evaluating the process and the conclusions. Analytical skills were gained during the study of the academic literature, in particular, the skill to relate theoretical materials and practical implementation. The other significant lesson of the reflection was that self-guided learning was essential in advanced learning since independent research and critical analysis were essential in attaining a high degree of task attainment (Dutta et al., 2023). Additionally, the abilities associated with the synthesis of different sources and logic of the arguments attest to the development of the higher-order cognitive skills which are required at the postgraduate level.</w:t>
      </w:r>
    </w:p>
    <w:p w14:paraId="53E5956E" w14:textId="77777777" w:rsidR="00305D30" w:rsidRDefault="00690D2C">
      <w:pPr>
        <w:rPr>
          <w:b/>
          <w:bCs/>
        </w:rPr>
      </w:pPr>
      <w:r>
        <w:rPr>
          <w:b/>
          <w:bCs/>
        </w:rPr>
        <w:t>Conclusion</w:t>
      </w:r>
    </w:p>
    <w:p w14:paraId="29A27B4C" w14:textId="77777777" w:rsidR="00305D30" w:rsidRDefault="00690D2C">
      <w:r>
        <w:t xml:space="preserve">In conclusion, it can be noted that the practice of writing this report has made the process of strategic analysis and critical thinking much easier. I applied the Reflective Cycle that Gibbs </w:t>
      </w:r>
      <w:r>
        <w:lastRenderedPageBreak/>
        <w:t>developed, which served as a systematic model to discuss the positive and negative characteristics. Even though the report succeeded in meeting the assessment requirements and demonstrating the usage of strategic models, the process of further enhancing the attainment of the in-depth analysis and argumentation that should be shorter is possible. The experience has established the quality of reflection practice in enhancing performance and career development in academics.</w:t>
      </w:r>
    </w:p>
    <w:p w14:paraId="5960E062" w14:textId="77777777" w:rsidR="00305D30" w:rsidRDefault="00690D2C">
      <w:pPr>
        <w:rPr>
          <w:b/>
          <w:bCs/>
        </w:rPr>
      </w:pPr>
      <w:r>
        <w:rPr>
          <w:b/>
          <w:bCs/>
        </w:rPr>
        <w:t>Action Plan</w:t>
      </w:r>
    </w:p>
    <w:p w14:paraId="748CFE45" w14:textId="77777777" w:rsidR="00305D30" w:rsidRDefault="00690D2C">
      <w:r>
        <w:t>Improvements will be made to some extent regarding future assignments. First of all, it will place more emphasis on the initial planning and time management to allocate more time to the utilisation of the critical analysis and refinement. Second, an attempt will be made to raise interest in academic literature, particularly through the incorporation of journal articles that are more recent and impactful. Third, the analytical skills will also be expounded, since the focus will be on critical analysis rather than descriptive writing. Also, reflective practice will be used as a continuity improvement tool, which facilitates self-directed learning and academic development. Having been introduced to such strategies, the work of the future will become more explicit, profound, and critical, and more similar to the demands of a postgraduate study.</w:t>
      </w:r>
    </w:p>
    <w:p w14:paraId="600381C5" w14:textId="77777777" w:rsidR="00305D30" w:rsidRDefault="00305D30"/>
    <w:p w14:paraId="01964134" w14:textId="77777777" w:rsidR="00305D30" w:rsidRDefault="00305D30"/>
    <w:p w14:paraId="7C502B2C" w14:textId="77777777" w:rsidR="00305D30" w:rsidRDefault="00305D30"/>
    <w:p w14:paraId="2A953B89" w14:textId="77777777" w:rsidR="00305D30" w:rsidRDefault="00305D30"/>
    <w:p w14:paraId="3A19C239" w14:textId="77777777" w:rsidR="00305D30" w:rsidRDefault="00305D30"/>
    <w:p w14:paraId="093CDB2E" w14:textId="77777777" w:rsidR="00305D30" w:rsidRDefault="00305D30"/>
    <w:p w14:paraId="7EB11859" w14:textId="77777777" w:rsidR="00305D30" w:rsidRDefault="00305D30"/>
    <w:p w14:paraId="6B0007B7" w14:textId="77777777" w:rsidR="00305D30" w:rsidRDefault="00305D30">
      <w:bookmarkStart w:id="40" w:name="_1zmc60y3hto" w:colFirst="0" w:colLast="0"/>
      <w:bookmarkEnd w:id="40"/>
    </w:p>
    <w:p w14:paraId="7B34DB35" w14:textId="77777777" w:rsidR="00305D30" w:rsidRDefault="00690D2C">
      <w:r>
        <w:br w:type="page"/>
      </w:r>
    </w:p>
    <w:p w14:paraId="35CA7777" w14:textId="77777777" w:rsidR="00305D30" w:rsidRDefault="00690D2C">
      <w:pPr>
        <w:pStyle w:val="Heading1"/>
      </w:pPr>
      <w:bookmarkStart w:id="41" w:name="_Toc224930729"/>
      <w:r>
        <w:lastRenderedPageBreak/>
        <w:t>Reference List</w:t>
      </w:r>
      <w:bookmarkEnd w:id="41"/>
      <w:r>
        <w:t xml:space="preserve"> </w:t>
      </w:r>
    </w:p>
    <w:p w14:paraId="1E28F09E" w14:textId="77777777" w:rsidR="009A104A" w:rsidRDefault="009A104A">
      <w:r>
        <w:t xml:space="preserve">Aneeis Hashim, S.N., Yaacob, A., Suryani, I., Mohd Asraf, R., Bahador, Z. and Supian, N., (2023). Exploring the Use of Gibbs’ Reflective Model in enhancing in-Service ESL teachers’ reflective writing. </w:t>
      </w:r>
      <w:r>
        <w:rPr>
          <w:i/>
          <w:iCs/>
        </w:rPr>
        <w:t>Arab World English Journal</w:t>
      </w:r>
      <w:r>
        <w:t xml:space="preserve"> (AWEJ) Volume, 14. </w:t>
      </w:r>
      <w:hyperlink r:id="rId9">
        <w:r>
          <w:rPr>
            <w:color w:val="1155CC"/>
            <w:u w:val="single"/>
          </w:rPr>
          <w:t>https://dx.doi.org/10.2139/ssrn.4497558</w:t>
        </w:r>
      </w:hyperlink>
      <w:r>
        <w:t xml:space="preserve"> </w:t>
      </w:r>
    </w:p>
    <w:p w14:paraId="23A3A09C" w14:textId="77777777" w:rsidR="009A104A" w:rsidRDefault="009A104A">
      <w:pPr>
        <w:spacing w:before="240" w:after="240"/>
      </w:pPr>
      <w:r>
        <w:t>Carreira, T.A.S., (2023). Volkswagen Group Services-Consulting: Communication Barrier in the Collaboration Between Portugal, Spain and Germany (Master's thesis, Universidade NOVA de Lisboa (Portugal)).</w:t>
      </w:r>
      <w:hyperlink r:id="rId10">
        <w:r>
          <w:rPr>
            <w:color w:val="1155CC"/>
            <w:u w:val="single"/>
          </w:rPr>
          <w:t>https://run.unl.pt/bitstream/10362/172219/1/2022_2023_Spring_49432.pdf</w:t>
        </w:r>
      </w:hyperlink>
      <w:r>
        <w:t xml:space="preserve"> </w:t>
      </w:r>
    </w:p>
    <w:p w14:paraId="575557E3" w14:textId="77777777" w:rsidR="009A104A" w:rsidRDefault="009A104A">
      <w:pPr>
        <w:spacing w:before="240" w:after="240"/>
      </w:pPr>
      <w:r>
        <w:t xml:space="preserve">Doni, F., Corvino, A. and Bianchi Martini, S., (2022). Corporate governance model, stakeholder engagement and social issues evidence from European oil and gas industry. Social Responsibility Journal, 18(3), pp.636-662. </w:t>
      </w:r>
      <w:hyperlink r:id="rId11">
        <w:r>
          <w:rPr>
            <w:color w:val="1155CC"/>
            <w:u w:val="single"/>
          </w:rPr>
          <w:t>https://doi.org/10.1108/SRJ-08-2020-0336</w:t>
        </w:r>
      </w:hyperlink>
      <w:r>
        <w:t xml:space="preserve"> </w:t>
      </w:r>
    </w:p>
    <w:p w14:paraId="001989CB" w14:textId="77777777" w:rsidR="009A104A" w:rsidRDefault="009A104A">
      <w:r>
        <w:t xml:space="preserve">Dutta, S., He, M. and Tsang, D.C., (2023). Reflection and peer assessment to promote self-directed learning in higher education. </w:t>
      </w:r>
      <w:r>
        <w:rPr>
          <w:i/>
          <w:iCs/>
        </w:rPr>
        <w:t>Journal of Educational Research and Reviews</w:t>
      </w:r>
      <w:r>
        <w:t xml:space="preserve">, 11(3), pp.35-46. </w:t>
      </w:r>
      <w:hyperlink r:id="rId12">
        <w:r>
          <w:rPr>
            <w:color w:val="1155CC"/>
            <w:u w:val="single"/>
          </w:rPr>
          <w:t>https://doi.org/10.33495/jerr_v11i3.23.111</w:t>
        </w:r>
      </w:hyperlink>
      <w:r>
        <w:t xml:space="preserve"> </w:t>
      </w:r>
    </w:p>
    <w:p w14:paraId="6EC7DA8E" w14:textId="77777777" w:rsidR="009A104A" w:rsidRDefault="009A104A">
      <w:pPr>
        <w:spacing w:before="240" w:after="240"/>
      </w:pPr>
      <w:r>
        <w:t>Eaton, L., Bridgman, T. and Cummings, S., (2024). Advancing the democratization of work: A new intellectual history of transformational leadership theory. Leadership, 20(3), pp.125-143.</w:t>
      </w:r>
      <w:hyperlink r:id="rId13">
        <w:r>
          <w:rPr>
            <w:color w:val="1155CC"/>
            <w:u w:val="single"/>
          </w:rPr>
          <w:t>https://doi.org/10.1177/17427150241232705</w:t>
        </w:r>
      </w:hyperlink>
      <w:r>
        <w:t xml:space="preserve"> </w:t>
      </w:r>
    </w:p>
    <w:p w14:paraId="04186111" w14:textId="77777777" w:rsidR="009A104A" w:rsidRDefault="009A104A">
      <w:r>
        <w:t xml:space="preserve">Fobbe, L. and Hilletofth, P., (2023). Moving toward a circular economy in manufacturing organizations: the role of circular stakeholder engagement practices. </w:t>
      </w:r>
      <w:r>
        <w:rPr>
          <w:i/>
          <w:iCs/>
        </w:rPr>
        <w:t>The International Journal of Logistics Management,</w:t>
      </w:r>
      <w:r>
        <w:t xml:space="preserve"> 34(3), pp.674-698. </w:t>
      </w:r>
      <w:hyperlink r:id="rId14">
        <w:r>
          <w:rPr>
            <w:color w:val="1155CC"/>
            <w:u w:val="single"/>
          </w:rPr>
          <w:t>https://doi.org/10.1108/IJLM-03-2022-0143</w:t>
        </w:r>
      </w:hyperlink>
      <w:r>
        <w:t xml:space="preserve"> </w:t>
      </w:r>
    </w:p>
    <w:p w14:paraId="36508472" w14:textId="77777777" w:rsidR="009A104A" w:rsidRDefault="009A104A">
      <w:r>
        <w:t xml:space="preserve">Gagné, V., Berthelot, S. and Coulmont, M., (2022). Stakeholder engagement practices and impression management. </w:t>
      </w:r>
      <w:r>
        <w:rPr>
          <w:i/>
          <w:iCs/>
        </w:rPr>
        <w:t>Journal of Global Responsibility,</w:t>
      </w:r>
      <w:r>
        <w:t xml:space="preserve"> 13(2), pp.217-241. </w:t>
      </w:r>
      <w:hyperlink r:id="rId15">
        <w:r>
          <w:rPr>
            <w:color w:val="1155CC"/>
            <w:u w:val="single"/>
          </w:rPr>
          <w:t>https://doi.org/10.1108/JGR-03-2021-0036</w:t>
        </w:r>
      </w:hyperlink>
      <w:r>
        <w:t xml:space="preserve"> </w:t>
      </w:r>
    </w:p>
    <w:p w14:paraId="49F5D6E4" w14:textId="77777777" w:rsidR="009A104A" w:rsidRDefault="009A104A">
      <w:r>
        <w:t xml:space="preserve">Gebler, M., Warsen, J., Meininghaus, R., Baudis, M., Cerdas, F. and Herrmann, C., (2024). Implementing zero impact factories in Volkswagen’s global automotive manufacturing </w:t>
      </w:r>
      <w:r>
        <w:lastRenderedPageBreak/>
        <w:t xml:space="preserve">system: a discussion of opportunities and challenges from integrating current science into strategic management. </w:t>
      </w:r>
      <w:r>
        <w:rPr>
          <w:i/>
          <w:iCs/>
        </w:rPr>
        <w:t>Sustainability</w:t>
      </w:r>
      <w:r>
        <w:t xml:space="preserve">, 16(7), p.3011. </w:t>
      </w:r>
      <w:hyperlink r:id="rId16">
        <w:r>
          <w:rPr>
            <w:color w:val="1155CC"/>
            <w:u w:val="single"/>
          </w:rPr>
          <w:t>https://doi.org/10.3390/su16073011</w:t>
        </w:r>
      </w:hyperlink>
      <w:r>
        <w:t xml:space="preserve"> </w:t>
      </w:r>
    </w:p>
    <w:p w14:paraId="7741BB9F" w14:textId="77777777" w:rsidR="009A104A" w:rsidRDefault="009A104A">
      <w:pPr>
        <w:spacing w:before="240" w:after="160"/>
      </w:pPr>
      <w:r>
        <w:t xml:space="preserve">Jong, W. and Vivian (2022). Clean diesel and dirty scandal: The echo of Volkswagen’s dieselgate in an intra-industry setting. </w:t>
      </w:r>
      <w:r>
        <w:rPr>
          <w:i/>
          <w:iCs/>
        </w:rPr>
        <w:t>Public Relations Review</w:t>
      </w:r>
      <w:r>
        <w:t>, [online] 48(1), pp.102146–102146. doi:</w:t>
      </w:r>
      <w:hyperlink r:id="rId17">
        <w:r>
          <w:rPr>
            <w:color w:val="0563C1"/>
            <w:u w:val="single"/>
          </w:rPr>
          <w:t>https://doi.org/10.1016/j.pubrev.2022.102146</w:t>
        </w:r>
      </w:hyperlink>
      <w:r>
        <w:t>. </w:t>
      </w:r>
    </w:p>
    <w:p w14:paraId="2FC7B7F3" w14:textId="77777777" w:rsidR="009A104A" w:rsidRDefault="009A104A">
      <w:pPr>
        <w:spacing w:before="240" w:after="160"/>
      </w:pPr>
      <w:r>
        <w:t xml:space="preserve">Kell, G. (2022). </w:t>
      </w:r>
      <w:r>
        <w:rPr>
          <w:i/>
          <w:iCs/>
        </w:rPr>
        <w:t>From Emissions Cheater To Climate Leader: VW’s Journey From Dieselgate To Embracing E-Mobility</w:t>
      </w:r>
      <w:r>
        <w:t xml:space="preserve">. [online] Forbes. Available at: </w:t>
      </w:r>
      <w:hyperlink r:id="rId18">
        <w:r>
          <w:rPr>
            <w:color w:val="0563C1"/>
            <w:u w:val="single"/>
          </w:rPr>
          <w:t>https://www.forbes.com/sites/georgkell/2022/12/05/from-emissions-cheater-to-climate-leader-vws-journey-from-dieselgate-to-embracing-e-mobility/</w:t>
        </w:r>
      </w:hyperlink>
    </w:p>
    <w:p w14:paraId="1BE8C26A" w14:textId="77777777" w:rsidR="009A104A" w:rsidRDefault="009A104A">
      <w:pPr>
        <w:spacing w:before="240" w:after="240"/>
      </w:pPr>
      <w:r>
        <w:t xml:space="preserve">Ladkin, D. and Patrick, C.B., (2022). Whiteness in leadership theorizing: A critical analysis of race in Bass’ transformational leadership theory. Leadership, 18(2), pp.205-223. </w:t>
      </w:r>
      <w:hyperlink r:id="rId19">
        <w:r>
          <w:rPr>
            <w:color w:val="1155CC"/>
            <w:u w:val="single"/>
          </w:rPr>
          <w:t>https://doi.org/10.1007/978-3-031-21824-8_2</w:t>
        </w:r>
      </w:hyperlink>
      <w:r>
        <w:t xml:space="preserve"> </w:t>
      </w:r>
    </w:p>
    <w:p w14:paraId="4B772DE1" w14:textId="77777777" w:rsidR="009A104A" w:rsidRDefault="009A104A">
      <w:r>
        <w:t xml:space="preserve">Lee, K.H. and Hales, R., (2022). Reflections and reflective practice to advance responsible management education for sustainability: the case of an Australian MBA programme. </w:t>
      </w:r>
      <w:r>
        <w:rPr>
          <w:i/>
          <w:iCs/>
        </w:rPr>
        <w:t>International Journal of Sustainability in Higher Education,</w:t>
      </w:r>
      <w:r>
        <w:t xml:space="preserve"> 23(5), pp.1158-1172. </w:t>
      </w:r>
      <w:hyperlink r:id="rId20">
        <w:r>
          <w:rPr>
            <w:color w:val="1155CC"/>
            <w:u w:val="single"/>
          </w:rPr>
          <w:t>https://doi.org/10.1108/IJSHE-04-2021-0135</w:t>
        </w:r>
      </w:hyperlink>
      <w:r>
        <w:t xml:space="preserve"> </w:t>
      </w:r>
    </w:p>
    <w:p w14:paraId="3627F49E" w14:textId="77777777" w:rsidR="009A104A" w:rsidRDefault="009A104A">
      <w:r>
        <w:t xml:space="preserve">Li, W., Bhutto, M.Y., Waris, I. and Hu, T., (2023). The nexus between environmental corporate social responsibility, green intellectual capital and green innovation towards business sustainability: an empirical analysis of Chinese automobile manufacturing firms. </w:t>
      </w:r>
      <w:r>
        <w:rPr>
          <w:i/>
          <w:iCs/>
        </w:rPr>
        <w:t>International Journal of Environmental Research and Public Health</w:t>
      </w:r>
      <w:r>
        <w:t xml:space="preserve">, 20(3), p.1851. </w:t>
      </w:r>
      <w:hyperlink r:id="rId21">
        <w:r>
          <w:rPr>
            <w:color w:val="1155CC"/>
            <w:u w:val="single"/>
          </w:rPr>
          <w:t>https://doi.org/10.3390/ijerph20031851</w:t>
        </w:r>
      </w:hyperlink>
      <w:r>
        <w:t xml:space="preserve"> </w:t>
      </w:r>
    </w:p>
    <w:p w14:paraId="35E0301C" w14:textId="77777777" w:rsidR="009A104A" w:rsidRDefault="009A104A">
      <w:r>
        <w:t xml:space="preserve">Lukin, E., Krajnović, A. and Bosna, J., (2022). Sustainability strategies and achieving SDGs: A comparative analysis of leading companies in the automotive industry. </w:t>
      </w:r>
      <w:r>
        <w:rPr>
          <w:i/>
          <w:iCs/>
        </w:rPr>
        <w:t>Sustainability</w:t>
      </w:r>
      <w:r>
        <w:t xml:space="preserve">, 14(7), p.4000. </w:t>
      </w:r>
      <w:hyperlink r:id="rId22">
        <w:r>
          <w:rPr>
            <w:color w:val="1155CC"/>
            <w:u w:val="single"/>
          </w:rPr>
          <w:t>https://doi.org/10.3390/su14074000</w:t>
        </w:r>
      </w:hyperlink>
      <w:r>
        <w:t xml:space="preserve"> </w:t>
      </w:r>
    </w:p>
    <w:p w14:paraId="74A26C6C" w14:textId="77777777" w:rsidR="009A104A" w:rsidRDefault="009A104A">
      <w:r>
        <w:t xml:space="preserve">Nagy, M. and Lăzăroiu, G., (2022). Computer vision algorithms, remote sensing data fusion techniques, and mapping and navigation tools in the Industry 4.0-based Slovak automotive sector. </w:t>
      </w:r>
      <w:r>
        <w:rPr>
          <w:i/>
          <w:iCs/>
        </w:rPr>
        <w:t>Mathematics</w:t>
      </w:r>
      <w:r>
        <w:t xml:space="preserve">, 10(19), p.3543. </w:t>
      </w:r>
      <w:hyperlink r:id="rId23">
        <w:r>
          <w:rPr>
            <w:color w:val="1155CC"/>
            <w:u w:val="single"/>
          </w:rPr>
          <w:t>https://doi.org/10.3390/math10193543</w:t>
        </w:r>
      </w:hyperlink>
      <w:r>
        <w:t xml:space="preserve"> </w:t>
      </w:r>
    </w:p>
    <w:p w14:paraId="16266BAA" w14:textId="77777777" w:rsidR="009A104A" w:rsidRDefault="009A104A">
      <w:r>
        <w:lastRenderedPageBreak/>
        <w:t xml:space="preserve">Pavlínek, P., (2022). Relative positions of countries in the core-periphery structure of the European automotive industry. </w:t>
      </w:r>
      <w:r>
        <w:rPr>
          <w:i/>
          <w:iCs/>
        </w:rPr>
        <w:t>European Urban and Regional Studies,</w:t>
      </w:r>
      <w:r>
        <w:t xml:space="preserve"> 29(1), pp.59-84. </w:t>
      </w:r>
      <w:hyperlink r:id="rId24">
        <w:r>
          <w:rPr>
            <w:color w:val="1155CC"/>
            <w:u w:val="single"/>
          </w:rPr>
          <w:t>https://doi.org/10.1177/09697764211021882</w:t>
        </w:r>
      </w:hyperlink>
      <w:r>
        <w:t xml:space="preserve"> </w:t>
      </w:r>
    </w:p>
    <w:p w14:paraId="5AFD191F" w14:textId="77777777" w:rsidR="009A104A" w:rsidRDefault="009A104A">
      <w:r>
        <w:t xml:space="preserve">Pavlínek, P., (2023). Transition of the automotive industry towards electric vehicle production in the east European integrated periphery. </w:t>
      </w:r>
      <w:r>
        <w:rPr>
          <w:i/>
          <w:iCs/>
        </w:rPr>
        <w:t>Empirica</w:t>
      </w:r>
      <w:r>
        <w:t xml:space="preserve">, 50(1), pp.35-73. </w:t>
      </w:r>
      <w:hyperlink r:id="rId25">
        <w:r>
          <w:rPr>
            <w:color w:val="1155CC"/>
            <w:u w:val="single"/>
          </w:rPr>
          <w:t>https://doi.org/10.1007/s10663-022-09554-9</w:t>
        </w:r>
      </w:hyperlink>
      <w:r>
        <w:t xml:space="preserve"> </w:t>
      </w:r>
    </w:p>
    <w:p w14:paraId="3AB9953A" w14:textId="77777777" w:rsidR="009A104A" w:rsidRDefault="009A104A">
      <w:r>
        <w:t xml:space="preserve">Rodríguez-González, R.M., Maldonado-Guzmán, G., Madrid-Guijarro, A. and Garza-Reyes, J.A., (2022). Does circular economy affect financial performance? The mediating role of sustainable supply chain management in the automotive industry. </w:t>
      </w:r>
      <w:r>
        <w:rPr>
          <w:i/>
          <w:iCs/>
        </w:rPr>
        <w:t>Journal of Cleaner Production,</w:t>
      </w:r>
      <w:r>
        <w:t xml:space="preserve"> 379, p.134670. </w:t>
      </w:r>
      <w:hyperlink r:id="rId26">
        <w:r>
          <w:rPr>
            <w:color w:val="1155CC"/>
            <w:u w:val="single"/>
          </w:rPr>
          <w:t>https://doi.org/10.1016/j.jclepro.2022.134670</w:t>
        </w:r>
      </w:hyperlink>
      <w:r>
        <w:t xml:space="preserve"> </w:t>
      </w:r>
    </w:p>
    <w:p w14:paraId="7C9E992D" w14:textId="77777777" w:rsidR="009A104A" w:rsidRDefault="009A104A">
      <w:r>
        <w:t xml:space="preserve">Sánchez-Iglesias, N., García-Madariaga, J. and Jerez, M., (2024). The impact of financial performance and corporate reputation on customer purchases: The role of stakeholders and brand value in the automotive sector. </w:t>
      </w:r>
      <w:r>
        <w:rPr>
          <w:i/>
          <w:iCs/>
        </w:rPr>
        <w:t>Marketing Intelligence &amp; Planning,</w:t>
      </w:r>
      <w:r>
        <w:t xml:space="preserve"> 42(1), pp.23-39. </w:t>
      </w:r>
      <w:hyperlink r:id="rId27">
        <w:r>
          <w:rPr>
            <w:color w:val="1155CC"/>
            <w:u w:val="single"/>
          </w:rPr>
          <w:t>https://doi.org/10.1108/MIP-12-2022-0548</w:t>
        </w:r>
      </w:hyperlink>
      <w:r>
        <w:t xml:space="preserve"> </w:t>
      </w:r>
    </w:p>
    <w:p w14:paraId="6B673BA5" w14:textId="77777777" w:rsidR="009A104A" w:rsidRDefault="009A104A">
      <w:r>
        <w:t xml:space="preserve">Schütze, F. and Stede, J., (2024). The EU sustainable finance taxonomy and its contribution to climate neutrality. </w:t>
      </w:r>
      <w:r>
        <w:rPr>
          <w:i/>
          <w:iCs/>
        </w:rPr>
        <w:t>Journal of Sustainable Finance &amp; Investment,</w:t>
      </w:r>
      <w:r>
        <w:t xml:space="preserve"> 14(1), pp.128-160. </w:t>
      </w:r>
      <w:hyperlink r:id="rId28">
        <w:r>
          <w:rPr>
            <w:color w:val="1155CC"/>
            <w:u w:val="single"/>
          </w:rPr>
          <w:t>https://doi.org/10.1080/20430795.2021.2006129</w:t>
        </w:r>
      </w:hyperlink>
      <w:r>
        <w:t xml:space="preserve"> </w:t>
      </w:r>
    </w:p>
    <w:p w14:paraId="72682326" w14:textId="77777777" w:rsidR="009A104A" w:rsidRDefault="009A104A">
      <w:r>
        <w:t xml:space="preserve">Sherwood, G., Cherian, U.K., Horton-Deutsch, S., Kitzmiller, R. and Smith-Miller, C., (2025). Reflective practices: meaningful recognition for healthy work environments. </w:t>
      </w:r>
      <w:r>
        <w:rPr>
          <w:i/>
          <w:iCs/>
        </w:rPr>
        <w:t>Nursing Management</w:t>
      </w:r>
      <w:r>
        <w:t xml:space="preserve">, 32(6). </w:t>
      </w:r>
      <w:hyperlink r:id="rId29">
        <w:r>
          <w:rPr>
            <w:color w:val="1155CC"/>
            <w:u w:val="single"/>
          </w:rPr>
          <w:t>https://www.researchgate.net/profile/Cheryl-Smith-Miller/publication/323347750_Reflective_practices_Meaningful_recognition_for_healthy_work_environments/links/62b38ea089e4f1160c930d9a/Reflective-practices-Meaningful-recognition-for-healthy-work-environments.pdf</w:t>
        </w:r>
      </w:hyperlink>
      <w:r>
        <w:t xml:space="preserve"> </w:t>
      </w:r>
    </w:p>
    <w:p w14:paraId="20194C89" w14:textId="77777777" w:rsidR="009A104A" w:rsidRDefault="009A104A">
      <w:pPr>
        <w:spacing w:before="240" w:after="240"/>
      </w:pPr>
      <w:r>
        <w:t xml:space="preserve">Vaia, G., Arkhipova, D. and DeLone, W., (2022). Digital governance mechanisms and principles that enable agile responses in dynamic competitive environments. European Journal of Information Systems, 31(6), pp.662-680. </w:t>
      </w:r>
      <w:hyperlink r:id="rId30">
        <w:r>
          <w:rPr>
            <w:color w:val="1155CC"/>
            <w:u w:val="single"/>
          </w:rPr>
          <w:t>https://doi.org/10.1080/0960085X.2022.2078743</w:t>
        </w:r>
      </w:hyperlink>
      <w:r>
        <w:t xml:space="preserve"> </w:t>
      </w:r>
    </w:p>
    <w:p w14:paraId="0599F49F" w14:textId="77777777" w:rsidR="009A104A" w:rsidRDefault="009A104A">
      <w:pPr>
        <w:spacing w:before="240" w:after="240"/>
        <w:rPr>
          <w:color w:val="222222"/>
          <w:highlight w:val="white"/>
        </w:rPr>
      </w:pPr>
      <w:r>
        <w:rPr>
          <w:color w:val="222222"/>
          <w:highlight w:val="white"/>
        </w:rPr>
        <w:t xml:space="preserve">Volkswagen AG. (2025) </w:t>
      </w:r>
      <w:r>
        <w:rPr>
          <w:i/>
          <w:iCs/>
          <w:color w:val="222222"/>
          <w:highlight w:val="white"/>
        </w:rPr>
        <w:t>Innovation in the Automotive Industry</w:t>
      </w:r>
      <w:r>
        <w:rPr>
          <w:color w:val="222222"/>
          <w:highlight w:val="white"/>
        </w:rPr>
        <w:t xml:space="preserve">. </w:t>
      </w:r>
      <w:hyperlink r:id="rId31">
        <w:r>
          <w:rPr>
            <w:color w:val="1155CC"/>
            <w:highlight w:val="white"/>
            <w:u w:val="single"/>
          </w:rPr>
          <w:t>https://www.volkswagen-group.com/en</w:t>
        </w:r>
      </w:hyperlink>
    </w:p>
    <w:p w14:paraId="7E4A2ADC" w14:textId="77777777" w:rsidR="009A104A" w:rsidRDefault="009A104A">
      <w:pPr>
        <w:spacing w:before="240" w:after="240"/>
      </w:pPr>
      <w:r>
        <w:rPr>
          <w:color w:val="222222"/>
          <w:highlight w:val="white"/>
        </w:rPr>
        <w:lastRenderedPageBreak/>
        <w:t xml:space="preserve">Volkswagen Group. (2024) </w:t>
      </w:r>
      <w:r>
        <w:rPr>
          <w:i/>
          <w:iCs/>
          <w:color w:val="222222"/>
          <w:highlight w:val="white"/>
        </w:rPr>
        <w:t>Annual Report &amp; Full Year Results 2024.</w:t>
      </w:r>
      <w:r>
        <w:rPr>
          <w:color w:val="222222"/>
          <w:highlight w:val="white"/>
        </w:rPr>
        <w:t xml:space="preserve"> </w:t>
      </w:r>
      <w:hyperlink r:id="rId32">
        <w:r>
          <w:rPr>
            <w:color w:val="1155CC"/>
            <w:highlight w:val="white"/>
            <w:u w:val="single"/>
          </w:rPr>
          <w:t>https://www.volkswagen-group.com/en/annual-report-and-full-year-results-2024-19005</w:t>
        </w:r>
      </w:hyperlink>
    </w:p>
    <w:p w14:paraId="7E5B357A" w14:textId="77777777" w:rsidR="009A104A" w:rsidRDefault="009A104A">
      <w:pPr>
        <w:spacing w:before="240" w:after="240"/>
      </w:pPr>
      <w:r>
        <w:t xml:space="preserve">Volkswagen Group. (2024). </w:t>
      </w:r>
      <w:r>
        <w:rPr>
          <w:i/>
          <w:iCs/>
        </w:rPr>
        <w:t>About Us</w:t>
      </w:r>
      <w:r>
        <w:t xml:space="preserve">. [online] Available at: </w:t>
      </w:r>
      <w:hyperlink r:id="rId33">
        <w:r>
          <w:rPr>
            <w:color w:val="0563C1"/>
            <w:u w:val="single"/>
          </w:rPr>
          <w:t>https://www.volkswagen-group.com/en/about-us-16013</w:t>
        </w:r>
      </w:hyperlink>
      <w:r>
        <w:t> </w:t>
      </w:r>
    </w:p>
    <w:p w14:paraId="0C1F7765" w14:textId="77777777" w:rsidR="009A104A" w:rsidRDefault="009A104A">
      <w:pPr>
        <w:spacing w:before="240" w:after="160"/>
      </w:pPr>
      <w:r>
        <w:t xml:space="preserve">Volkswagen Group. (2025). </w:t>
      </w:r>
      <w:r>
        <w:rPr>
          <w:i/>
          <w:iCs/>
        </w:rPr>
        <w:t>Volkswagen Group delivers solid results in challenging environment</w:t>
      </w:r>
      <w:r>
        <w:t xml:space="preserve">. [online] Available at: </w:t>
      </w:r>
      <w:hyperlink r:id="rId34">
        <w:r>
          <w:rPr>
            <w:color w:val="0563C1"/>
            <w:u w:val="single"/>
          </w:rPr>
          <w:t>https://www.volkswagen-group.com/en/press-releases/volkswagen-group-delivers-solid-results-in-challenging-environment-19501</w:t>
        </w:r>
      </w:hyperlink>
      <w:r>
        <w:t> </w:t>
      </w:r>
    </w:p>
    <w:p w14:paraId="2E340ABA" w14:textId="77777777" w:rsidR="009A104A" w:rsidRDefault="009A104A">
      <w:pPr>
        <w:spacing w:before="240" w:after="160"/>
      </w:pPr>
      <w:r>
        <w:t xml:space="preserve">VW Annual Report 2023. (2023). </w:t>
      </w:r>
      <w:r>
        <w:rPr>
          <w:i/>
          <w:iCs/>
        </w:rPr>
        <w:t>Sustainability - VW Annual Report 2023</w:t>
      </w:r>
      <w:r>
        <w:t xml:space="preserve">. [online] Available at: </w:t>
      </w:r>
      <w:hyperlink r:id="rId35">
        <w:r>
          <w:rPr>
            <w:color w:val="0563C1"/>
            <w:u w:val="single"/>
          </w:rPr>
          <w:t>https://annualreport2023.volkswagen-group.com/group-management-report/sustainable-value-enhancement/sustainability.html</w:t>
        </w:r>
      </w:hyperlink>
      <w:r>
        <w:t> </w:t>
      </w:r>
    </w:p>
    <w:p w14:paraId="1D8C3B6B" w14:textId="77777777" w:rsidR="009A104A" w:rsidRDefault="009A104A">
      <w:r>
        <w:t xml:space="preserve">Yu, Z., Khan, S.A.R. and Umar, M., (2022). Circular economy practices and industry 4.0 technologies: A strategic move of automobile industry. </w:t>
      </w:r>
      <w:r>
        <w:rPr>
          <w:i/>
          <w:iCs/>
        </w:rPr>
        <w:t>Business Strategy and the Environment,</w:t>
      </w:r>
      <w:r>
        <w:t xml:space="preserve"> 31(3), pp.796-809. </w:t>
      </w:r>
      <w:hyperlink r:id="rId36">
        <w:r>
          <w:rPr>
            <w:color w:val="1155CC"/>
            <w:u w:val="single"/>
          </w:rPr>
          <w:t>https://doi.org/10.1002/bse.2918</w:t>
        </w:r>
      </w:hyperlink>
      <w:r>
        <w:t xml:space="preserve"> </w:t>
      </w:r>
    </w:p>
    <w:p w14:paraId="52C88A56" w14:textId="77777777" w:rsidR="00305D30" w:rsidRDefault="00305D30"/>
    <w:p w14:paraId="726FF70E" w14:textId="77777777" w:rsidR="00305D30" w:rsidRDefault="00305D30">
      <w:pPr>
        <w:rPr>
          <w:color w:val="222222"/>
          <w:highlight w:val="white"/>
        </w:rPr>
      </w:pPr>
    </w:p>
    <w:sectPr w:rsidR="00305D30" w:rsidSect="00867FAB">
      <w:headerReference w:type="default" r:id="rId37"/>
      <w:footerReference w:type="default" r:id="rId3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CF8DE" w14:textId="77777777" w:rsidR="003C6503" w:rsidRDefault="003C6503">
      <w:pPr>
        <w:spacing w:before="0" w:after="0" w:line="240" w:lineRule="auto"/>
      </w:pPr>
      <w:r>
        <w:separator/>
      </w:r>
    </w:p>
  </w:endnote>
  <w:endnote w:type="continuationSeparator" w:id="0">
    <w:p w14:paraId="6AD95485" w14:textId="77777777" w:rsidR="003C6503" w:rsidRDefault="003C65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897E7A4-7E73-45EF-BFF2-9C84753B824C}"/>
  </w:font>
  <w:font w:name="Tahoma">
    <w:panose1 w:val="020B0604030504040204"/>
    <w:charset w:val="00"/>
    <w:family w:val="swiss"/>
    <w:pitch w:val="variable"/>
    <w:sig w:usb0="E1002EFF" w:usb1="C000605B" w:usb2="00000029" w:usb3="00000000" w:csb0="000101FF" w:csb1="00000000"/>
    <w:embedRegular r:id="rId2" w:fontKey="{506F1E22-91A3-4045-A7EE-7393109E03FD}"/>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2FC59989-9E8C-40A9-B364-6422C9106BB2}"/>
  </w:font>
  <w:font w:name="Shruti">
    <w:altName w:val="Shruti"/>
    <w:panose1 w:val="02000500000000000000"/>
    <w:charset w:val="00"/>
    <w:family w:val="swiss"/>
    <w:pitch w:val="variable"/>
    <w:sig w:usb0="00040003" w:usb1="00000000" w:usb2="00000000" w:usb3="00000000" w:csb0="00000001" w:csb1="00000000"/>
    <w:embedRegular r:id="rId4" w:fontKey="{2DC86A27-F87D-4F9A-ABC0-63607CCD7E00}"/>
  </w:font>
  <w:font w:name="Calibri">
    <w:panose1 w:val="020F0502020204030204"/>
    <w:charset w:val="00"/>
    <w:family w:val="swiss"/>
    <w:pitch w:val="variable"/>
    <w:sig w:usb0="E4002EFF" w:usb1="C200247B" w:usb2="00000009" w:usb3="00000000" w:csb0="000001FF" w:csb1="00000000"/>
    <w:embedRegular r:id="rId5" w:fontKey="{5F890E8B-823F-4671-921D-C60D42B923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F1179" w14:textId="77777777" w:rsidR="00305D30" w:rsidRDefault="00690D2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E5B23">
      <w:rPr>
        <w:noProof/>
        <w:color w:val="000000"/>
      </w:rPr>
      <w:t>2</w:t>
    </w:r>
    <w:r>
      <w:rPr>
        <w:color w:val="000000"/>
      </w:rPr>
      <w:fldChar w:fldCharType="end"/>
    </w:r>
  </w:p>
  <w:p w14:paraId="3E3DFCBD" w14:textId="77777777" w:rsidR="00305D30" w:rsidRDefault="00305D30">
    <w:pPr>
      <w:pBdr>
        <w:top w:val="nil"/>
        <w:left w:val="nil"/>
        <w:bottom w:val="nil"/>
        <w:right w:val="nil"/>
        <w:between w:val="nil"/>
      </w:pBdr>
      <w:tabs>
        <w:tab w:val="center" w:pos="4513"/>
        <w:tab w:val="right" w:pos="9026"/>
      </w:tabs>
      <w:spacing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FF60E" w14:textId="77777777" w:rsidR="003C6503" w:rsidRDefault="003C6503">
      <w:pPr>
        <w:spacing w:before="0" w:after="0" w:line="240" w:lineRule="auto"/>
      </w:pPr>
      <w:r>
        <w:separator/>
      </w:r>
    </w:p>
  </w:footnote>
  <w:footnote w:type="continuationSeparator" w:id="0">
    <w:p w14:paraId="47F882ED" w14:textId="77777777" w:rsidR="003C6503" w:rsidRDefault="003C650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9E5DE" w14:textId="77777777" w:rsidR="00305D30" w:rsidRDefault="00305D3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5D30"/>
    <w:rsid w:val="00135342"/>
    <w:rsid w:val="002522DE"/>
    <w:rsid w:val="00305D30"/>
    <w:rsid w:val="003C6503"/>
    <w:rsid w:val="00690D2C"/>
    <w:rsid w:val="006B3D6B"/>
    <w:rsid w:val="00867FAB"/>
    <w:rsid w:val="008E5B23"/>
    <w:rsid w:val="009A104A"/>
    <w:rsid w:val="009D5CF7"/>
    <w:rsid w:val="00B306B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1E425"/>
  <w15:docId w15:val="{F8250E2C-43AE-DC4C-A4FB-787AA98C7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left"/>
      <w:outlineLvl w:val="0"/>
    </w:pPr>
    <w:rPr>
      <w:b/>
      <w:bCs/>
      <w:sz w:val="28"/>
      <w:szCs w:val="28"/>
    </w:rPr>
  </w:style>
  <w:style w:type="paragraph" w:styleId="Heading2">
    <w:name w:val="heading 2"/>
    <w:basedOn w:val="Normal"/>
    <w:next w:val="Normal"/>
    <w:pPr>
      <w:outlineLvl w:val="1"/>
    </w:pPr>
    <w:rPr>
      <w:b/>
      <w:bCs/>
      <w:sz w:val="28"/>
      <w:szCs w:val="28"/>
    </w:rPr>
  </w:style>
  <w:style w:type="paragraph" w:styleId="Heading3">
    <w:name w:val="heading 3"/>
    <w:basedOn w:val="Normal"/>
    <w:next w:val="Normal"/>
    <w:pPr>
      <w:spacing w:before="360" w:after="80"/>
      <w:outlineLvl w:val="2"/>
    </w:pPr>
    <w:rPr>
      <w:b/>
      <w:bCs/>
    </w:rPr>
  </w:style>
  <w:style w:type="paragraph" w:styleId="Heading4">
    <w:name w:val="heading 4"/>
    <w:basedOn w:val="Normal"/>
    <w:next w:val="Normal"/>
    <w:pPr>
      <w:keepNext/>
      <w:keepLines/>
      <w:spacing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table" w:customStyle="1" w:styleId="Table5">
    <w:name w:val="Table5"/>
    <w:basedOn w:val="TableNormal0"/>
    <w:tblPr>
      <w:tblStyleRowBandSize w:val="1"/>
      <w:tblStyleColBandSize w:val="1"/>
    </w:tblPr>
  </w:style>
  <w:style w:type="paragraph" w:styleId="BalloonText">
    <w:name w:val="Balloon Text"/>
    <w:basedOn w:val="Normal"/>
    <w:link w:val="BalloonTextChar"/>
    <w:uiPriority w:val="99"/>
    <w:semiHidden/>
    <w:unhideWhenUsed/>
    <w:rsid w:val="008E5B2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B23"/>
    <w:rPr>
      <w:rFonts w:ascii="Tahoma" w:hAnsi="Tahoma" w:cs="Tahoma"/>
      <w:sz w:val="16"/>
      <w:szCs w:val="16"/>
    </w:rPr>
  </w:style>
  <w:style w:type="paragraph" w:styleId="TOC1">
    <w:name w:val="toc 1"/>
    <w:basedOn w:val="Normal"/>
    <w:next w:val="Normal"/>
    <w:autoRedefine/>
    <w:uiPriority w:val="39"/>
    <w:unhideWhenUsed/>
    <w:rsid w:val="008E5B23"/>
    <w:pPr>
      <w:spacing w:after="100"/>
    </w:pPr>
  </w:style>
  <w:style w:type="paragraph" w:styleId="TOC2">
    <w:name w:val="toc 2"/>
    <w:basedOn w:val="Normal"/>
    <w:next w:val="Normal"/>
    <w:autoRedefine/>
    <w:uiPriority w:val="39"/>
    <w:unhideWhenUsed/>
    <w:rsid w:val="008E5B23"/>
    <w:pPr>
      <w:spacing w:after="100"/>
      <w:ind w:left="240"/>
    </w:pPr>
  </w:style>
  <w:style w:type="paragraph" w:styleId="TOC3">
    <w:name w:val="toc 3"/>
    <w:basedOn w:val="Normal"/>
    <w:next w:val="Normal"/>
    <w:autoRedefine/>
    <w:uiPriority w:val="39"/>
    <w:unhideWhenUsed/>
    <w:rsid w:val="008E5B23"/>
    <w:pPr>
      <w:spacing w:after="100"/>
      <w:ind w:left="480"/>
    </w:pPr>
  </w:style>
  <w:style w:type="character" w:styleId="Hyperlink">
    <w:name w:val="Hyperlink"/>
    <w:basedOn w:val="DefaultParagraphFont"/>
    <w:uiPriority w:val="99"/>
    <w:unhideWhenUsed/>
    <w:rsid w:val="008E5B23"/>
    <w:rPr>
      <w:color w:val="0000FF" w:themeColor="hyperlink"/>
      <w:u w:val="single"/>
    </w:rPr>
  </w:style>
  <w:style w:type="paragraph" w:styleId="NormalWeb">
    <w:name w:val="Normal (Web)"/>
    <w:basedOn w:val="Normal"/>
    <w:uiPriority w:val="99"/>
    <w:unhideWhenUsed/>
    <w:rsid w:val="008E5B23"/>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0365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7427150241232705" TargetMode="External"/><Relationship Id="rId18" Type="http://schemas.openxmlformats.org/officeDocument/2006/relationships/hyperlink" Target="https://www.forbes.com/sites/georgkell/2022/12/05/from-emissions-cheater-to-climate-leader-vws-journey-from-dieselgate-to-embracing-e-mobility/" TargetMode="External"/><Relationship Id="rId26" Type="http://schemas.openxmlformats.org/officeDocument/2006/relationships/hyperlink" Target="https://doi.org/10.1016/j.jclepro.2022.134670" TargetMode="External"/><Relationship Id="rId39" Type="http://schemas.openxmlformats.org/officeDocument/2006/relationships/fontTable" Target="fontTable.xml"/><Relationship Id="rId21" Type="http://schemas.openxmlformats.org/officeDocument/2006/relationships/hyperlink" Target="https://doi.org/10.3390/ijerph20031851" TargetMode="External"/><Relationship Id="rId34" Type="http://schemas.openxmlformats.org/officeDocument/2006/relationships/hyperlink" Target="https://www.volkswagen-group.com/en/press-releases/volkswagen-group-delivers-solid-results-in-challenging-environment-19501" TargetMode="External"/><Relationship Id="rId7" Type="http://schemas.openxmlformats.org/officeDocument/2006/relationships/image" Target="media/image2.png"/><Relationship Id="rId12" Type="http://schemas.openxmlformats.org/officeDocument/2006/relationships/hyperlink" Target="https://doi.org/10.33495/jerr_v11i3.23.111" TargetMode="External"/><Relationship Id="rId17" Type="http://schemas.openxmlformats.org/officeDocument/2006/relationships/hyperlink" Target="https://doi.org/10.1016/j.pubrev.2022.102146" TargetMode="External"/><Relationship Id="rId25" Type="http://schemas.openxmlformats.org/officeDocument/2006/relationships/hyperlink" Target="https://doi.org/10.1007/s10663-022-09554-9" TargetMode="External"/><Relationship Id="rId33" Type="http://schemas.openxmlformats.org/officeDocument/2006/relationships/hyperlink" Target="https://www.volkswagen-group.com/en/about-us-16013"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3390/su16073011" TargetMode="External"/><Relationship Id="rId20" Type="http://schemas.openxmlformats.org/officeDocument/2006/relationships/hyperlink" Target="https://doi.org/10.1108/IJSHE-04-2021-0135" TargetMode="External"/><Relationship Id="rId29" Type="http://schemas.openxmlformats.org/officeDocument/2006/relationships/hyperlink" Target="https://www.researchgate.net/profile/Cheryl-Smith-Miller/publication/323347750_Reflective_practices_Meaningful_recognition_for_healthy_work_environments/links/62b38ea089e4f1160c930d9a/Reflective-practices-Meaningful-recognition-for-healthy-work-environments.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08/SRJ-08-2020-0336" TargetMode="External"/><Relationship Id="rId24" Type="http://schemas.openxmlformats.org/officeDocument/2006/relationships/hyperlink" Target="https://doi.org/10.1177/09697764211021882" TargetMode="External"/><Relationship Id="rId32" Type="http://schemas.openxmlformats.org/officeDocument/2006/relationships/hyperlink" Target="https://www.volkswagen-group.com/en/annual-report-and-full-year-results-2024-19005"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08/JGR-03-2021-0036" TargetMode="External"/><Relationship Id="rId23" Type="http://schemas.openxmlformats.org/officeDocument/2006/relationships/hyperlink" Target="https://doi.org/10.3390/math10193543" TargetMode="External"/><Relationship Id="rId28" Type="http://schemas.openxmlformats.org/officeDocument/2006/relationships/hyperlink" Target="https://doi.org/10.1080/20430795.2021.2006129" TargetMode="External"/><Relationship Id="rId36" Type="http://schemas.openxmlformats.org/officeDocument/2006/relationships/hyperlink" Target="https://doi.org/10.1002/bse.2918" TargetMode="External"/><Relationship Id="rId10" Type="http://schemas.openxmlformats.org/officeDocument/2006/relationships/hyperlink" Target="https://run.unl.pt/bitstream/10362/172219/1/2022_2023_Spring_49432.pdf" TargetMode="External"/><Relationship Id="rId19" Type="http://schemas.openxmlformats.org/officeDocument/2006/relationships/hyperlink" Target="https://doi.org/10.1007/978-3-031-21824-8_2" TargetMode="External"/><Relationship Id="rId31" Type="http://schemas.openxmlformats.org/officeDocument/2006/relationships/hyperlink" Target="https://www.volkswagen-group.com/en" TargetMode="External"/><Relationship Id="rId4" Type="http://schemas.openxmlformats.org/officeDocument/2006/relationships/footnotes" Target="footnotes.xml"/><Relationship Id="rId9" Type="http://schemas.openxmlformats.org/officeDocument/2006/relationships/hyperlink" Target="https://dx.doi.org/10.2139/ssrn.4497558" TargetMode="External"/><Relationship Id="rId14" Type="http://schemas.openxmlformats.org/officeDocument/2006/relationships/hyperlink" Target="https://doi.org/10.1108/IJLM-03-2022-0143" TargetMode="External"/><Relationship Id="rId22" Type="http://schemas.openxmlformats.org/officeDocument/2006/relationships/hyperlink" Target="https://doi.org/10.3390/su14074000" TargetMode="External"/><Relationship Id="rId27" Type="http://schemas.openxmlformats.org/officeDocument/2006/relationships/hyperlink" Target="https://doi.org/10.1108/MIP-12-2022-0548" TargetMode="External"/><Relationship Id="rId30" Type="http://schemas.openxmlformats.org/officeDocument/2006/relationships/hyperlink" Target="https://doi.org/10.1080/0960085X.2022.2078743" TargetMode="External"/><Relationship Id="rId35" Type="http://schemas.openxmlformats.org/officeDocument/2006/relationships/hyperlink" Target="https://annualreport2023.volkswagen-group.com/group-management-report/sustainable-value-enhancement/sustainability.html" TargetMode="External"/><Relationship Id="rId8" Type="http://schemas.openxmlformats.org/officeDocument/2006/relationships/image" Target="media/image3.png"/><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26</Pages>
  <Words>7413</Words>
  <Characters>42259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49573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Hevin Kachhadiya</cp:lastModifiedBy>
  <cp:revision>8</cp:revision>
  <dcterms:created xsi:type="dcterms:W3CDTF">2026-03-20T14:50:00Z</dcterms:created>
  <dcterms:modified xsi:type="dcterms:W3CDTF">2026-04-27T22:59:00Z</dcterms:modified>
  <cp:category/>
</cp:coreProperties>
</file>