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ADC49B" w14:textId="7C542672" w:rsidR="007A2A3B" w:rsidRPr="00986554" w:rsidRDefault="00986554">
      <w:pPr>
        <w:rPr>
          <w:b/>
          <w:bCs/>
          <w:sz w:val="28"/>
          <w:szCs w:val="28"/>
          <w:u w:val="single"/>
        </w:rPr>
      </w:pPr>
      <w:r w:rsidRPr="00986554">
        <w:rPr>
          <w:b/>
          <w:bCs/>
          <w:sz w:val="28"/>
          <w:szCs w:val="28"/>
          <w:u w:val="single"/>
        </w:rPr>
        <w:t>Public Law Assignment 2:</w:t>
      </w:r>
    </w:p>
    <w:p w14:paraId="4353EF15" w14:textId="5AEDEFF6" w:rsidR="00986554" w:rsidRDefault="00986554">
      <w:r>
        <w:t>Task :1</w:t>
      </w:r>
    </w:p>
    <w:p w14:paraId="751B9777" w14:textId="5125AA65" w:rsidR="00986554" w:rsidRDefault="00986554"/>
    <w:p w14:paraId="2D06C92D" w14:textId="579EC0DC" w:rsidR="00986554" w:rsidRDefault="00986554">
      <w:r>
        <w:t xml:space="preserve">The United Kingdom’s defamation law is very clear to an extent as it separates deformation into two key aspects, Slander and Libel. In which Slander is deformation in the temporary form and is usually in the form of a false oral statement that. Where, as Libel is deformation in a more serious and permanent form such as written word and is generally more provable in a court of law. </w:t>
      </w:r>
      <w:r w:rsidR="00327901">
        <w:t xml:space="preserve">There are many cases in recent history that can be attributed down to the deformation act of 2013 in which the act of deformation became a much more serious issue. In accordance with the deformation act 2013 the Reynolds defence ceased to be viable and thus was abolished via this act, however, with this it </w:t>
      </w:r>
      <w:r w:rsidR="0072189A">
        <w:t>led</w:t>
      </w:r>
      <w:r w:rsidR="00327901">
        <w:t xml:space="preserve"> to the matter of public interest defence being introduced in which the defendant could attempt to prove that the statement or any of the evidence supplied to the court was in fact a matter of the public’s interest</w:t>
      </w:r>
      <w:r w:rsidR="0072189A">
        <w:t xml:space="preserve">. One of the main recent cases of deformation in this country was that of Johnny Depp vs The Sun, in which The Sun had claimed that Mr. Depp was a ‘wife beater’. However, Depp claimed that this was libellous however the Courts had in fact deemed that the statement with the evidence provided was not in fact libel and Depp lost the case. </w:t>
      </w:r>
    </w:p>
    <w:p w14:paraId="02B76837" w14:textId="725FB9F8" w:rsidR="00986554" w:rsidRDefault="0057257C">
      <w:r>
        <w:t xml:space="preserve">One of the most important deformation cases un recent British history was Reynolds v. Times Newspapers Limited, and others. In which the Times published an article about Mr. Reynolds due to his resignation as Taoiseach of Ireland. The article published claimed according to Reynolds that he had misled the </w:t>
      </w:r>
      <w:proofErr w:type="spellStart"/>
      <w:r>
        <w:t>D</w:t>
      </w:r>
      <w:r w:rsidR="00895563">
        <w:rPr>
          <w:rFonts w:ascii="Tahoma" w:hAnsi="Tahoma" w:cs="Tahoma"/>
        </w:rPr>
        <w:t>á</w:t>
      </w:r>
      <w:r>
        <w:t>il</w:t>
      </w:r>
      <w:proofErr w:type="spellEnd"/>
      <w:r>
        <w:t xml:space="preserve"> </w:t>
      </w:r>
      <w:r w:rsidR="00895563">
        <w:t xml:space="preserve">and other members of the government. The trail which was tried between 14 October and 19 November by French J. and a jury, in which the jury found that the allegation that Mr Reynolds had presented </w:t>
      </w:r>
      <w:r w:rsidR="0078621F">
        <w:t>to the court and the jury had ruled in favour of Mr. Reynolds and had awarded him a sum of 1 penny</w:t>
      </w:r>
      <w:r w:rsidR="00895563">
        <w:t xml:space="preserve">. </w:t>
      </w:r>
      <w:r w:rsidR="00BB1CCB">
        <w:t xml:space="preserve">Mr Reynolds had appealed the judge’s decision as he believed that the judge had directed the court in a certain manor thus leading to Mr Reynolds going to the court of appeal in which a new trial was ordered. Again in 2002 and 2012 the Times Newspapers we caught up in a legal battle with such cases as </w:t>
      </w:r>
      <w:proofErr w:type="spellStart"/>
      <w:r w:rsidR="00BB1CCB">
        <w:t>Loutchansky</w:t>
      </w:r>
      <w:proofErr w:type="spellEnd"/>
      <w:r w:rsidR="00BB1CCB">
        <w:t xml:space="preserve"> v Times Newspapers in which </w:t>
      </w:r>
      <w:r w:rsidR="006500B3">
        <w:t xml:space="preserve">the Times Newspapers had published articles online about </w:t>
      </w:r>
      <w:proofErr w:type="spellStart"/>
      <w:r w:rsidR="006500B3">
        <w:t>Louchansky</w:t>
      </w:r>
      <w:proofErr w:type="spellEnd"/>
      <w:r w:rsidR="006500B3">
        <w:t xml:space="preserve"> claiming that he was a member of a Russian crime gang and money laundering scheme, in which they admitted that this material was defamatory. However, they had kept these articles up online </w:t>
      </w:r>
      <w:r w:rsidR="004532D5">
        <w:t>as they maintained that they ‘</w:t>
      </w:r>
      <w:r w:rsidR="004532D5" w:rsidRPr="004532D5">
        <w:rPr>
          <w:i/>
          <w:iCs/>
        </w:rPr>
        <w:t>archive issues of the past as a service to the general public</w:t>
      </w:r>
      <w:r w:rsidR="004532D5">
        <w:t xml:space="preserve">’. The appellants claimed that the law itself needed to be changed thus to keep things from becoming classed as slanderous again after it had passed its 1-year limitation period. In 2012 Flood v. Times Newspaper, </w:t>
      </w:r>
      <w:r w:rsidR="00DD3480">
        <w:t xml:space="preserve">the Times were considered to have been responsible in their publication of an article highlighting police corruption in 2006 </w:t>
      </w:r>
      <w:r w:rsidR="002F50B4">
        <w:t xml:space="preserve">as the court had believed that police corruption was in fact a matter of public interest. </w:t>
      </w:r>
    </w:p>
    <w:p w14:paraId="52B9EC3F" w14:textId="10F64A5B" w:rsidR="002F50B4" w:rsidRDefault="002F50B4">
      <w:r>
        <w:t>These cases draw the line in which there is a balance of freedom of expression and protecting one</w:t>
      </w:r>
      <w:r w:rsidR="00B8589D">
        <w:t>’</w:t>
      </w:r>
      <w:r>
        <w:t xml:space="preserve">s individual reputation, as all of these cases have similar motif in which the </w:t>
      </w:r>
      <w:r w:rsidR="00B8589D">
        <w:t>plaintiffs and defendants had grounds for trial. As such the balance of freedom of expression is protected to an extent under article 10 of the Human Rights Act 1998</w:t>
      </w:r>
      <w:r w:rsidR="0078621F">
        <w:t xml:space="preserve">. However, within the Act it also allows one to protect his or her own self by challenging what has been said by claiming it to be defamatory if it is not necessarily a correct statement or has no grounds for proof. Thus, meaning that as with what happened with Reynolds v. Times Newspaper what had been published to the United Kingdom’s populace was in fact deformation and thus leading to Times Newspaper </w:t>
      </w:r>
      <w:r w:rsidR="00761A9B">
        <w:t xml:space="preserve">losing its case even with its appeal. </w:t>
      </w:r>
      <w:proofErr w:type="gramStart"/>
      <w:r w:rsidR="00761A9B">
        <w:t>However</w:t>
      </w:r>
      <w:proofErr w:type="gramEnd"/>
      <w:r w:rsidR="00761A9B">
        <w:t xml:space="preserve"> if ones reputation is damaged but it is within the public’s interest as to be </w:t>
      </w:r>
      <w:r w:rsidR="00761A9B">
        <w:lastRenderedPageBreak/>
        <w:t xml:space="preserve">published and be common knowledge the United Kingdom’s laws are more clear, due to the case of Flood v. Times Newspaper in the findings were that although Flood’s name was not deemed necessary to the publication he was needed to have been named in order for the </w:t>
      </w:r>
      <w:r w:rsidR="00582CC9">
        <w:t xml:space="preserve">article to have been published. The key reasoning why this case itself was not passed in favour of Flood was due to the extensive amount of research that had been found prior to its publication thus meaning that due diligence had been considered and that they had a large amount of ‘evidence’ before considering pushing it into the public light. </w:t>
      </w:r>
      <w:r w:rsidR="00B30796">
        <w:t xml:space="preserve">The press has massive influence over the United Kingdom and its population so there need to be tight laws on deformation and slander to stop the press from being able to indiscriminately accusing people </w:t>
      </w:r>
      <w:r w:rsidR="00BE04F7">
        <w:t xml:space="preserve">of things that they haven’t done and potentially damaging their reputations in future leading to a loss of earnings relationships, etc. The </w:t>
      </w:r>
      <w:r w:rsidR="00AE31EC">
        <w:t xml:space="preserve">overall process </w:t>
      </w:r>
      <w:r w:rsidR="009E08F6">
        <w:t xml:space="preserve">of making sure deformation suits is being made and subsequently used as a defence at court is down to 3 major parts, truth, honest opinion, and public interest. </w:t>
      </w:r>
      <w:r w:rsidR="00B30796">
        <w:t xml:space="preserve"> </w:t>
      </w:r>
      <w:r w:rsidR="009E08F6">
        <w:t>In which these replaced the common law defences of Justification, fair comment and the Reynolds defence.</w:t>
      </w:r>
    </w:p>
    <w:p w14:paraId="538F3D67" w14:textId="39338909" w:rsidR="009E08F6" w:rsidRDefault="009E08F6"/>
    <w:p w14:paraId="091CF856" w14:textId="376FBB75" w:rsidR="009E08F6" w:rsidRDefault="009E08F6"/>
    <w:p w14:paraId="54774487" w14:textId="7AAF0A85" w:rsidR="009E08F6" w:rsidRDefault="009E08F6">
      <w:r>
        <w:t>Task 2:</w:t>
      </w:r>
    </w:p>
    <w:p w14:paraId="28337A91" w14:textId="59F1D608" w:rsidR="009E08F6" w:rsidRDefault="009E08F6"/>
    <w:p w14:paraId="12C18E4B" w14:textId="45B634CB" w:rsidR="009D1136" w:rsidRDefault="00D7416D">
      <w:r>
        <w:t xml:space="preserve">Norton solutions could potentially </w:t>
      </w:r>
      <w:r w:rsidR="00F1727B">
        <w:t xml:space="preserve">make a claim for judicial review of </w:t>
      </w:r>
      <w:proofErr w:type="spellStart"/>
      <w:r w:rsidR="00F1727B">
        <w:t>Westcross</w:t>
      </w:r>
      <w:proofErr w:type="spellEnd"/>
      <w:r w:rsidR="00F1727B">
        <w:t xml:space="preserve"> plc as they have the claim that </w:t>
      </w:r>
      <w:proofErr w:type="spellStart"/>
      <w:r w:rsidR="00F1727B">
        <w:t>Westcross</w:t>
      </w:r>
      <w:proofErr w:type="spellEnd"/>
      <w:r w:rsidR="00F1727B">
        <w:t xml:space="preserve"> cannot meet local recycling demands although, they have already been granted the licence to do so. By providing this evidence in a court of law Norton Solutions themselves could argue the fact that they </w:t>
      </w:r>
      <w:r w:rsidR="005E2A1B">
        <w:t>could</w:t>
      </w:r>
      <w:r w:rsidR="00F1727B">
        <w:t xml:space="preserve"> do a job to a much higher standard regarding if they managed to get their evidence within a legal and morally acceptable manner. </w:t>
      </w:r>
      <w:r w:rsidR="005E2A1B">
        <w:t xml:space="preserve">They could use the fact that they believe they can recycle plastic in the area more efficiently to allow for them to have a license granted to them in the same region as </w:t>
      </w:r>
      <w:proofErr w:type="spellStart"/>
      <w:r w:rsidR="005E2A1B">
        <w:t>Westcross</w:t>
      </w:r>
      <w:proofErr w:type="spellEnd"/>
      <w:r w:rsidR="005E2A1B">
        <w:t xml:space="preserve"> which would increase the amount of recycling as a whole in the area if the PRA were willing to accept this premiss, although it could potentially affect the area due to other kinds of pollution such as noise, and air. This compromise from the PRA in </w:t>
      </w:r>
      <w:r w:rsidR="00F42085">
        <w:t>allowing</w:t>
      </w:r>
      <w:r w:rsidR="005E2A1B">
        <w:t xml:space="preserve"> both in a similar area to have a recycling license would help improve the quality of life across the United Kingdom as it would mean less recyclables would have to shipped into landfills, overseas or just dumped this would help the entire world and not just the local area itself, as other areas with excess plastics would be able to send them to this area </w:t>
      </w:r>
      <w:r w:rsidR="00F42085">
        <w:t xml:space="preserve">to be recycled creating a chain of efficiency. However, if this is not readily available to do, they could cite the case </w:t>
      </w:r>
      <w:proofErr w:type="spellStart"/>
      <w:r w:rsidR="00F42085">
        <w:t>Skipaway</w:t>
      </w:r>
      <w:proofErr w:type="spellEnd"/>
      <w:r w:rsidR="00F42085">
        <w:t xml:space="preserve"> LTD v The Environment agency in which </w:t>
      </w:r>
      <w:proofErr w:type="spellStart"/>
      <w:r w:rsidR="00F42085">
        <w:t>Skipway</w:t>
      </w:r>
      <w:proofErr w:type="spellEnd"/>
      <w:r w:rsidR="00F42085">
        <w:t xml:space="preserve"> LTD </w:t>
      </w:r>
      <w:r w:rsidR="00C75B07">
        <w:t xml:space="preserve">had far more waste than their license allowed for and that they had breached it by having an approximate 5 metres waste protruding from their storage bays. This could set precedence as with the evidence that they have gathered could argue to the fact </w:t>
      </w:r>
      <w:proofErr w:type="spellStart"/>
      <w:r w:rsidR="00C75B07">
        <w:t>Westcross</w:t>
      </w:r>
      <w:proofErr w:type="spellEnd"/>
      <w:r w:rsidR="00C75B07">
        <w:t xml:space="preserve"> would not be able to keep up with the demand of the area thus giving Norton Solutions the upper hand by stating that they can cope with the large amount of waste in need of recycling. </w:t>
      </w:r>
      <w:r w:rsidR="009D1136">
        <w:t xml:space="preserve">This could lead to a review of </w:t>
      </w:r>
      <w:proofErr w:type="spellStart"/>
      <w:r w:rsidR="009D1136">
        <w:t>Westcross</w:t>
      </w:r>
      <w:proofErr w:type="spellEnd"/>
      <w:r w:rsidR="009D1136">
        <w:t xml:space="preserve">’ licence to recycle in the area thus potentially giving scope for Norton Solutions themselves to take over in the handling of recycling in that area. That simple fact is, if Norton Solutions can prove that </w:t>
      </w:r>
      <w:proofErr w:type="spellStart"/>
      <w:r w:rsidR="009D1136">
        <w:t>Westcross</w:t>
      </w:r>
      <w:proofErr w:type="spellEnd"/>
      <w:r w:rsidR="009D1136">
        <w:t xml:space="preserve"> plc cannot provide adequate recycling facilities in the Swansea area without crossing any legal boundaries in gathering said evidence then it should leave PRA little choice than to grant Norton Solutions themselves a licence to recycle within the area subject to judicial review.</w:t>
      </w:r>
    </w:p>
    <w:p w14:paraId="7A143BDD" w14:textId="7549919B" w:rsidR="009D1136" w:rsidRDefault="009D1136"/>
    <w:p w14:paraId="009FCE58" w14:textId="77777777" w:rsidR="006511BB" w:rsidRDefault="009D1136">
      <w:r>
        <w:lastRenderedPageBreak/>
        <w:t>The P</w:t>
      </w:r>
      <w:r w:rsidR="009A67CD">
        <w:t xml:space="preserve">RA had also granted </w:t>
      </w:r>
      <w:proofErr w:type="spellStart"/>
      <w:r w:rsidR="009A67CD">
        <w:t>LakeRec</w:t>
      </w:r>
      <w:proofErr w:type="spellEnd"/>
      <w:r w:rsidR="009A67CD">
        <w:t xml:space="preserve"> Ltd a licence to recycle near the Swansea nature reserve in which, </w:t>
      </w:r>
      <w:proofErr w:type="spellStart"/>
      <w:r w:rsidR="009A67CD">
        <w:t>LakeRec</w:t>
      </w:r>
      <w:proofErr w:type="spellEnd"/>
      <w:r w:rsidR="009A67CD">
        <w:t xml:space="preserve"> Ltd had shown evidence to improve economic growth within that area. However, </w:t>
      </w:r>
      <w:proofErr w:type="spellStart"/>
      <w:r w:rsidR="009A67CD">
        <w:t>LakeRec</w:t>
      </w:r>
      <w:proofErr w:type="spellEnd"/>
      <w:r w:rsidR="009A67CD">
        <w:t xml:space="preserve"> Ltd were required to publish the fact that they had received a licence to recycle in the area across from the Swansea nature reserve, in the local newspaper, online and at the site in where they had been licenced to operate. The Nature Reserve Trust however, noticed that </w:t>
      </w:r>
      <w:proofErr w:type="spellStart"/>
      <w:r w:rsidR="009A67CD">
        <w:t>LakeRec</w:t>
      </w:r>
      <w:proofErr w:type="spellEnd"/>
      <w:r w:rsidR="009A67CD">
        <w:t xml:space="preserve"> Ltd had only published this fact that they had been granted a licence to recycle in the area within a local newspaper, meaning </w:t>
      </w:r>
      <w:proofErr w:type="spellStart"/>
      <w:r w:rsidR="009A67CD">
        <w:t>LakeRec</w:t>
      </w:r>
      <w:proofErr w:type="spellEnd"/>
      <w:r w:rsidR="009A67CD">
        <w:t xml:space="preserve"> Ltd had broken the agreement in which the licence is given by not publicising correctly their intent to use this area and property to recycle goods. This gives the NRT a claim for judicial review as there were not effectively notified about the arrangement and agreement of </w:t>
      </w:r>
      <w:proofErr w:type="spellStart"/>
      <w:r w:rsidR="009A67CD">
        <w:t>LakeRec’s</w:t>
      </w:r>
      <w:proofErr w:type="spellEnd"/>
      <w:r w:rsidR="009A67CD">
        <w:t xml:space="preserve"> licence as many people within the area may not have seen the newspaper before finding out through the actions of the NRT.  </w:t>
      </w:r>
      <w:r w:rsidR="006511BB">
        <w:t xml:space="preserve">Due to the fact that </w:t>
      </w:r>
      <w:proofErr w:type="spellStart"/>
      <w:r w:rsidR="006511BB">
        <w:t>LakeRec</w:t>
      </w:r>
      <w:proofErr w:type="spellEnd"/>
      <w:r w:rsidR="006511BB">
        <w:t xml:space="preserve"> Ltd had not publicised their agreement with the PRA for their licence correctly this should lead to a successful claim in which is likely to have their licence suspended thus having to apply again and inform the people of the area correctly. </w:t>
      </w:r>
    </w:p>
    <w:p w14:paraId="2263DF1F" w14:textId="51B4796D" w:rsidR="009D1136" w:rsidRDefault="006511BB">
      <w:r>
        <w:t xml:space="preserve">In doing this if the case succeeds it would lead to a time frame in which locals could potentially have the licence barred completely as they could build a new case to the fact this recycling </w:t>
      </w:r>
      <w:r w:rsidR="00084DED">
        <w:t xml:space="preserve">centre could pollute the nature reserve if not treated properly, which in turn could ruin the areas economic growth due to ruining a natural beauty spot, thus ruining their grounds for approval in the first place. To make sure that they can keep their promise of economic growth they would have to not damage the local environment at all otherwise it could lead for scope of the entire environment to fall apart thus ruining the potential of economic growth. </w:t>
      </w:r>
      <w:r w:rsidR="00877B5A">
        <w:t xml:space="preserve">Recycling plants are potentially highly dangerous to local environments so to put a Plant near a Nature reserve would be terrible for the wildlife in the area with all of the potential damages that could happen, especially as recycling plants are prone to disasters such as such as fires this in turn needs to be looked at whilst NRT is trying to build a case against </w:t>
      </w:r>
      <w:proofErr w:type="spellStart"/>
      <w:r w:rsidR="00877B5A">
        <w:t>LakeRec</w:t>
      </w:r>
      <w:proofErr w:type="spellEnd"/>
      <w:r w:rsidR="00877B5A">
        <w:t xml:space="preserve"> Ltd and the PRA for granting the licence. </w:t>
      </w:r>
    </w:p>
    <w:p w14:paraId="13A31E85" w14:textId="7E1D978B" w:rsidR="00877B5A" w:rsidRDefault="00960691">
      <w:r>
        <w:t xml:space="preserve">Both of these cases should be granted judicial review due to the fact that </w:t>
      </w:r>
      <w:proofErr w:type="spellStart"/>
      <w:r>
        <w:t>LakeRec</w:t>
      </w:r>
      <w:proofErr w:type="spellEnd"/>
      <w:r>
        <w:t xml:space="preserve"> Ltd didn’t follow the correct procedures after being granted their licence by the PRA thus making their contract with them essentially null and void as they did not follow the terms and conditions of being granted the right to open up a recycling centre in the site near to </w:t>
      </w:r>
      <w:r w:rsidR="00D33F3F">
        <w:t xml:space="preserve">the nature reserve. Whilst Norton Solutions should be granted judicial review due to the fact, they have evidence that </w:t>
      </w:r>
      <w:proofErr w:type="spellStart"/>
      <w:r w:rsidR="00D33F3F">
        <w:t>Westcross</w:t>
      </w:r>
      <w:proofErr w:type="spellEnd"/>
      <w:r w:rsidR="00D33F3F">
        <w:t xml:space="preserve"> Plc would be unable to meet the local demand of the Mumbles, Swansea area which could mean to them having far too much waste within the area </w:t>
      </w:r>
      <w:r w:rsidR="00B20C55">
        <w:t xml:space="preserve">causing pollution to the area and leading to </w:t>
      </w:r>
      <w:proofErr w:type="spellStart"/>
      <w:r w:rsidR="00B20C55">
        <w:t>Westcross</w:t>
      </w:r>
      <w:proofErr w:type="spellEnd"/>
      <w:r w:rsidR="00B20C55">
        <w:t xml:space="preserve"> suffering from many fines for have waste outside of the designated zoned areas. This should lead to Norton Solutions being granted their review and case to be looked upon, as long as they can provide their evidence to a court without breaching any pre-made agreements or that they haven’t committed corporate espionage to get this evidence.</w:t>
      </w:r>
    </w:p>
    <w:p w14:paraId="10E1E90C" w14:textId="77777777" w:rsidR="009D1136" w:rsidRDefault="009D1136"/>
    <w:p w14:paraId="2DACC414" w14:textId="7F8292EC" w:rsidR="009E08F6" w:rsidRDefault="009D1136">
      <w:r>
        <w:t xml:space="preserve"> </w:t>
      </w:r>
    </w:p>
    <w:p w14:paraId="4F4B5EF2" w14:textId="19864375" w:rsidR="00B20C55" w:rsidRDefault="00B20C55"/>
    <w:p w14:paraId="4ED6954D" w14:textId="192A94D9" w:rsidR="00B20C55" w:rsidRDefault="00B20C55"/>
    <w:p w14:paraId="119D1590" w14:textId="5250E8CA" w:rsidR="00B20C55" w:rsidRDefault="00B20C55"/>
    <w:p w14:paraId="04FF5F0F" w14:textId="77777777" w:rsidR="00B20C55" w:rsidRDefault="00B20C55"/>
    <w:p w14:paraId="635D1093" w14:textId="504BA19C" w:rsidR="00B20C55" w:rsidRDefault="00B20C55"/>
    <w:p w14:paraId="0083D017" w14:textId="5BD2C3D7" w:rsidR="00B20C55" w:rsidRDefault="00B20C55"/>
    <w:p w14:paraId="3FB005DE" w14:textId="5EDDF721" w:rsidR="00B20C55" w:rsidRDefault="00B20C55"/>
    <w:p w14:paraId="045E92E5" w14:textId="3B360FDE" w:rsidR="00B20C55" w:rsidRDefault="00B20C55"/>
    <w:p w14:paraId="240B85BA" w14:textId="6915EE62" w:rsidR="00B20C55" w:rsidRDefault="00B20C55"/>
    <w:p w14:paraId="09672030" w14:textId="544A8B35" w:rsidR="00B20C55" w:rsidRDefault="00B20C55"/>
    <w:p w14:paraId="4ACB4BD1" w14:textId="601CE48B" w:rsidR="00B20C55" w:rsidRDefault="00B20C55">
      <w:r>
        <w:t xml:space="preserve">Lord Nicholls, 28 October, Judgements—Reynolds v. Times Newspapers Limited and Others, (Online) Available at: </w:t>
      </w:r>
      <w:hyperlink r:id="rId4" w:history="1">
        <w:r w:rsidRPr="00E8241F">
          <w:rPr>
            <w:rStyle w:val="Hyperlink"/>
          </w:rPr>
          <w:t>https://publications.parliament.uk/pa/ld199899/ldjudgmt/jd991028/rey01.htm</w:t>
        </w:r>
      </w:hyperlink>
    </w:p>
    <w:p w14:paraId="6C379C20" w14:textId="4F789BE3" w:rsidR="00B20C55" w:rsidRDefault="00B20C55"/>
    <w:p w14:paraId="610122D0" w14:textId="03A16D1E" w:rsidR="00B20C55" w:rsidRDefault="00B20C55"/>
    <w:p w14:paraId="62E3CC6C" w14:textId="582631BC" w:rsidR="00B20C55" w:rsidRDefault="00B20C55"/>
    <w:p w14:paraId="4C4EE5B8" w14:textId="4456BA0F" w:rsidR="00B20C55" w:rsidRDefault="00B20C55">
      <w:r>
        <w:t>Pinsent Masons,</w:t>
      </w:r>
      <w:r w:rsidR="008300AA">
        <w:t xml:space="preserve"> 02 November 2007,</w:t>
      </w:r>
      <w:r>
        <w:t xml:space="preserve"> </w:t>
      </w:r>
      <w:proofErr w:type="spellStart"/>
      <w:r w:rsidR="008300AA">
        <w:t>Loutchansky</w:t>
      </w:r>
      <w:proofErr w:type="spellEnd"/>
      <w:r w:rsidR="008300AA">
        <w:t xml:space="preserve"> v Times Newspapers, (Online) Available at: </w:t>
      </w:r>
      <w:hyperlink r:id="rId5" w:history="1">
        <w:r w:rsidR="008300AA" w:rsidRPr="00E8241F">
          <w:rPr>
            <w:rStyle w:val="Hyperlink"/>
          </w:rPr>
          <w:t>https://www.pinsentmasons.com/out-law/guides/loutchansky-v-times-newspapers</w:t>
        </w:r>
      </w:hyperlink>
    </w:p>
    <w:p w14:paraId="73061EEE" w14:textId="4E2CB567" w:rsidR="008300AA" w:rsidRDefault="008300AA"/>
    <w:p w14:paraId="24381619" w14:textId="16B48338" w:rsidR="008300AA" w:rsidRDefault="008300AA"/>
    <w:p w14:paraId="261AAF6C" w14:textId="68C87EED" w:rsidR="008300AA" w:rsidRDefault="008300AA"/>
    <w:p w14:paraId="6EBA28E1" w14:textId="727F6004" w:rsidR="008300AA" w:rsidRDefault="008300AA">
      <w:proofErr w:type="spellStart"/>
      <w:r>
        <w:t>Dunlavy</w:t>
      </w:r>
      <w:proofErr w:type="spellEnd"/>
      <w:r>
        <w:t xml:space="preserve"> A., A.D, and Stewart R., S.R, July/August 2012 Flood v Times Newspapers [2012]: is the Reynolds qualified privilege defence finally coming of age? (Online) Available at: </w:t>
      </w:r>
      <w:hyperlink r:id="rId6" w:history="1">
        <w:r w:rsidRPr="00E8241F">
          <w:rPr>
            <w:rStyle w:val="Hyperlink"/>
          </w:rPr>
          <w:t>https://www.inhouselawyer.co.uk/legal-briefing/flood-v-times-newspapers-2012-is-the-reynolds-qualified-privilege-defence-finally-coming-of-age/</w:t>
        </w:r>
      </w:hyperlink>
    </w:p>
    <w:p w14:paraId="5424D273" w14:textId="1B937FCD" w:rsidR="008300AA" w:rsidRDefault="008300AA"/>
    <w:p w14:paraId="049AA92D" w14:textId="3C58E4B0" w:rsidR="008300AA" w:rsidRDefault="008300AA"/>
    <w:p w14:paraId="3949F666" w14:textId="657E8550" w:rsidR="008300AA" w:rsidRDefault="008300AA"/>
    <w:p w14:paraId="41CD3B3C" w14:textId="6174E24E" w:rsidR="008300AA" w:rsidRDefault="008300AA">
      <w:r>
        <w:t xml:space="preserve">Government Legislation, 2 October 2000, Human rights Act 1998, (Online) Available at: </w:t>
      </w:r>
      <w:hyperlink r:id="rId7" w:history="1">
        <w:r w:rsidRPr="00E8241F">
          <w:rPr>
            <w:rStyle w:val="Hyperlink"/>
          </w:rPr>
          <w:t>https://www.legislation.gov.uk/ukpga/1998/42/schedule/1/part/I/chapter/9#:~:text=Article%2010%20Freedom%20of%20expression,authority%20and%20regardless%20of%20frontiers</w:t>
        </w:r>
      </w:hyperlink>
      <w:r w:rsidRPr="008300AA">
        <w:t>.</w:t>
      </w:r>
    </w:p>
    <w:p w14:paraId="732E9D33" w14:textId="5C1ABCAD" w:rsidR="008300AA" w:rsidRDefault="008300AA"/>
    <w:p w14:paraId="08C519BC" w14:textId="0C78EF75" w:rsidR="008300AA" w:rsidRDefault="008300AA"/>
    <w:p w14:paraId="16870AC9" w14:textId="55B58C19" w:rsidR="008300AA" w:rsidRDefault="008300AA"/>
    <w:p w14:paraId="30CC7512" w14:textId="0C008206" w:rsidR="008300AA" w:rsidRDefault="008300AA">
      <w:r>
        <w:t xml:space="preserve">Brett Wilson Media and Communications Law Blog, 6 December 2018, Economou v De Freitas: is a contributor to a matter of public interest now immune from suit (Online) Available at: </w:t>
      </w:r>
      <w:hyperlink r:id="rId8" w:history="1">
        <w:r w:rsidRPr="00E8241F">
          <w:rPr>
            <w:rStyle w:val="Hyperlink"/>
          </w:rPr>
          <w:t>https://www.brettwilson.co.uk/blog/economou-v-de-freitas-is-a-contributor-to-a-matter-of-public-interest-now-immune-from-suit/</w:t>
        </w:r>
      </w:hyperlink>
    </w:p>
    <w:p w14:paraId="7B8D4A2B" w14:textId="0A88C798" w:rsidR="008300AA" w:rsidRDefault="008300AA"/>
    <w:p w14:paraId="3C5DDA86" w14:textId="77777777" w:rsidR="008300AA" w:rsidRPr="008300AA" w:rsidRDefault="008300AA"/>
    <w:sectPr w:rsidR="008300AA" w:rsidRPr="008300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6554"/>
    <w:rsid w:val="00084DED"/>
    <w:rsid w:val="002F50B4"/>
    <w:rsid w:val="00327901"/>
    <w:rsid w:val="004532D5"/>
    <w:rsid w:val="0057257C"/>
    <w:rsid w:val="00582CC9"/>
    <w:rsid w:val="005E2A1B"/>
    <w:rsid w:val="006500B3"/>
    <w:rsid w:val="006511BB"/>
    <w:rsid w:val="0070066A"/>
    <w:rsid w:val="0072189A"/>
    <w:rsid w:val="00761A9B"/>
    <w:rsid w:val="0078621F"/>
    <w:rsid w:val="008300AA"/>
    <w:rsid w:val="00877B5A"/>
    <w:rsid w:val="00895563"/>
    <w:rsid w:val="00960691"/>
    <w:rsid w:val="00986554"/>
    <w:rsid w:val="009A67CD"/>
    <w:rsid w:val="009D1136"/>
    <w:rsid w:val="009E08F6"/>
    <w:rsid w:val="00AE31EC"/>
    <w:rsid w:val="00B20C55"/>
    <w:rsid w:val="00B30796"/>
    <w:rsid w:val="00B8589D"/>
    <w:rsid w:val="00BB1CCB"/>
    <w:rsid w:val="00BE04F7"/>
    <w:rsid w:val="00C75B07"/>
    <w:rsid w:val="00D33F3F"/>
    <w:rsid w:val="00D7416D"/>
    <w:rsid w:val="00DD3480"/>
    <w:rsid w:val="00F1727B"/>
    <w:rsid w:val="00F420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B891934"/>
  <w15:chartTrackingRefBased/>
  <w15:docId w15:val="{9C9BC327-5A00-0A41-A7E5-FB1F84EB58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20C55"/>
    <w:rPr>
      <w:color w:val="0563C1" w:themeColor="hyperlink"/>
      <w:u w:val="single"/>
    </w:rPr>
  </w:style>
  <w:style w:type="character" w:styleId="UnresolvedMention">
    <w:name w:val="Unresolved Mention"/>
    <w:basedOn w:val="DefaultParagraphFont"/>
    <w:uiPriority w:val="99"/>
    <w:semiHidden/>
    <w:unhideWhenUsed/>
    <w:rsid w:val="00B20C5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ettwilson.co.uk/blog/economou-v-de-freitas-is-a-contributor-to-a-matter-of-public-interest-now-immune-from-suit/" TargetMode="External"/><Relationship Id="rId3" Type="http://schemas.openxmlformats.org/officeDocument/2006/relationships/webSettings" Target="webSettings.xml"/><Relationship Id="rId7" Type="http://schemas.openxmlformats.org/officeDocument/2006/relationships/hyperlink" Target="https://www.legislation.gov.uk/ukpga/1998/42/schedule/1/part/I/chapter/9#:~:text=Article%2010%20Freedom%20of%20expression,authority%20and%20regardless%20of%20frontier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inhouselawyer.co.uk/legal-briefing/flood-v-times-newspapers-2012-is-the-reynolds-qualified-privilege-defence-finally-coming-of-age/" TargetMode="External"/><Relationship Id="rId5" Type="http://schemas.openxmlformats.org/officeDocument/2006/relationships/hyperlink" Target="https://www.pinsentmasons.com/out-law/guides/loutchansky-v-times-newspapers" TargetMode="External"/><Relationship Id="rId10" Type="http://schemas.openxmlformats.org/officeDocument/2006/relationships/theme" Target="theme/theme1.xml"/><Relationship Id="rId4" Type="http://schemas.openxmlformats.org/officeDocument/2006/relationships/hyperlink" Target="https://publications.parliament.uk/pa/ld199899/ldjudgmt/jd991028/rey01.htm"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361</TotalTime>
  <Pages>4</Pages>
  <Words>1919</Words>
  <Characters>10941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Kyran Woods (2006771)</dc:creator>
  <cp:keywords/>
  <dc:description/>
  <cp:lastModifiedBy>Kyran Woods (2006771)</cp:lastModifiedBy>
  <cp:revision>1</cp:revision>
  <dcterms:created xsi:type="dcterms:W3CDTF">2021-01-04T18:11:00Z</dcterms:created>
  <dcterms:modified xsi:type="dcterms:W3CDTF">2021-01-06T14:29:00Z</dcterms:modified>
</cp:coreProperties>
</file>