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4CF96E" w14:textId="25A994C3" w:rsidR="551D27F2" w:rsidRPr="00522E3F" w:rsidRDefault="551D27F2" w:rsidP="6AE15775">
      <w:pPr>
        <w:jc w:val="both"/>
        <w:rPr>
          <w:rFonts w:ascii="Calibri" w:eastAsia="Calibri" w:hAnsi="Calibri" w:cs="Calibri"/>
          <w:color w:val="000000" w:themeColor="text1"/>
        </w:rPr>
      </w:pPr>
      <w:r w:rsidRPr="00522E3F">
        <w:rPr>
          <w:rFonts w:ascii="Calibri" w:eastAsia="Calibri" w:hAnsi="Calibri" w:cs="Calibri"/>
          <w:color w:val="000000" w:themeColor="text1"/>
        </w:rPr>
        <w:t>Physical Literacy Course                       Reflections                        Word Count 2,552</w:t>
      </w:r>
    </w:p>
    <w:p w14:paraId="38B75229" w14:textId="00B6A705" w:rsidR="6AE15775" w:rsidRPr="00522E3F" w:rsidRDefault="6AE15775" w:rsidP="6AE15775">
      <w:pPr>
        <w:jc w:val="both"/>
        <w:rPr>
          <w:rFonts w:ascii="Calibri" w:eastAsia="Calibri" w:hAnsi="Calibri" w:cs="Calibri"/>
          <w:color w:val="000000" w:themeColor="text1"/>
        </w:rPr>
      </w:pPr>
    </w:p>
    <w:p w14:paraId="02322EC7" w14:textId="45EB54FD" w:rsidR="0013053B" w:rsidRPr="00522E3F" w:rsidRDefault="1C5BC87F" w:rsidP="6AE15775">
      <w:pPr>
        <w:jc w:val="both"/>
        <w:rPr>
          <w:rFonts w:ascii="Calibri" w:eastAsia="Calibri" w:hAnsi="Calibri" w:cs="Calibri"/>
          <w:color w:val="000000" w:themeColor="text1"/>
        </w:rPr>
      </w:pPr>
      <w:r w:rsidRPr="00522E3F">
        <w:rPr>
          <w:rFonts w:ascii="Calibri" w:eastAsia="Calibri" w:hAnsi="Calibri" w:cs="Calibri"/>
          <w:color w:val="000000" w:themeColor="text1"/>
        </w:rPr>
        <w:t xml:space="preserve">As a teacher experienced at KS2, in moving the Early Years I was eager to extend my knowledge as an early Years practitioner. These are my reflections following my experience participating in the Physical Literacy Course. </w:t>
      </w:r>
    </w:p>
    <w:p w14:paraId="641BCE34" w14:textId="7D46F818" w:rsidR="0013053B" w:rsidRPr="00522E3F" w:rsidRDefault="000715FA" w:rsidP="6AE15775">
      <w:pPr>
        <w:rPr>
          <w:color w:val="000000" w:themeColor="text1"/>
        </w:rPr>
      </w:pPr>
      <w:r w:rsidRPr="00522E3F">
        <w:rPr>
          <w:color w:val="000000" w:themeColor="text1"/>
        </w:rPr>
        <w:br/>
      </w:r>
    </w:p>
    <w:p w14:paraId="7999D305" w14:textId="56214DBB" w:rsidR="0013053B" w:rsidRPr="00522E3F" w:rsidRDefault="1C5BC87F" w:rsidP="6AE15775">
      <w:pPr>
        <w:jc w:val="both"/>
        <w:rPr>
          <w:color w:val="000000" w:themeColor="text1"/>
        </w:rPr>
      </w:pPr>
      <w:r w:rsidRPr="00522E3F">
        <w:rPr>
          <w:rFonts w:ascii="Calibri" w:eastAsia="Calibri" w:hAnsi="Calibri" w:cs="Calibri"/>
          <w:color w:val="000000" w:themeColor="text1"/>
        </w:rPr>
        <w:t xml:space="preserve">My school is located at the west of Swansea. As a </w:t>
      </w:r>
      <w:r w:rsidR="00522E3F" w:rsidRPr="00522E3F">
        <w:rPr>
          <w:rFonts w:ascii="Calibri" w:eastAsia="Calibri" w:hAnsi="Calibri" w:cs="Calibri"/>
          <w:color w:val="000000" w:themeColor="text1"/>
        </w:rPr>
        <w:t>to</w:t>
      </w:r>
      <w:r w:rsidR="00522E3F" w:rsidRPr="00522E3F">
        <w:rPr>
          <w:rFonts w:ascii="Calibri" w:eastAsia="Calibri" w:hAnsi="Calibri" w:cs="Calibri"/>
          <w:color w:val="000000" w:themeColor="text1"/>
        </w:rPr>
        <w:t xml:space="preserve"> </w:t>
      </w:r>
      <w:r w:rsidRPr="00522E3F">
        <w:rPr>
          <w:rFonts w:ascii="Calibri" w:eastAsia="Calibri" w:hAnsi="Calibri" w:cs="Calibri"/>
          <w:color w:val="000000" w:themeColor="text1"/>
        </w:rPr>
        <w:t xml:space="preserve">Welsh Medium primary, the catchment is large, extending from Gowerton to Townhill. There are </w:t>
      </w:r>
      <w:r w:rsidR="7CD302C8" w:rsidRPr="00522E3F">
        <w:rPr>
          <w:rFonts w:ascii="Calibri" w:eastAsia="Calibri" w:hAnsi="Calibri" w:cs="Calibri"/>
          <w:color w:val="000000" w:themeColor="text1"/>
        </w:rPr>
        <w:t xml:space="preserve">aprox </w:t>
      </w:r>
      <w:r w:rsidRPr="00522E3F">
        <w:rPr>
          <w:rFonts w:ascii="Calibri" w:eastAsia="Calibri" w:hAnsi="Calibri" w:cs="Calibri"/>
          <w:color w:val="000000" w:themeColor="text1"/>
        </w:rPr>
        <w:t xml:space="preserve">250 pupils on roll, our free school meals percentage is just below the national average. We have a small number of families who require additional family support. Goodway and Branta (2003) in their report discuss the developmental delays in FMS development that disadvantaged children may experience. </w:t>
      </w:r>
      <w:r w:rsidR="000715FA" w:rsidRPr="00522E3F">
        <w:rPr>
          <w:color w:val="000000" w:themeColor="text1"/>
        </w:rPr>
        <w:br/>
      </w:r>
    </w:p>
    <w:p w14:paraId="04C0BE69" w14:textId="046C1756" w:rsidR="0013053B" w:rsidRPr="00522E3F" w:rsidRDefault="1C5BC87F" w:rsidP="6AE15775">
      <w:pPr>
        <w:jc w:val="both"/>
        <w:rPr>
          <w:rFonts w:ascii="Calibri" w:eastAsia="Calibri" w:hAnsi="Calibri" w:cs="Calibri"/>
          <w:color w:val="000000" w:themeColor="text1"/>
        </w:rPr>
      </w:pPr>
      <w:r w:rsidRPr="00522E3F">
        <w:rPr>
          <w:rFonts w:ascii="Calibri" w:eastAsia="Calibri" w:hAnsi="Calibri" w:cs="Calibri"/>
          <w:color w:val="000000" w:themeColor="text1"/>
        </w:rPr>
        <w:t xml:space="preserve">There are 27 pupils in the morning Nursery class. Just over half of the September intake had previously attended the afternoon Nursery session, for the others, this was their first experience of a Nursery type-setting, away from main caregivers. At this crucial period in their development, challenges following COVID are very evident in the Nursery this year. Several pupils new to the school have found settling into the classroom routine a significant challenge. When speaking to their parents, it became clear that these pupils had rarely been away from main caregivers and some had spent extraordinarily little time with other adults, even grandparents. The restrictions experienced during the COVID period limited children’s play to the home and people they live with. The following observation by McArthur illustrates the impacts of reduced interactions as a result on COVID restrictions upon the development of young children: </w:t>
      </w:r>
    </w:p>
    <w:p w14:paraId="79972584" w14:textId="6087283C" w:rsidR="0013053B" w:rsidRPr="00522E3F" w:rsidRDefault="000715FA" w:rsidP="6AE15775">
      <w:pPr>
        <w:rPr>
          <w:color w:val="000000" w:themeColor="text1"/>
        </w:rPr>
      </w:pPr>
      <w:r w:rsidRPr="00522E3F">
        <w:rPr>
          <w:color w:val="000000" w:themeColor="text1"/>
        </w:rPr>
        <w:br/>
      </w:r>
    </w:p>
    <w:p w14:paraId="17588831" w14:textId="00867129" w:rsidR="0013053B" w:rsidRPr="00522E3F" w:rsidRDefault="1C5BC87F" w:rsidP="6AE15775">
      <w:pPr>
        <w:jc w:val="both"/>
        <w:rPr>
          <w:rFonts w:ascii="Calibri" w:eastAsia="Calibri" w:hAnsi="Calibri" w:cs="Calibri"/>
          <w:i/>
          <w:iCs/>
          <w:color w:val="000000" w:themeColor="text1"/>
        </w:rPr>
      </w:pPr>
      <w:r w:rsidRPr="00522E3F">
        <w:rPr>
          <w:rFonts w:ascii="Calibri" w:eastAsia="Calibri" w:hAnsi="Calibri" w:cs="Calibri"/>
          <w:color w:val="000000" w:themeColor="text1"/>
        </w:rPr>
        <w:t>“Y</w:t>
      </w:r>
      <w:r w:rsidRPr="00522E3F">
        <w:rPr>
          <w:rFonts w:ascii="Calibri" w:eastAsia="Calibri" w:hAnsi="Calibri" w:cs="Calibri"/>
          <w:i/>
          <w:iCs/>
          <w:color w:val="000000" w:themeColor="text1"/>
        </w:rPr>
        <w:t xml:space="preserve">oung children usually experience a variety of environments such as contact with family and friends, toddler groups, nursery, play parks, soft play, swimming pools and libraries which promote cognitive, physical and social development [...] there had been reduced opportunity to develop fundamental skills required for playing and learning. This included movement skills such as hand strength to grip and control a spoon or crayon, and body awareness and balance for negotiating stairs, climbing, and jumping”. </w:t>
      </w:r>
    </w:p>
    <w:p w14:paraId="047671FA" w14:textId="73FCDCCB" w:rsidR="0013053B" w:rsidRPr="00522E3F" w:rsidRDefault="1C5BC87F" w:rsidP="6AE15775">
      <w:pPr>
        <w:jc w:val="both"/>
        <w:rPr>
          <w:rFonts w:ascii="Calibri" w:eastAsia="Calibri" w:hAnsi="Calibri" w:cs="Calibri"/>
          <w:color w:val="000000" w:themeColor="text1"/>
        </w:rPr>
      </w:pPr>
      <w:r w:rsidRPr="00522E3F">
        <w:rPr>
          <w:rFonts w:ascii="Calibri" w:eastAsia="Calibri" w:hAnsi="Calibri" w:cs="Calibri"/>
          <w:i/>
          <w:iCs/>
          <w:color w:val="000000" w:themeColor="text1"/>
        </w:rPr>
        <w:t>(McArthur, 2021)</w:t>
      </w:r>
      <w:r w:rsidRPr="00522E3F">
        <w:rPr>
          <w:rFonts w:ascii="Calibri" w:eastAsia="Calibri" w:hAnsi="Calibri" w:cs="Calibri"/>
          <w:color w:val="000000" w:themeColor="text1"/>
        </w:rPr>
        <w:t xml:space="preserve"> </w:t>
      </w:r>
    </w:p>
    <w:p w14:paraId="2BEB4021" w14:textId="128DE033" w:rsidR="0013053B" w:rsidRPr="00522E3F" w:rsidRDefault="000715FA" w:rsidP="6AE15775">
      <w:pPr>
        <w:rPr>
          <w:color w:val="000000" w:themeColor="text1"/>
        </w:rPr>
      </w:pPr>
      <w:r w:rsidRPr="00522E3F">
        <w:rPr>
          <w:color w:val="000000" w:themeColor="text1"/>
        </w:rPr>
        <w:br/>
      </w:r>
    </w:p>
    <w:p w14:paraId="5AB20EC2" w14:textId="20D56A87" w:rsidR="0013053B" w:rsidRPr="00522E3F" w:rsidRDefault="1C5BC87F" w:rsidP="6AE15775">
      <w:pPr>
        <w:jc w:val="both"/>
        <w:rPr>
          <w:rFonts w:ascii="Calibri" w:eastAsia="Calibri" w:hAnsi="Calibri" w:cs="Calibri"/>
          <w:color w:val="000000" w:themeColor="text1"/>
        </w:rPr>
      </w:pPr>
      <w:r w:rsidRPr="00522E3F">
        <w:rPr>
          <w:rFonts w:ascii="Calibri" w:eastAsia="Calibri" w:hAnsi="Calibri" w:cs="Calibri"/>
          <w:color w:val="000000" w:themeColor="text1"/>
        </w:rPr>
        <w:t xml:space="preserve">Covid restrictions on play have limited access to opportunities that allow both physical and emotional development and within this year's Nursery setting, the impact of the lack of pupil’s social interactions was immediately clear. Pupils arriving in school, being left for the first time in several cases in the care of unfamiliar adults were very emotional as a </w:t>
      </w:r>
      <w:r w:rsidR="7518F988" w:rsidRPr="00522E3F">
        <w:rPr>
          <w:rFonts w:ascii="Calibri" w:eastAsia="Calibri" w:hAnsi="Calibri" w:cs="Calibri"/>
          <w:color w:val="000000" w:themeColor="text1"/>
        </w:rPr>
        <w:t>result.</w:t>
      </w:r>
      <w:r w:rsidRPr="00522E3F">
        <w:rPr>
          <w:rFonts w:ascii="Calibri" w:eastAsia="Calibri" w:hAnsi="Calibri" w:cs="Calibri"/>
          <w:color w:val="000000" w:themeColor="text1"/>
        </w:rPr>
        <w:t xml:space="preserve"> Managing this situation was difficult, and gradual attempts were made to encourage pupils to feel increasingly secure within their unfamiliar environment. The lack of social interaction for many within this cohort also produced extra </w:t>
      </w:r>
      <w:r w:rsidR="2D27D10D" w:rsidRPr="00522E3F">
        <w:rPr>
          <w:rFonts w:ascii="Calibri" w:eastAsia="Calibri" w:hAnsi="Calibri" w:cs="Calibri"/>
          <w:color w:val="000000" w:themeColor="text1"/>
        </w:rPr>
        <w:t>challenges as</w:t>
      </w:r>
      <w:r w:rsidRPr="00522E3F">
        <w:rPr>
          <w:rFonts w:ascii="Calibri" w:eastAsia="Calibri" w:hAnsi="Calibri" w:cs="Calibri"/>
          <w:color w:val="000000" w:themeColor="text1"/>
        </w:rPr>
        <w:t xml:space="preserve"> </w:t>
      </w:r>
      <w:r w:rsidRPr="00522E3F">
        <w:rPr>
          <w:rFonts w:ascii="Calibri" w:eastAsia="Calibri" w:hAnsi="Calibri" w:cs="Calibri"/>
          <w:i/>
          <w:iCs/>
          <w:color w:val="000000" w:themeColor="text1"/>
        </w:rPr>
        <w:t xml:space="preserve">“Most of the activity in the first 7 years of life is part of one process: the process of organising the nervous system” (Ayres, 2005). </w:t>
      </w:r>
      <w:r w:rsidRPr="00522E3F">
        <w:rPr>
          <w:rFonts w:ascii="Calibri" w:eastAsia="Calibri" w:hAnsi="Calibri" w:cs="Calibri"/>
          <w:color w:val="000000" w:themeColor="text1"/>
        </w:rPr>
        <w:t xml:space="preserve"> </w:t>
      </w:r>
    </w:p>
    <w:p w14:paraId="41845E4B" w14:textId="2DE59B6C" w:rsidR="0013053B" w:rsidRPr="00522E3F" w:rsidRDefault="000715FA" w:rsidP="6AE15775">
      <w:pPr>
        <w:rPr>
          <w:color w:val="000000" w:themeColor="text1"/>
        </w:rPr>
      </w:pPr>
      <w:r w:rsidRPr="00522E3F">
        <w:rPr>
          <w:color w:val="000000" w:themeColor="text1"/>
        </w:rPr>
        <w:lastRenderedPageBreak/>
        <w:br/>
      </w:r>
      <w:r w:rsidRPr="00522E3F">
        <w:rPr>
          <w:color w:val="000000" w:themeColor="text1"/>
        </w:rPr>
        <w:br/>
      </w:r>
      <w:r w:rsidRPr="00522E3F">
        <w:rPr>
          <w:color w:val="000000" w:themeColor="text1"/>
        </w:rPr>
        <w:br/>
      </w:r>
      <w:r w:rsidRPr="00522E3F">
        <w:rPr>
          <w:color w:val="000000" w:themeColor="text1"/>
        </w:rPr>
        <w:br/>
      </w:r>
    </w:p>
    <w:p w14:paraId="5E800479" w14:textId="7B6516B0" w:rsidR="0013053B" w:rsidRPr="00522E3F" w:rsidRDefault="1C5BC87F" w:rsidP="6AE15775">
      <w:pPr>
        <w:jc w:val="both"/>
        <w:rPr>
          <w:rFonts w:ascii="Calibri" w:eastAsia="Calibri" w:hAnsi="Calibri" w:cs="Calibri"/>
          <w:color w:val="000000" w:themeColor="text1"/>
        </w:rPr>
      </w:pPr>
      <w:r w:rsidRPr="00522E3F">
        <w:rPr>
          <w:rFonts w:ascii="Calibri" w:eastAsia="Calibri" w:hAnsi="Calibri" w:cs="Calibri"/>
          <w:color w:val="000000" w:themeColor="text1"/>
        </w:rPr>
        <w:t xml:space="preserve">Self-care has been an area that staff have spent time developing. Several pupils attend nursery wearing training pants or are currently going through the process of toilet training. Simple tasks such as removing or putting on a coat independently were tasks that proved to be difficult. Several pupils had arrived without these extremely basic skills and extraordinarily little, if any, independence. The fine motor skills needed for gripping crayons was noticeably weak in many pupils, and many hand strengthening activities to promote the lack of fine motor skills have been a priority. ‘...crayons, zippers, buttons...each task requires all the sensory information that has been stored in the brain during earlier activities’ (Ayres, 2005). </w:t>
      </w:r>
    </w:p>
    <w:p w14:paraId="496275B2" w14:textId="11FC7ECE" w:rsidR="0013053B" w:rsidRPr="00522E3F" w:rsidRDefault="1C5BC87F" w:rsidP="6AE15775">
      <w:pPr>
        <w:rPr>
          <w:rFonts w:ascii="Calibri" w:eastAsia="Calibri" w:hAnsi="Calibri" w:cs="Calibri"/>
          <w:color w:val="000000" w:themeColor="text1"/>
        </w:rPr>
      </w:pPr>
      <w:r w:rsidRPr="00522E3F">
        <w:rPr>
          <w:rFonts w:ascii="Calibri" w:eastAsia="Calibri" w:hAnsi="Calibri" w:cs="Calibri"/>
          <w:color w:val="000000" w:themeColor="text1"/>
        </w:rPr>
        <w:t xml:space="preserve"> </w:t>
      </w:r>
    </w:p>
    <w:p w14:paraId="1BE02421" w14:textId="43FA5973" w:rsidR="0013053B" w:rsidRPr="00522E3F" w:rsidRDefault="1C5BC87F" w:rsidP="6AE15775">
      <w:pPr>
        <w:rPr>
          <w:rFonts w:ascii="Calibri" w:eastAsia="Calibri" w:hAnsi="Calibri" w:cs="Calibri"/>
          <w:color w:val="000000" w:themeColor="text1"/>
        </w:rPr>
      </w:pPr>
      <w:r w:rsidRPr="00522E3F">
        <w:rPr>
          <w:rFonts w:ascii="Calibri" w:eastAsia="Calibri" w:hAnsi="Calibri" w:cs="Calibri"/>
          <w:color w:val="000000" w:themeColor="text1"/>
        </w:rPr>
        <w:t xml:space="preserve"> </w:t>
      </w:r>
    </w:p>
    <w:p w14:paraId="0B48BAD2" w14:textId="3B375D1B" w:rsidR="0013053B" w:rsidRPr="00522E3F" w:rsidRDefault="1C5BC87F" w:rsidP="6AE15775">
      <w:pPr>
        <w:rPr>
          <w:rFonts w:ascii="Calibri" w:eastAsia="Calibri" w:hAnsi="Calibri" w:cs="Calibri"/>
          <w:color w:val="000000" w:themeColor="text1"/>
        </w:rPr>
      </w:pPr>
      <w:r w:rsidRPr="00522E3F">
        <w:rPr>
          <w:rFonts w:ascii="Calibri" w:eastAsia="Calibri" w:hAnsi="Calibri" w:cs="Calibri"/>
          <w:b/>
          <w:bCs/>
          <w:color w:val="000000" w:themeColor="text1"/>
        </w:rPr>
        <w:t xml:space="preserve">Day 1  </w:t>
      </w:r>
      <w:r w:rsidRPr="00522E3F">
        <w:rPr>
          <w:rFonts w:ascii="Calibri" w:eastAsia="Calibri" w:hAnsi="Calibri" w:cs="Calibri"/>
          <w:color w:val="000000" w:themeColor="text1"/>
        </w:rPr>
        <w:t xml:space="preserve"> </w:t>
      </w:r>
    </w:p>
    <w:p w14:paraId="1F9BE387" w14:textId="0BA2A2DC" w:rsidR="0013053B" w:rsidRPr="00522E3F" w:rsidRDefault="1C5BC87F" w:rsidP="6AE15775">
      <w:pPr>
        <w:rPr>
          <w:rFonts w:ascii="Calibri" w:eastAsia="Calibri" w:hAnsi="Calibri" w:cs="Calibri"/>
          <w:color w:val="000000" w:themeColor="text1"/>
        </w:rPr>
      </w:pPr>
      <w:r w:rsidRPr="00522E3F">
        <w:rPr>
          <w:rFonts w:ascii="Calibri" w:eastAsia="Calibri" w:hAnsi="Calibri" w:cs="Calibri"/>
          <w:color w:val="000000" w:themeColor="text1"/>
        </w:rPr>
        <w:t xml:space="preserve">Initially, the pupils' listening skills within the classroom were poor, their ability to respond to and follow instructions extremely limited, this was also true in the hall setting. I was aiming for whole class sessions with one pupil needing complete 1 to 1 supervision, a second pupil also needing support, leaving me to focus on the remaining 25. Developing the pupils' use of space within the hall was the first challenge, to use the space safely. Having the full class of 27 participating was in hindsight overambitious but done through necessity. </w:t>
      </w:r>
    </w:p>
    <w:p w14:paraId="650385E5" w14:textId="166544F8" w:rsidR="0013053B" w:rsidRPr="00522E3F" w:rsidRDefault="000715FA" w:rsidP="6AE15775">
      <w:pPr>
        <w:rPr>
          <w:color w:val="000000" w:themeColor="text1"/>
        </w:rPr>
      </w:pPr>
      <w:r w:rsidRPr="00522E3F">
        <w:rPr>
          <w:color w:val="000000" w:themeColor="text1"/>
        </w:rPr>
        <w:br/>
      </w:r>
    </w:p>
    <w:p w14:paraId="5BFFDC67" w14:textId="0A92EE79" w:rsidR="0013053B" w:rsidRPr="00522E3F" w:rsidRDefault="1C5BC87F" w:rsidP="6AE15775">
      <w:pPr>
        <w:rPr>
          <w:rFonts w:ascii="Calibri" w:eastAsia="Calibri" w:hAnsi="Calibri" w:cs="Calibri"/>
          <w:color w:val="000000" w:themeColor="text1"/>
        </w:rPr>
      </w:pPr>
      <w:r w:rsidRPr="00522E3F">
        <w:rPr>
          <w:rFonts w:ascii="Calibri" w:eastAsia="Calibri" w:hAnsi="Calibri" w:cs="Calibri"/>
          <w:color w:val="000000" w:themeColor="text1"/>
        </w:rPr>
        <w:t>Our early movement sessions were designed to develop locomotor skills  ‘</w:t>
      </w:r>
      <w:r w:rsidRPr="00522E3F">
        <w:rPr>
          <w:rFonts w:ascii="Calibri" w:eastAsia="Calibri" w:hAnsi="Calibri" w:cs="Calibri"/>
          <w:i/>
          <w:iCs/>
          <w:color w:val="000000" w:themeColor="text1"/>
        </w:rPr>
        <w:t>Locomotor skills are the movement of the body through space and include walking, running, jumping, galloping, climbing, descending, sliding</w:t>
      </w:r>
      <w:r w:rsidR="15586A9B" w:rsidRPr="00522E3F">
        <w:rPr>
          <w:rFonts w:ascii="Calibri" w:eastAsia="Calibri" w:hAnsi="Calibri" w:cs="Calibri"/>
          <w:i/>
          <w:iCs/>
          <w:color w:val="000000" w:themeColor="text1"/>
        </w:rPr>
        <w:t>...,</w:t>
      </w:r>
      <w:r w:rsidRPr="00522E3F">
        <w:rPr>
          <w:rFonts w:ascii="Calibri" w:eastAsia="Calibri" w:hAnsi="Calibri" w:cs="Calibri"/>
          <w:i/>
          <w:iCs/>
          <w:color w:val="000000" w:themeColor="text1"/>
        </w:rPr>
        <w:t xml:space="preserve"> (Haywood &amp; Getchell, 2020) </w:t>
      </w:r>
      <w:r w:rsidRPr="00522E3F">
        <w:rPr>
          <w:rFonts w:ascii="Calibri" w:eastAsia="Calibri" w:hAnsi="Calibri" w:cs="Calibri"/>
          <w:color w:val="000000" w:themeColor="text1"/>
        </w:rPr>
        <w:t xml:space="preserve">My aim within the movement sessions was to encourage the pupils to move and to explore, also to introduce distinct types of movement. </w:t>
      </w:r>
      <w:r w:rsidRPr="00522E3F">
        <w:rPr>
          <w:rFonts w:ascii="Calibri" w:eastAsia="Calibri" w:hAnsi="Calibri" w:cs="Calibri"/>
          <w:i/>
          <w:iCs/>
          <w:color w:val="000000" w:themeColor="text1"/>
        </w:rPr>
        <w:t xml:space="preserve">‘Because movement of young children is seen to be part and parcel of their everyday lives the danger is that it can be taken for granted and overlooked in terms of it’s importance’ (Davies, 2003) </w:t>
      </w:r>
      <w:r w:rsidRPr="00522E3F">
        <w:rPr>
          <w:rFonts w:ascii="Calibri" w:eastAsia="Calibri" w:hAnsi="Calibri" w:cs="Calibri"/>
          <w:color w:val="000000" w:themeColor="text1"/>
        </w:rPr>
        <w:t xml:space="preserve">As Davies explores in her book, the integration of movement is the relationship between dynamics, space and relationships, allowing children to become increasingly competent in a variety of movement situations, it is vial therefore that as practitioners, we give those opportunities within the Early Years setting. </w:t>
      </w:r>
    </w:p>
    <w:p w14:paraId="728694A2" w14:textId="1E35CAD9" w:rsidR="0013053B" w:rsidRPr="00522E3F" w:rsidRDefault="000715FA" w:rsidP="6AE15775">
      <w:pPr>
        <w:rPr>
          <w:color w:val="000000" w:themeColor="text1"/>
        </w:rPr>
      </w:pPr>
      <w:r w:rsidRPr="00522E3F">
        <w:rPr>
          <w:color w:val="000000" w:themeColor="text1"/>
        </w:rPr>
        <w:br/>
      </w:r>
    </w:p>
    <w:p w14:paraId="6C109FE8" w14:textId="4D07A4B7" w:rsidR="0013053B" w:rsidRPr="00522E3F" w:rsidRDefault="1C5BC87F" w:rsidP="6AE15775">
      <w:pPr>
        <w:rPr>
          <w:rFonts w:ascii="Calibri" w:eastAsia="Calibri" w:hAnsi="Calibri" w:cs="Calibri"/>
          <w:color w:val="000000" w:themeColor="text1"/>
        </w:rPr>
      </w:pPr>
      <w:r w:rsidRPr="00522E3F">
        <w:rPr>
          <w:rFonts w:ascii="Calibri" w:eastAsia="Calibri" w:hAnsi="Calibri" w:cs="Calibri"/>
          <w:color w:val="000000" w:themeColor="text1"/>
        </w:rPr>
        <w:t>Day 1 had alerted me to the elements needed to include in our movement sessions, to ensure variety and different experiences. Using the ‘Dawnsio Gyda Tedi’ CD from Mydiad Ysgolion Meithrin with its use of purposeful music, gave the sessions focus. The variety of locomotor skills developed within the activity gave pupils the experience of walking, running, jumping, skipping as well responding softly or with more force, for example marching. The music allowed an extra dimension to the session as “</w:t>
      </w:r>
      <w:r w:rsidRPr="00522E3F">
        <w:rPr>
          <w:rFonts w:ascii="Calibri" w:eastAsia="Calibri" w:hAnsi="Calibri" w:cs="Calibri"/>
          <w:i/>
          <w:iCs/>
          <w:color w:val="000000" w:themeColor="text1"/>
        </w:rPr>
        <w:t xml:space="preserve">Sometimes specific actions require particular rhythmic and dynamic difference.... a </w:t>
      </w:r>
      <w:r w:rsidRPr="00522E3F">
        <w:rPr>
          <w:rFonts w:ascii="Calibri" w:eastAsia="Calibri" w:hAnsi="Calibri" w:cs="Calibri"/>
          <w:i/>
          <w:iCs/>
          <w:color w:val="000000" w:themeColor="text1"/>
        </w:rPr>
        <w:lastRenderedPageBreak/>
        <w:t>range that needs stimulating, supporting and nurturing throughout the primary years” (Davies, 2003).</w:t>
      </w:r>
      <w:r w:rsidRPr="00522E3F">
        <w:rPr>
          <w:rFonts w:ascii="Calibri" w:eastAsia="Calibri" w:hAnsi="Calibri" w:cs="Calibri"/>
          <w:color w:val="000000" w:themeColor="text1"/>
        </w:rPr>
        <w:t xml:space="preserve"> </w:t>
      </w:r>
    </w:p>
    <w:p w14:paraId="4B9436C0" w14:textId="34B58BCE" w:rsidR="0013053B" w:rsidRPr="00522E3F" w:rsidRDefault="000715FA" w:rsidP="6AE15775">
      <w:pPr>
        <w:rPr>
          <w:color w:val="000000" w:themeColor="text1"/>
        </w:rPr>
      </w:pPr>
      <w:r w:rsidRPr="00522E3F">
        <w:rPr>
          <w:color w:val="000000" w:themeColor="text1"/>
        </w:rPr>
        <w:br/>
      </w:r>
    </w:p>
    <w:p w14:paraId="6A3FFFF3" w14:textId="1F6FCC93" w:rsidR="0013053B" w:rsidRPr="00522E3F" w:rsidRDefault="1C5BC87F" w:rsidP="6AE15775">
      <w:pPr>
        <w:rPr>
          <w:rFonts w:ascii="Calibri" w:eastAsia="Calibri" w:hAnsi="Calibri" w:cs="Calibri"/>
          <w:color w:val="000000" w:themeColor="text1"/>
        </w:rPr>
      </w:pPr>
      <w:r w:rsidRPr="00522E3F">
        <w:rPr>
          <w:rFonts w:ascii="Calibri" w:eastAsia="Calibri" w:hAnsi="Calibri" w:cs="Calibri"/>
          <w:color w:val="000000" w:themeColor="text1"/>
        </w:rPr>
        <w:t xml:space="preserve">There remained the issue of keeping the pupils apart and moving safely, helping them to use the hall space. Having been on Day 1 of the course, I was made aware of Poly Spots which have been an incredible addition to our sessions. Setting out the spots, pre-session, has allowed us to begin in an ordered way. The pupils walk towards a spot of their choice, or I may ask them individually as they enter the hall walk towards a particular colour, which has made such a positive difference. Initially, pupils were picking up the spots and moving them, or becoming upset when a particular colour was not free. We persevered and they have become an integral part of warm up activities. Standing on the spot, taking a step forwards, backwards, walking around or running around the spots, balances on the spots etc. These were a reset for whole class hall sessions (the other 2 pupils were supervised, allowed free movement in a safe way).  </w:t>
      </w:r>
    </w:p>
    <w:p w14:paraId="50708FBF" w14:textId="1EB969BD" w:rsidR="0013053B" w:rsidRPr="00522E3F" w:rsidRDefault="000715FA" w:rsidP="6AE15775">
      <w:pPr>
        <w:rPr>
          <w:color w:val="000000" w:themeColor="text1"/>
        </w:rPr>
      </w:pPr>
      <w:r w:rsidRPr="00522E3F">
        <w:rPr>
          <w:color w:val="000000" w:themeColor="text1"/>
        </w:rPr>
        <w:br/>
      </w:r>
    </w:p>
    <w:p w14:paraId="2D4DFD5D" w14:textId="48DCB6EB" w:rsidR="0013053B" w:rsidRPr="00522E3F" w:rsidRDefault="1C5BC87F" w:rsidP="6AE15775">
      <w:pPr>
        <w:rPr>
          <w:rFonts w:ascii="Calibri" w:eastAsia="Calibri" w:hAnsi="Calibri" w:cs="Calibri"/>
          <w:i/>
          <w:iCs/>
          <w:color w:val="000000" w:themeColor="text1"/>
        </w:rPr>
      </w:pPr>
      <w:r w:rsidRPr="00522E3F">
        <w:rPr>
          <w:rFonts w:ascii="Calibri" w:eastAsia="Calibri" w:hAnsi="Calibri" w:cs="Calibri"/>
          <w:color w:val="000000" w:themeColor="text1"/>
        </w:rPr>
        <w:t xml:space="preserve">Day 1 had increased my awareness of these movement opportunities within the early primary setting and their influence on the pupil's ability to develop motor competence. I was careful to model the movements pupils enjoyed the familiarity of the repetition and proficiency when jumping, running, or marching/walking lightly was improved. Pupils who had only walked were beginning to add other movements. Pupils began to show variety in their movements, longer steps, shorter heavy or light steps becoming increasingly aware of the differences. When pupils showed great technique in their movement, I would ask them to model for the others; ‘Look how well...is...’ Gallahue et al state that </w:t>
      </w:r>
      <w:r w:rsidRPr="00522E3F">
        <w:rPr>
          <w:rFonts w:ascii="Calibri" w:eastAsia="Calibri" w:hAnsi="Calibri" w:cs="Calibri"/>
          <w:i/>
          <w:iCs/>
          <w:color w:val="000000" w:themeColor="text1"/>
        </w:rPr>
        <w:t xml:space="preserve">“Developing basic competence in locomotive skills is essential for the engagement in meaningful physical activity for health and to move effectively in various games, and dances.”  (Gallahue et al., 2012). </w:t>
      </w:r>
    </w:p>
    <w:p w14:paraId="7AFC19BD" w14:textId="27A77CFE" w:rsidR="0013053B" w:rsidRPr="00522E3F" w:rsidRDefault="000715FA" w:rsidP="6AE15775">
      <w:pPr>
        <w:rPr>
          <w:color w:val="000000" w:themeColor="text1"/>
        </w:rPr>
      </w:pPr>
      <w:r w:rsidRPr="00522E3F">
        <w:rPr>
          <w:color w:val="000000" w:themeColor="text1"/>
        </w:rPr>
        <w:br/>
      </w:r>
    </w:p>
    <w:p w14:paraId="664C13A3" w14:textId="43CBF273" w:rsidR="0013053B" w:rsidRPr="00522E3F" w:rsidRDefault="1C5BC87F" w:rsidP="6AE15775">
      <w:pPr>
        <w:rPr>
          <w:rFonts w:ascii="Calibri" w:eastAsia="Calibri" w:hAnsi="Calibri" w:cs="Calibri"/>
          <w:color w:val="000000" w:themeColor="text1"/>
        </w:rPr>
      </w:pPr>
      <w:r w:rsidRPr="00522E3F">
        <w:rPr>
          <w:rFonts w:ascii="Calibri" w:eastAsia="Calibri" w:hAnsi="Calibri" w:cs="Calibri"/>
          <w:color w:val="000000" w:themeColor="text1"/>
        </w:rPr>
        <w:t xml:space="preserve">Ordered and calm sessions were more focused as we consistently returned to a spot, allowing the safe use of space whilst simultaneously reinforcing the need to listen and respond to commands. Using familiar commands as well as the spots had a positive effect, the familiarity of the commands allowed the pupils to easily understand and was a fantastic way to reinforce Welsh vocabulary. Repetition is key for language acquisition, also the repetition movement skills.  </w:t>
      </w:r>
      <w:r w:rsidRPr="00522E3F">
        <w:rPr>
          <w:rFonts w:ascii="Calibri" w:eastAsia="Calibri" w:hAnsi="Calibri" w:cs="Calibri"/>
          <w:i/>
          <w:iCs/>
          <w:color w:val="000000" w:themeColor="text1"/>
        </w:rPr>
        <w:t>Locomotor movement activities help to develop spatial awareness, balance, coordination of the larger limbs, visual-spatial awareness and the more they are done the more pathways the brain will make to accommodate the muscle memory learning (Belrose, n.d. )</w:t>
      </w:r>
      <w:r w:rsidRPr="00522E3F">
        <w:rPr>
          <w:rFonts w:ascii="Calibri" w:eastAsia="Calibri" w:hAnsi="Calibri" w:cs="Calibri"/>
          <w:color w:val="000000" w:themeColor="text1"/>
        </w:rPr>
        <w:t xml:space="preserve"> </w:t>
      </w:r>
    </w:p>
    <w:p w14:paraId="66671157" w14:textId="5C76E2FF" w:rsidR="0013053B" w:rsidRPr="00522E3F" w:rsidRDefault="1C5BC87F" w:rsidP="6AE15775">
      <w:pPr>
        <w:rPr>
          <w:rFonts w:ascii="Calibri" w:eastAsia="Calibri" w:hAnsi="Calibri" w:cs="Calibri"/>
          <w:color w:val="000000" w:themeColor="text1"/>
        </w:rPr>
      </w:pPr>
      <w:r w:rsidRPr="00522E3F">
        <w:rPr>
          <w:rFonts w:ascii="Calibri" w:eastAsia="Calibri" w:hAnsi="Calibri" w:cs="Calibri"/>
          <w:color w:val="000000" w:themeColor="text1"/>
        </w:rPr>
        <w:t xml:space="preserve"> </w:t>
      </w:r>
    </w:p>
    <w:p w14:paraId="5A2DD26D" w14:textId="078763C1" w:rsidR="0013053B" w:rsidRPr="00522E3F" w:rsidRDefault="1C5BC87F" w:rsidP="6AE15775">
      <w:pPr>
        <w:rPr>
          <w:rFonts w:ascii="Calibri" w:eastAsia="Calibri" w:hAnsi="Calibri" w:cs="Calibri"/>
          <w:color w:val="000000" w:themeColor="text1"/>
        </w:rPr>
      </w:pPr>
      <w:r w:rsidRPr="00522E3F">
        <w:rPr>
          <w:rFonts w:ascii="Calibri" w:eastAsia="Calibri" w:hAnsi="Calibri" w:cs="Calibri"/>
          <w:b/>
          <w:bCs/>
          <w:i/>
          <w:iCs/>
          <w:color w:val="000000" w:themeColor="text1"/>
        </w:rPr>
        <w:t xml:space="preserve">Day 2 </w:t>
      </w:r>
      <w:r w:rsidRPr="00522E3F">
        <w:rPr>
          <w:rFonts w:ascii="Calibri" w:eastAsia="Calibri" w:hAnsi="Calibri" w:cs="Calibri"/>
          <w:b/>
          <w:bCs/>
          <w:color w:val="000000" w:themeColor="text1"/>
        </w:rPr>
        <w:t xml:space="preserve"> </w:t>
      </w:r>
      <w:r w:rsidRPr="00522E3F">
        <w:rPr>
          <w:rFonts w:ascii="Calibri" w:eastAsia="Calibri" w:hAnsi="Calibri" w:cs="Calibri"/>
          <w:color w:val="000000" w:themeColor="text1"/>
        </w:rPr>
        <w:t xml:space="preserve"> </w:t>
      </w:r>
    </w:p>
    <w:p w14:paraId="29FA3291" w14:textId="73FCC1B3" w:rsidR="0013053B" w:rsidRPr="00522E3F" w:rsidRDefault="1C5BC87F" w:rsidP="6AE15775">
      <w:pPr>
        <w:rPr>
          <w:rFonts w:ascii="Calibri" w:eastAsia="Calibri" w:hAnsi="Calibri" w:cs="Calibri"/>
          <w:i/>
          <w:iCs/>
          <w:color w:val="000000" w:themeColor="text1"/>
        </w:rPr>
      </w:pPr>
      <w:r w:rsidRPr="00522E3F">
        <w:rPr>
          <w:rFonts w:ascii="Calibri" w:eastAsia="Calibri" w:hAnsi="Calibri" w:cs="Calibri"/>
          <w:color w:val="000000" w:themeColor="text1"/>
        </w:rPr>
        <w:t>Having not had previous experience of working in the Early Years, I had limited understanding of young children’s physical development. I was under the misconception that the pupil's FMS skills would in fact just develop naturally over time ‘Fundamental</w:t>
      </w:r>
      <w:r w:rsidRPr="00522E3F">
        <w:rPr>
          <w:rFonts w:ascii="Calibri" w:eastAsia="Calibri" w:hAnsi="Calibri" w:cs="Calibri"/>
          <w:i/>
          <w:iCs/>
          <w:color w:val="000000" w:themeColor="text1"/>
        </w:rPr>
        <w:t xml:space="preserve"> motor skills do not simply develop as a result of age: they must be instructed and practised (Haywood and Getchell, 2002). T</w:t>
      </w:r>
      <w:r w:rsidRPr="00522E3F">
        <w:rPr>
          <w:rFonts w:ascii="Calibri" w:eastAsia="Calibri" w:hAnsi="Calibri" w:cs="Calibri"/>
          <w:color w:val="000000" w:themeColor="text1"/>
        </w:rPr>
        <w:t xml:space="preserve">hese FMS were skills that I had never considered breaking down into individual parts. I had limited awareness of </w:t>
      </w:r>
      <w:r w:rsidRPr="00522E3F">
        <w:rPr>
          <w:rFonts w:ascii="Calibri" w:eastAsia="Calibri" w:hAnsi="Calibri" w:cs="Calibri"/>
          <w:color w:val="000000" w:themeColor="text1"/>
        </w:rPr>
        <w:lastRenderedPageBreak/>
        <w:t xml:space="preserve">‘stages’ related to throwing and catching for example. Supporting pupils to increase their skill level was not something I could approach with confidence. </w:t>
      </w:r>
      <w:r w:rsidRPr="00522E3F">
        <w:rPr>
          <w:rFonts w:ascii="Calibri" w:eastAsia="Calibri" w:hAnsi="Calibri" w:cs="Calibri"/>
          <w:i/>
          <w:iCs/>
          <w:color w:val="000000" w:themeColor="text1"/>
        </w:rPr>
        <w:t xml:space="preserve">“Fundamental motor skills do not naturally ‘emerge’ during early childhood; they are the result of many factors influencing a child’s motor skill development” (Newell,  1986). </w:t>
      </w:r>
    </w:p>
    <w:p w14:paraId="5F435A1D" w14:textId="35CD2F03" w:rsidR="0013053B" w:rsidRPr="00522E3F" w:rsidRDefault="000715FA" w:rsidP="6AE15775">
      <w:pPr>
        <w:rPr>
          <w:color w:val="000000" w:themeColor="text1"/>
        </w:rPr>
      </w:pPr>
      <w:r w:rsidRPr="00522E3F">
        <w:rPr>
          <w:color w:val="000000" w:themeColor="text1"/>
        </w:rPr>
        <w:br/>
      </w:r>
    </w:p>
    <w:p w14:paraId="5E1158AC" w14:textId="3A020258" w:rsidR="0013053B" w:rsidRPr="00522E3F" w:rsidRDefault="1C5BC87F" w:rsidP="6AE15775">
      <w:pPr>
        <w:rPr>
          <w:rFonts w:ascii="Calibri" w:eastAsia="Calibri" w:hAnsi="Calibri" w:cs="Calibri"/>
          <w:i/>
          <w:iCs/>
          <w:color w:val="000000" w:themeColor="text1"/>
        </w:rPr>
      </w:pPr>
      <w:r w:rsidRPr="00522E3F">
        <w:rPr>
          <w:rFonts w:ascii="Calibri" w:eastAsia="Calibri" w:hAnsi="Calibri" w:cs="Calibri"/>
          <w:color w:val="000000" w:themeColor="text1"/>
        </w:rPr>
        <w:t xml:space="preserve">The developmental sequences of catching and throwing, two of the five object control skills, were the focus of my practical sessions. </w:t>
      </w:r>
      <w:r w:rsidRPr="00522E3F">
        <w:rPr>
          <w:rFonts w:ascii="Calibri" w:eastAsia="Calibri" w:hAnsi="Calibri" w:cs="Calibri"/>
          <w:i/>
          <w:iCs/>
          <w:color w:val="000000" w:themeColor="text1"/>
        </w:rPr>
        <w:t xml:space="preserve">Clark and Metcalfe (2002) spoke of the “mountain of motor development” and suggested that FMS are a precursor to context-specific and skilful movement. That is, to reach the “top of the mountain” of motor development and be physically skilful and active, children must first acquire competency in FMS to apply these skills in different contexts (e.g., sports and lifetime activities). Clearly, FMS are an important stepping-stone to motor development and, we believe, lifelong physical activity (Stodden et al, n.d). </w:t>
      </w:r>
    </w:p>
    <w:p w14:paraId="2E47F5C9" w14:textId="3644E84A" w:rsidR="0013053B" w:rsidRPr="00522E3F" w:rsidRDefault="000715FA" w:rsidP="6AE15775">
      <w:pPr>
        <w:rPr>
          <w:color w:val="000000" w:themeColor="text1"/>
        </w:rPr>
      </w:pPr>
      <w:r w:rsidRPr="00522E3F">
        <w:rPr>
          <w:color w:val="000000" w:themeColor="text1"/>
        </w:rPr>
        <w:br/>
      </w:r>
    </w:p>
    <w:p w14:paraId="28D4D8C2" w14:textId="17A57895" w:rsidR="0013053B" w:rsidRPr="00522E3F" w:rsidRDefault="1C5BC87F" w:rsidP="6AE15775">
      <w:pPr>
        <w:rPr>
          <w:rFonts w:ascii="Calibri" w:eastAsia="Calibri" w:hAnsi="Calibri" w:cs="Calibri"/>
          <w:color w:val="000000" w:themeColor="text1"/>
        </w:rPr>
      </w:pPr>
      <w:r w:rsidRPr="00522E3F">
        <w:rPr>
          <w:rFonts w:ascii="Calibri" w:eastAsia="Calibri" w:hAnsi="Calibri" w:cs="Calibri"/>
          <w:color w:val="000000" w:themeColor="text1"/>
        </w:rPr>
        <w:t>The tracking skills, hand eye coordination and fine motor skills required to develop into a proficient catcher, to apply these to a variety of sports needs focus within the Early Years setting, not allowed to happen ‘by chance’.  The attention to details that I had previously been unaware of, allowed me to focus when observing pupils and then planning next steps, an example is the awareness in the stages of catching. The delayed reaction, hugging and scooping actions were observed during SKIP catching sessions. I set up the activities into separate gardens. Activities using various equipment were set up to develop tracking skills, the scarves and rolling balls. A variety of balls were available for catchers at various stages. Awareness of Newell’s constraint model allowed me to understand and develop my use of equipment within the sessions “The</w:t>
      </w:r>
      <w:r w:rsidRPr="00522E3F">
        <w:rPr>
          <w:rFonts w:ascii="Calibri" w:eastAsia="Calibri" w:hAnsi="Calibri" w:cs="Calibri"/>
          <w:i/>
          <w:iCs/>
          <w:color w:val="000000" w:themeColor="text1"/>
        </w:rPr>
        <w:t xml:space="preserve"> individual is always undergoing age related change. This constantly changes the interaction with the environment and task and subsequently changes the way individuals move.” (Haywood and Getchell, 2014 ). </w:t>
      </w:r>
      <w:r w:rsidRPr="00522E3F">
        <w:rPr>
          <w:rFonts w:ascii="Calibri" w:eastAsia="Calibri" w:hAnsi="Calibri" w:cs="Calibri"/>
          <w:color w:val="000000" w:themeColor="text1"/>
        </w:rPr>
        <w:t xml:space="preserve">Manipulating environmental factors such as size, texture, shape, and colour of equipment could act as support for the initial stage catchers and/or challenge the emerging catchers in the Nursery class. </w:t>
      </w:r>
    </w:p>
    <w:p w14:paraId="64923BDF" w14:textId="1B914EF1" w:rsidR="0013053B" w:rsidRPr="00522E3F" w:rsidRDefault="000715FA" w:rsidP="6AE15775">
      <w:pPr>
        <w:rPr>
          <w:color w:val="000000" w:themeColor="text1"/>
        </w:rPr>
      </w:pPr>
      <w:r w:rsidRPr="00522E3F">
        <w:rPr>
          <w:color w:val="000000" w:themeColor="text1"/>
        </w:rPr>
        <w:br/>
      </w:r>
    </w:p>
    <w:p w14:paraId="55EAC620" w14:textId="3B11044F" w:rsidR="0013053B" w:rsidRPr="00522E3F" w:rsidRDefault="1C5BC87F" w:rsidP="6AE15775">
      <w:pPr>
        <w:rPr>
          <w:rFonts w:ascii="Calibri" w:eastAsia="Calibri" w:hAnsi="Calibri" w:cs="Calibri"/>
          <w:color w:val="000000" w:themeColor="text1"/>
        </w:rPr>
      </w:pPr>
      <w:r w:rsidRPr="00522E3F">
        <w:rPr>
          <w:rFonts w:ascii="Calibri" w:eastAsia="Calibri" w:hAnsi="Calibri" w:cs="Calibri"/>
          <w:color w:val="000000" w:themeColor="text1"/>
        </w:rPr>
        <w:t xml:space="preserve">Throwing was the second of the object control skills we focused upon. Again, the set up was in separate gardens. My focus was on underarm throwing.  Throwing develops several skills including balance, stepping with opposition, multi-limb coordination and core strength. The environmental factors to manipulate within the gardens included size of the target, distance from the target and shape of equipment. </w:t>
      </w:r>
      <w:r w:rsidRPr="00522E3F">
        <w:rPr>
          <w:rFonts w:ascii="Calibri" w:eastAsia="Calibri" w:hAnsi="Calibri" w:cs="Calibri"/>
          <w:i/>
          <w:iCs/>
          <w:color w:val="000000" w:themeColor="text1"/>
        </w:rPr>
        <w:t xml:space="preserve">Two models of motor development have emphasised the importance of FMS in later physical activity (Clark &amp; Metcalfe, 2002; Seefeldt, 1980). Over two decades ago Seefeldt suggested that competency in FMS was necessary to break through a hypothetical “proficiency barrier” that would allow individuals to apply these FMS to sports and games. </w:t>
      </w:r>
      <w:r w:rsidRPr="00522E3F">
        <w:rPr>
          <w:rFonts w:ascii="Calibri" w:eastAsia="Calibri" w:hAnsi="Calibri" w:cs="Calibri"/>
          <w:color w:val="000000" w:themeColor="text1"/>
        </w:rPr>
        <w:t xml:space="preserve"> </w:t>
      </w:r>
    </w:p>
    <w:p w14:paraId="07B4B1C1" w14:textId="565E87A3" w:rsidR="0013053B" w:rsidRPr="00522E3F" w:rsidRDefault="000715FA" w:rsidP="6AE15775">
      <w:pPr>
        <w:rPr>
          <w:color w:val="000000" w:themeColor="text1"/>
        </w:rPr>
      </w:pPr>
      <w:r w:rsidRPr="00522E3F">
        <w:rPr>
          <w:color w:val="000000" w:themeColor="text1"/>
        </w:rPr>
        <w:br/>
      </w:r>
    </w:p>
    <w:p w14:paraId="6B76CD54" w14:textId="53D7EF82" w:rsidR="0013053B" w:rsidRPr="00522E3F" w:rsidRDefault="1C5BC87F" w:rsidP="6AE15775">
      <w:pPr>
        <w:rPr>
          <w:rFonts w:ascii="Calibri" w:eastAsia="Calibri" w:hAnsi="Calibri" w:cs="Calibri"/>
          <w:color w:val="000000" w:themeColor="text1"/>
        </w:rPr>
      </w:pPr>
      <w:r w:rsidRPr="00522E3F">
        <w:rPr>
          <w:rFonts w:ascii="Calibri" w:eastAsia="Calibri" w:hAnsi="Calibri" w:cs="Calibri"/>
          <w:color w:val="000000" w:themeColor="text1"/>
        </w:rPr>
        <w:t xml:space="preserve">During the throwing and catching sessions, pupils were engaged and enthusiastic. Pupils would persevere despite dropping catches or missing targets when throwing. The magic window up to the age of 7 allows a pupil with low levels of motor competence but perceive themselves to be highly </w:t>
      </w:r>
      <w:r w:rsidRPr="00522E3F">
        <w:rPr>
          <w:rFonts w:ascii="Calibri" w:eastAsia="Calibri" w:hAnsi="Calibri" w:cs="Calibri"/>
          <w:color w:val="000000" w:themeColor="text1"/>
        </w:rPr>
        <w:lastRenderedPageBreak/>
        <w:t xml:space="preserve">skilled. </w:t>
      </w:r>
      <w:r w:rsidRPr="00522E3F">
        <w:rPr>
          <w:rFonts w:ascii="Calibri" w:eastAsia="Calibri" w:hAnsi="Calibri" w:cs="Calibri"/>
          <w:i/>
          <w:iCs/>
          <w:color w:val="000000" w:themeColor="text1"/>
        </w:rPr>
        <w:t xml:space="preserve">In early childhood, however, the inflated perceived motor skill competence might be valuable to drive the acquisition of motor skill competence because children will continue to persist and engage in mastery attempts in activities in which they believe they are </w:t>
      </w:r>
      <w:r w:rsidR="6CF10BB7" w:rsidRPr="00522E3F">
        <w:rPr>
          <w:rFonts w:ascii="Calibri" w:eastAsia="Calibri" w:hAnsi="Calibri" w:cs="Calibri"/>
          <w:i/>
          <w:iCs/>
          <w:color w:val="000000" w:themeColor="text1"/>
        </w:rPr>
        <w:t>skilful</w:t>
      </w:r>
      <w:r w:rsidRPr="00522E3F">
        <w:rPr>
          <w:rFonts w:ascii="Calibri" w:eastAsia="Calibri" w:hAnsi="Calibri" w:cs="Calibri"/>
          <w:i/>
          <w:iCs/>
          <w:color w:val="000000" w:themeColor="text1"/>
        </w:rPr>
        <w:t xml:space="preserve"> (Stodden et al, n.d.</w:t>
      </w:r>
      <w:r w:rsidR="68B3BB00" w:rsidRPr="00522E3F">
        <w:rPr>
          <w:rFonts w:ascii="Calibri" w:eastAsia="Calibri" w:hAnsi="Calibri" w:cs="Calibri"/>
          <w:i/>
          <w:iCs/>
          <w:color w:val="000000" w:themeColor="text1"/>
        </w:rPr>
        <w:t>).</w:t>
      </w:r>
      <w:r w:rsidRPr="00522E3F">
        <w:rPr>
          <w:rFonts w:ascii="Calibri" w:eastAsia="Calibri" w:hAnsi="Calibri" w:cs="Calibri"/>
          <w:i/>
          <w:iCs/>
          <w:color w:val="000000" w:themeColor="text1"/>
        </w:rPr>
        <w:t xml:space="preserve"> </w:t>
      </w:r>
      <w:r w:rsidRPr="00522E3F">
        <w:rPr>
          <w:rFonts w:ascii="Calibri" w:eastAsia="Calibri" w:hAnsi="Calibri" w:cs="Calibri"/>
          <w:color w:val="000000" w:themeColor="text1"/>
        </w:rPr>
        <w:t xml:space="preserve">A child might have low levels of actual motor competence but perceive her/himself to be highly skilled. </w:t>
      </w:r>
    </w:p>
    <w:p w14:paraId="242E4265" w14:textId="742C03FB" w:rsidR="0013053B" w:rsidRPr="00522E3F" w:rsidRDefault="1C5BC87F" w:rsidP="6AE15775">
      <w:pPr>
        <w:rPr>
          <w:rFonts w:ascii="Calibri" w:eastAsia="Calibri" w:hAnsi="Calibri" w:cs="Calibri"/>
          <w:color w:val="000000" w:themeColor="text1"/>
        </w:rPr>
      </w:pPr>
      <w:r w:rsidRPr="00522E3F">
        <w:rPr>
          <w:rFonts w:ascii="Calibri" w:eastAsia="Calibri" w:hAnsi="Calibri" w:cs="Calibri"/>
          <w:color w:val="000000" w:themeColor="text1"/>
        </w:rPr>
        <w:t xml:space="preserve"> </w:t>
      </w:r>
      <w:r w:rsidR="000715FA" w:rsidRPr="00522E3F">
        <w:rPr>
          <w:color w:val="000000" w:themeColor="text1"/>
        </w:rPr>
        <w:br/>
      </w:r>
      <w:r w:rsidRPr="00522E3F">
        <w:rPr>
          <w:rFonts w:ascii="Calibri" w:eastAsia="Calibri" w:hAnsi="Calibri" w:cs="Calibri"/>
          <w:b/>
          <w:bCs/>
          <w:color w:val="000000" w:themeColor="text1"/>
        </w:rPr>
        <w:t>Conclusion</w:t>
      </w:r>
      <w:r w:rsidRPr="00522E3F">
        <w:rPr>
          <w:rFonts w:ascii="Calibri" w:eastAsia="Calibri" w:hAnsi="Calibri" w:cs="Calibri"/>
          <w:color w:val="000000" w:themeColor="text1"/>
        </w:rPr>
        <w:t xml:space="preserve"> </w:t>
      </w:r>
    </w:p>
    <w:p w14:paraId="714B0588" w14:textId="76D7D135" w:rsidR="0013053B" w:rsidRPr="00522E3F" w:rsidRDefault="1C5BC87F" w:rsidP="6AE15775">
      <w:pPr>
        <w:rPr>
          <w:rFonts w:ascii="Calibri" w:eastAsia="Calibri" w:hAnsi="Calibri" w:cs="Calibri"/>
          <w:color w:val="000000" w:themeColor="text1"/>
        </w:rPr>
      </w:pPr>
      <w:r w:rsidRPr="00522E3F">
        <w:rPr>
          <w:rFonts w:ascii="Calibri" w:eastAsia="Calibri" w:hAnsi="Calibri" w:cs="Calibri"/>
          <w:color w:val="000000" w:themeColor="text1"/>
        </w:rPr>
        <w:t xml:space="preserve">The following outline my thoughts in evaluating how the SKIP programme and training has impacted me as a practitioner. The SKIP Cymru course has increased my awareness of different elements related to the basic sensory and motor components that influence learning. Considering that according to Wainwright et al , Children are starting school with poor core stability, poor balance, a lack of strength and coordination, COVID has exacerbated these problems as has been apparent in the Nursery this year. (Wainwright et al. n.d.), SKIP has increased my knowledge of physical development within the Early Years and how to support the pupils. I was </w:t>
      </w:r>
      <w:r w:rsidR="776A8CF9" w:rsidRPr="00522E3F">
        <w:rPr>
          <w:rFonts w:ascii="Calibri" w:eastAsia="Calibri" w:hAnsi="Calibri" w:cs="Calibri"/>
          <w:color w:val="000000" w:themeColor="text1"/>
        </w:rPr>
        <w:t>previously unaware</w:t>
      </w:r>
      <w:r w:rsidRPr="00522E3F">
        <w:rPr>
          <w:rFonts w:ascii="Calibri" w:eastAsia="Calibri" w:hAnsi="Calibri" w:cs="Calibri"/>
          <w:color w:val="000000" w:themeColor="text1"/>
        </w:rPr>
        <w:t xml:space="preserve"> of the developmental sequences of locomotor skills and object control skills and the course has clarified these and I have been able to observe these within the throwing and catching elements.  </w:t>
      </w:r>
    </w:p>
    <w:p w14:paraId="396FBE5B" w14:textId="211ECBE6" w:rsidR="0013053B" w:rsidRPr="00522E3F" w:rsidRDefault="000715FA" w:rsidP="6AE15775">
      <w:pPr>
        <w:rPr>
          <w:color w:val="000000" w:themeColor="text1"/>
        </w:rPr>
      </w:pPr>
      <w:r w:rsidRPr="00522E3F">
        <w:rPr>
          <w:color w:val="000000" w:themeColor="text1"/>
        </w:rPr>
        <w:br/>
      </w:r>
    </w:p>
    <w:p w14:paraId="702082B5" w14:textId="7017E261" w:rsidR="0013053B" w:rsidRPr="00522E3F" w:rsidRDefault="1C5BC87F" w:rsidP="6AE15775">
      <w:pPr>
        <w:rPr>
          <w:rFonts w:eastAsiaTheme="minorEastAsia"/>
          <w:color w:val="000000" w:themeColor="text1"/>
        </w:rPr>
      </w:pPr>
      <w:r w:rsidRPr="00522E3F">
        <w:rPr>
          <w:rFonts w:ascii="Calibri" w:eastAsia="Calibri" w:hAnsi="Calibri" w:cs="Calibri"/>
          <w:color w:val="000000" w:themeColor="text1"/>
        </w:rPr>
        <w:t xml:space="preserve">On reading the response to my throwing and catching evaluation, I was clear that regular and varied opportunities for movement at the Nursery stage was vitally important alongside planning regular opportunities for </w:t>
      </w:r>
      <w:r w:rsidR="455993EE" w:rsidRPr="00522E3F">
        <w:rPr>
          <w:rFonts w:ascii="Calibri" w:eastAsia="Calibri" w:hAnsi="Calibri" w:cs="Calibri"/>
          <w:color w:val="000000" w:themeColor="text1"/>
        </w:rPr>
        <w:t>movement. For</w:t>
      </w:r>
      <w:r w:rsidRPr="00522E3F">
        <w:rPr>
          <w:rFonts w:ascii="Calibri" w:eastAsia="Calibri" w:hAnsi="Calibri" w:cs="Calibri"/>
          <w:color w:val="000000" w:themeColor="text1"/>
        </w:rPr>
        <w:t xml:space="preserve"> </w:t>
      </w:r>
      <w:r w:rsidR="38496629" w:rsidRPr="00522E3F">
        <w:rPr>
          <w:rFonts w:ascii="Calibri" w:eastAsia="Calibri" w:hAnsi="Calibri" w:cs="Calibri"/>
          <w:color w:val="000000" w:themeColor="text1"/>
        </w:rPr>
        <w:t>example, getting</w:t>
      </w:r>
      <w:r w:rsidRPr="00522E3F">
        <w:rPr>
          <w:rFonts w:ascii="Calibri" w:eastAsia="Calibri" w:hAnsi="Calibri" w:cs="Calibri"/>
          <w:color w:val="000000" w:themeColor="text1"/>
        </w:rPr>
        <w:t xml:space="preserve"> the pupils throwing as opposed to the detail of the steps involved in throwing, which in hindsight I had taken too much time explaining. The encouragement to get throwing and experience the movement should have been the focus. Equipment available to me initially was limited. I approached my local council Sports Officer, who allowed me to borrow equipment. The variety of equipment used within sessions then allowed me to consider elements of Newell's constraints model</w:t>
      </w:r>
      <w:r w:rsidR="4CD74F10" w:rsidRPr="00522E3F">
        <w:rPr>
          <w:rFonts w:ascii="Calibri" w:eastAsia="Calibri" w:hAnsi="Calibri" w:cs="Calibri"/>
          <w:color w:val="000000" w:themeColor="text1"/>
        </w:rPr>
        <w:t xml:space="preserve"> </w:t>
      </w:r>
      <w:r w:rsidR="4CD74F10" w:rsidRPr="00522E3F">
        <w:rPr>
          <w:rFonts w:eastAsiaTheme="minorEastAsia"/>
          <w:color w:val="000000" w:themeColor="text1"/>
        </w:rPr>
        <w:t>(Haywood and Get</w:t>
      </w:r>
      <w:r w:rsidR="06AD31EF" w:rsidRPr="00522E3F">
        <w:rPr>
          <w:rFonts w:eastAsiaTheme="minorEastAsia"/>
          <w:color w:val="000000" w:themeColor="text1"/>
        </w:rPr>
        <w:t>c</w:t>
      </w:r>
      <w:r w:rsidR="4CD74F10" w:rsidRPr="00522E3F">
        <w:rPr>
          <w:rFonts w:eastAsiaTheme="minorEastAsia"/>
          <w:color w:val="000000" w:themeColor="text1"/>
        </w:rPr>
        <w:t>hell, 2014)</w:t>
      </w:r>
    </w:p>
    <w:p w14:paraId="34D2DE08" w14:textId="5A166CFC" w:rsidR="0013053B" w:rsidRPr="00522E3F" w:rsidRDefault="1C5BC87F" w:rsidP="6AE15775">
      <w:pPr>
        <w:rPr>
          <w:rFonts w:ascii="Calibri" w:eastAsia="Calibri" w:hAnsi="Calibri" w:cs="Calibri"/>
          <w:color w:val="000000" w:themeColor="text1"/>
        </w:rPr>
      </w:pPr>
      <w:r w:rsidRPr="00522E3F">
        <w:rPr>
          <w:rFonts w:ascii="Calibri" w:eastAsia="Calibri" w:hAnsi="Calibri" w:cs="Calibri"/>
          <w:color w:val="000000" w:themeColor="text1"/>
        </w:rPr>
        <w:t xml:space="preserve"> </w:t>
      </w:r>
    </w:p>
    <w:p w14:paraId="1AE53AC7" w14:textId="429BA57A" w:rsidR="0013053B" w:rsidRPr="00522E3F" w:rsidRDefault="0013053B" w:rsidP="6AE15775">
      <w:pPr>
        <w:rPr>
          <w:rFonts w:ascii="Calibri" w:eastAsia="Calibri" w:hAnsi="Calibri" w:cs="Calibri"/>
          <w:color w:val="000000" w:themeColor="text1"/>
        </w:rPr>
      </w:pPr>
    </w:p>
    <w:p w14:paraId="1E2D3492" w14:textId="5EA8A50A" w:rsidR="0013053B" w:rsidRPr="00522E3F" w:rsidRDefault="1C5BC87F" w:rsidP="6AE15775">
      <w:pPr>
        <w:rPr>
          <w:rFonts w:ascii="Calibri" w:eastAsia="Calibri" w:hAnsi="Calibri" w:cs="Calibri"/>
          <w:color w:val="000000" w:themeColor="text1"/>
        </w:rPr>
      </w:pPr>
      <w:r w:rsidRPr="00522E3F">
        <w:rPr>
          <w:rFonts w:ascii="Calibri" w:eastAsia="Calibri" w:hAnsi="Calibri" w:cs="Calibri"/>
          <w:color w:val="000000" w:themeColor="text1"/>
        </w:rPr>
        <w:t xml:space="preserve">By changing the task/goal of the activity or the environment for example the size or shape of equipment. Working for shorter periods of time with smaller groups allowed for better quality of delivery. Larger classes made observation of the pupils difficult. To observe and plan meaningfully, small groups up to 8 were key to the success of the sessions. I found learning about theory behind the SKIP programme enlightening, following being in a classroom for so many years, it was refreshing to have this input. I have become more confident in my knowledge of motor development and increasingly confident in observing pupils planning activities which are appropriate.  </w:t>
      </w:r>
    </w:p>
    <w:p w14:paraId="5E5787A5" w14:textId="3BBD7AB2" w:rsidR="0013053B" w:rsidRPr="00522E3F" w:rsidRDefault="0013053B" w:rsidP="6AE15775">
      <w:pPr>
        <w:rPr>
          <w:color w:val="000000" w:themeColor="text1"/>
        </w:rPr>
      </w:pPr>
    </w:p>
    <w:p w14:paraId="7E125C50" w14:textId="162B63F0" w:rsidR="34C1CDDF" w:rsidRPr="00522E3F" w:rsidRDefault="34C1CDDF" w:rsidP="6AE15775">
      <w:pPr>
        <w:rPr>
          <w:rFonts w:ascii="Times New Roman" w:eastAsia="Times New Roman" w:hAnsi="Times New Roman" w:cs="Times New Roman"/>
          <w:color w:val="000000" w:themeColor="text1"/>
          <w:sz w:val="24"/>
          <w:szCs w:val="24"/>
        </w:rPr>
      </w:pPr>
    </w:p>
    <w:p w14:paraId="371154A6" w14:textId="47DBE990" w:rsidR="34C1CDDF" w:rsidRPr="00522E3F" w:rsidRDefault="1A3E2EC2" w:rsidP="6AE15775">
      <w:pPr>
        <w:rPr>
          <w:rFonts w:eastAsiaTheme="minorEastAsia"/>
          <w:color w:val="000000" w:themeColor="text1"/>
        </w:rPr>
      </w:pPr>
      <w:r w:rsidRPr="00522E3F">
        <w:rPr>
          <w:rFonts w:eastAsiaTheme="minorEastAsia"/>
          <w:color w:val="000000" w:themeColor="text1"/>
        </w:rPr>
        <w:t xml:space="preserve">MacArthur T. (2021) </w:t>
      </w:r>
      <w:r w:rsidRPr="00522E3F">
        <w:rPr>
          <w:rFonts w:eastAsiaTheme="minorEastAsia"/>
          <w:i/>
          <w:iCs/>
          <w:color w:val="000000" w:themeColor="text1"/>
        </w:rPr>
        <w:t xml:space="preserve">Developmental Delays in </w:t>
      </w:r>
      <w:r w:rsidR="754799EC" w:rsidRPr="00522E3F">
        <w:rPr>
          <w:rFonts w:eastAsiaTheme="minorEastAsia"/>
          <w:i/>
          <w:iCs/>
          <w:color w:val="000000" w:themeColor="text1"/>
        </w:rPr>
        <w:t>Children</w:t>
      </w:r>
      <w:r w:rsidRPr="00522E3F">
        <w:rPr>
          <w:rFonts w:eastAsiaTheme="minorEastAsia"/>
          <w:i/>
          <w:iCs/>
          <w:color w:val="000000" w:themeColor="text1"/>
        </w:rPr>
        <w:t xml:space="preserve"> During </w:t>
      </w:r>
      <w:r w:rsidR="1DC169D1" w:rsidRPr="00522E3F">
        <w:rPr>
          <w:rFonts w:eastAsiaTheme="minorEastAsia"/>
          <w:i/>
          <w:iCs/>
          <w:color w:val="000000" w:themeColor="text1"/>
        </w:rPr>
        <w:t>Lockdown</w:t>
      </w:r>
    </w:p>
    <w:p w14:paraId="15854495" w14:textId="470A3B25" w:rsidR="34C1CDDF" w:rsidRPr="00522E3F" w:rsidRDefault="775C5763" w:rsidP="6AE15775">
      <w:pPr>
        <w:rPr>
          <w:rFonts w:eastAsiaTheme="minorEastAsia"/>
          <w:i/>
          <w:iCs/>
          <w:color w:val="000000" w:themeColor="text1"/>
        </w:rPr>
      </w:pPr>
      <w:r w:rsidRPr="00522E3F">
        <w:rPr>
          <w:rFonts w:eastAsiaTheme="minorEastAsia"/>
          <w:color w:val="000000" w:themeColor="text1"/>
        </w:rPr>
        <w:t>Davies M</w:t>
      </w:r>
      <w:r w:rsidR="61AF846B" w:rsidRPr="00522E3F">
        <w:rPr>
          <w:rFonts w:eastAsiaTheme="minorEastAsia"/>
          <w:color w:val="000000" w:themeColor="text1"/>
        </w:rPr>
        <w:t>.</w:t>
      </w:r>
      <w:r w:rsidRPr="00522E3F">
        <w:rPr>
          <w:rFonts w:eastAsiaTheme="minorEastAsia"/>
          <w:color w:val="000000" w:themeColor="text1"/>
        </w:rPr>
        <w:t xml:space="preserve"> (2003) </w:t>
      </w:r>
      <w:r w:rsidRPr="00522E3F">
        <w:rPr>
          <w:rFonts w:eastAsiaTheme="minorEastAsia"/>
          <w:i/>
          <w:iCs/>
          <w:color w:val="000000" w:themeColor="text1"/>
        </w:rPr>
        <w:t xml:space="preserve">Movement and </w:t>
      </w:r>
      <w:r w:rsidR="38B77232" w:rsidRPr="00522E3F">
        <w:rPr>
          <w:rFonts w:eastAsiaTheme="minorEastAsia"/>
          <w:i/>
          <w:iCs/>
          <w:color w:val="000000" w:themeColor="text1"/>
        </w:rPr>
        <w:t>D</w:t>
      </w:r>
      <w:r w:rsidRPr="00522E3F">
        <w:rPr>
          <w:rFonts w:eastAsiaTheme="minorEastAsia"/>
          <w:i/>
          <w:iCs/>
          <w:color w:val="000000" w:themeColor="text1"/>
        </w:rPr>
        <w:t>ance in Early Childhood</w:t>
      </w:r>
      <w:r w:rsidR="70F5C0FF" w:rsidRPr="00522E3F">
        <w:rPr>
          <w:rFonts w:eastAsiaTheme="minorEastAsia"/>
          <w:i/>
          <w:iCs/>
          <w:color w:val="000000" w:themeColor="text1"/>
        </w:rPr>
        <w:t xml:space="preserve">. London: Paul Chapman Publishing </w:t>
      </w:r>
    </w:p>
    <w:p w14:paraId="4CAE3EE4" w14:textId="01CEE5D0" w:rsidR="34C1CDDF" w:rsidRPr="00522E3F" w:rsidRDefault="591DE4C0" w:rsidP="6AE15775">
      <w:pPr>
        <w:ind w:left="213" w:hanging="213"/>
        <w:rPr>
          <w:rFonts w:eastAsiaTheme="minorEastAsia"/>
          <w:color w:val="000000" w:themeColor="text1"/>
        </w:rPr>
      </w:pPr>
      <w:r w:rsidRPr="00522E3F">
        <w:rPr>
          <w:rFonts w:eastAsiaTheme="minorEastAsia"/>
          <w:color w:val="000000" w:themeColor="text1"/>
        </w:rPr>
        <w:t xml:space="preserve">Ayres, A. J., &amp; Robbins, J. (2005). </w:t>
      </w:r>
      <w:r w:rsidRPr="00522E3F">
        <w:rPr>
          <w:rFonts w:eastAsiaTheme="minorEastAsia"/>
          <w:i/>
          <w:iCs/>
          <w:color w:val="000000" w:themeColor="text1"/>
        </w:rPr>
        <w:t>Sensory integration and the child: Understanding hidden sensory challenges</w:t>
      </w:r>
      <w:r w:rsidRPr="00522E3F">
        <w:rPr>
          <w:rFonts w:eastAsiaTheme="minorEastAsia"/>
          <w:color w:val="000000" w:themeColor="text1"/>
        </w:rPr>
        <w:t>. Western Psychological Services.</w:t>
      </w:r>
    </w:p>
    <w:p w14:paraId="06673008" w14:textId="7852C403" w:rsidR="34C1CDDF" w:rsidRPr="00522E3F" w:rsidRDefault="591DE4C0" w:rsidP="6AE15775">
      <w:pPr>
        <w:ind w:left="213" w:hanging="213"/>
        <w:rPr>
          <w:rFonts w:eastAsiaTheme="minorEastAsia"/>
          <w:color w:val="000000" w:themeColor="text1"/>
        </w:rPr>
      </w:pPr>
      <w:r w:rsidRPr="00522E3F">
        <w:rPr>
          <w:rFonts w:eastAsiaTheme="minorEastAsia"/>
          <w:color w:val="000000" w:themeColor="text1"/>
        </w:rPr>
        <w:lastRenderedPageBreak/>
        <w:t xml:space="preserve">Clark, J. E., &amp; Metcalfe, J. S. (2002). The mountain of motor development: A metaphor. </w:t>
      </w:r>
      <w:r w:rsidRPr="00522E3F">
        <w:rPr>
          <w:rFonts w:eastAsiaTheme="minorEastAsia"/>
          <w:i/>
          <w:iCs/>
          <w:color w:val="000000" w:themeColor="text1"/>
        </w:rPr>
        <w:t>Motor development: Research and reviews</w:t>
      </w:r>
      <w:r w:rsidRPr="00522E3F">
        <w:rPr>
          <w:rFonts w:eastAsiaTheme="minorEastAsia"/>
          <w:color w:val="000000" w:themeColor="text1"/>
        </w:rPr>
        <w:t xml:space="preserve">, </w:t>
      </w:r>
      <w:r w:rsidRPr="00522E3F">
        <w:rPr>
          <w:rFonts w:eastAsiaTheme="minorEastAsia"/>
          <w:i/>
          <w:iCs/>
          <w:color w:val="000000" w:themeColor="text1"/>
        </w:rPr>
        <w:t>2</w:t>
      </w:r>
      <w:r w:rsidRPr="00522E3F">
        <w:rPr>
          <w:rFonts w:eastAsiaTheme="minorEastAsia"/>
          <w:color w:val="000000" w:themeColor="text1"/>
        </w:rPr>
        <w:t>(163-190), 183-202.</w:t>
      </w:r>
    </w:p>
    <w:p w14:paraId="282CB8D8" w14:textId="22264760" w:rsidR="34C1CDDF" w:rsidRPr="00522E3F" w:rsidRDefault="591DE4C0" w:rsidP="6AE15775">
      <w:pPr>
        <w:ind w:left="213" w:hanging="213"/>
        <w:rPr>
          <w:rFonts w:eastAsiaTheme="minorEastAsia"/>
          <w:color w:val="000000" w:themeColor="text1"/>
        </w:rPr>
      </w:pPr>
      <w:r w:rsidRPr="00522E3F">
        <w:rPr>
          <w:rFonts w:eastAsiaTheme="minorEastAsia"/>
          <w:color w:val="000000" w:themeColor="text1"/>
        </w:rPr>
        <w:t xml:space="preserve">Davies, M. (2003). </w:t>
      </w:r>
      <w:r w:rsidRPr="00522E3F">
        <w:rPr>
          <w:rFonts w:eastAsiaTheme="minorEastAsia"/>
          <w:i/>
          <w:iCs/>
          <w:color w:val="000000" w:themeColor="text1"/>
        </w:rPr>
        <w:t>Movement and dance in early childhood</w:t>
      </w:r>
      <w:r w:rsidRPr="00522E3F">
        <w:rPr>
          <w:rFonts w:eastAsiaTheme="minorEastAsia"/>
          <w:color w:val="000000" w:themeColor="text1"/>
        </w:rPr>
        <w:t>. Sage.</w:t>
      </w:r>
    </w:p>
    <w:p w14:paraId="5136004B" w14:textId="54794B77" w:rsidR="34C1CDDF" w:rsidRPr="00522E3F" w:rsidRDefault="591DE4C0" w:rsidP="6AE15775">
      <w:pPr>
        <w:ind w:left="213" w:hanging="213"/>
        <w:rPr>
          <w:rFonts w:eastAsiaTheme="minorEastAsia"/>
          <w:color w:val="000000" w:themeColor="text1"/>
        </w:rPr>
      </w:pPr>
      <w:r w:rsidRPr="00522E3F">
        <w:rPr>
          <w:rFonts w:eastAsiaTheme="minorEastAsia"/>
          <w:color w:val="000000" w:themeColor="text1"/>
        </w:rPr>
        <w:t xml:space="preserve">Goodway, J. D., Ozmun, J. C., &amp; Gallahue, D. L. (2019). </w:t>
      </w:r>
      <w:r w:rsidRPr="00522E3F">
        <w:rPr>
          <w:rFonts w:eastAsiaTheme="minorEastAsia"/>
          <w:i/>
          <w:iCs/>
          <w:color w:val="000000" w:themeColor="text1"/>
        </w:rPr>
        <w:t>Understanding motor development: Infants, children, adolescents, adults</w:t>
      </w:r>
      <w:r w:rsidRPr="00522E3F">
        <w:rPr>
          <w:rFonts w:eastAsiaTheme="minorEastAsia"/>
          <w:color w:val="000000" w:themeColor="text1"/>
        </w:rPr>
        <w:t xml:space="preserve">. Jones &amp; Bartlett </w:t>
      </w:r>
      <w:r w:rsidR="01F031D9" w:rsidRPr="00522E3F">
        <w:rPr>
          <w:rFonts w:eastAsiaTheme="minorEastAsia"/>
          <w:color w:val="000000" w:themeColor="text1"/>
        </w:rPr>
        <w:t>Learning.</w:t>
      </w:r>
      <w:r w:rsidRPr="00522E3F">
        <w:rPr>
          <w:rFonts w:eastAsiaTheme="minorEastAsia"/>
          <w:color w:val="000000" w:themeColor="text1"/>
        </w:rPr>
        <w:t xml:space="preserve"> </w:t>
      </w:r>
    </w:p>
    <w:p w14:paraId="53D20E31" w14:textId="39B0EE5F" w:rsidR="34C1CDDF" w:rsidRPr="00522E3F" w:rsidRDefault="591DE4C0" w:rsidP="6AE15775">
      <w:pPr>
        <w:ind w:left="213" w:hanging="213"/>
        <w:rPr>
          <w:rFonts w:eastAsiaTheme="minorEastAsia"/>
          <w:color w:val="000000" w:themeColor="text1"/>
        </w:rPr>
      </w:pPr>
      <w:r w:rsidRPr="00522E3F">
        <w:rPr>
          <w:rFonts w:eastAsiaTheme="minorEastAsia"/>
          <w:color w:val="000000" w:themeColor="text1"/>
        </w:rPr>
        <w:t xml:space="preserve">Goodway, J.D. &amp; Branta, C.F. (2003). ‘Influence of a motor skill intervention on fundamental motor skill development of disadvantaged preschool children’, </w:t>
      </w:r>
      <w:r w:rsidRPr="00522E3F">
        <w:rPr>
          <w:rFonts w:eastAsiaTheme="minorEastAsia"/>
          <w:i/>
          <w:iCs/>
          <w:color w:val="000000" w:themeColor="text1"/>
        </w:rPr>
        <w:t xml:space="preserve">Research Quarterly for Exercise and Sport, </w:t>
      </w:r>
      <w:r w:rsidRPr="00522E3F">
        <w:rPr>
          <w:rFonts w:eastAsiaTheme="minorEastAsia"/>
          <w:color w:val="000000" w:themeColor="text1"/>
        </w:rPr>
        <w:t xml:space="preserve">74(1), 36-46.  </w:t>
      </w:r>
    </w:p>
    <w:p w14:paraId="55AF22A3" w14:textId="12AC9327" w:rsidR="34C1CDDF" w:rsidRPr="00522E3F" w:rsidRDefault="591DE4C0" w:rsidP="6AE15775">
      <w:pPr>
        <w:ind w:left="213" w:hanging="213"/>
        <w:rPr>
          <w:rFonts w:eastAsiaTheme="minorEastAsia"/>
          <w:color w:val="000000" w:themeColor="text1"/>
        </w:rPr>
      </w:pPr>
      <w:r w:rsidRPr="00522E3F">
        <w:rPr>
          <w:rFonts w:eastAsiaTheme="minorEastAsia"/>
          <w:color w:val="000000" w:themeColor="text1"/>
        </w:rPr>
        <w:t xml:space="preserve">Goodway, J.D., Crowe, H. &amp; Ward, P. (2003). ‘Effects of Motor Skill Instruction of Fundamental Motor Skill Development’, </w:t>
      </w:r>
      <w:r w:rsidRPr="00522E3F">
        <w:rPr>
          <w:rFonts w:eastAsiaTheme="minorEastAsia"/>
          <w:i/>
          <w:iCs/>
          <w:color w:val="000000" w:themeColor="text1"/>
        </w:rPr>
        <w:t>Adapted Physical Activity Quarterly</w:t>
      </w:r>
      <w:r w:rsidRPr="00522E3F">
        <w:rPr>
          <w:rFonts w:eastAsiaTheme="minorEastAsia"/>
          <w:color w:val="000000" w:themeColor="text1"/>
        </w:rPr>
        <w:t xml:space="preserve">, 20(3), pp. 298-314. </w:t>
      </w:r>
    </w:p>
    <w:p w14:paraId="6E98DFB8" w14:textId="4E3BD2E6" w:rsidR="34C1CDDF" w:rsidRPr="00522E3F" w:rsidRDefault="591DE4C0" w:rsidP="6AE15775">
      <w:pPr>
        <w:ind w:left="213" w:hanging="213"/>
        <w:rPr>
          <w:rFonts w:eastAsiaTheme="minorEastAsia"/>
          <w:color w:val="000000" w:themeColor="text1"/>
        </w:rPr>
      </w:pPr>
      <w:r w:rsidRPr="00522E3F">
        <w:rPr>
          <w:rFonts w:eastAsiaTheme="minorEastAsia"/>
          <w:color w:val="000000" w:themeColor="text1"/>
        </w:rPr>
        <w:t xml:space="preserve">Haywood, K. M., &amp; Getchell, N. (2019). </w:t>
      </w:r>
      <w:r w:rsidRPr="00522E3F">
        <w:rPr>
          <w:rFonts w:eastAsiaTheme="minorEastAsia"/>
          <w:i/>
          <w:iCs/>
          <w:color w:val="000000" w:themeColor="text1"/>
        </w:rPr>
        <w:t>Life span motor development</w:t>
      </w:r>
      <w:r w:rsidRPr="00522E3F">
        <w:rPr>
          <w:rFonts w:eastAsiaTheme="minorEastAsia"/>
          <w:color w:val="000000" w:themeColor="text1"/>
        </w:rPr>
        <w:t>. Human kinetics.</w:t>
      </w:r>
    </w:p>
    <w:p w14:paraId="01509713" w14:textId="636907A6" w:rsidR="34C1CDDF" w:rsidRPr="00522E3F" w:rsidRDefault="591DE4C0" w:rsidP="6AE15775">
      <w:pPr>
        <w:ind w:left="213" w:hanging="213"/>
        <w:rPr>
          <w:rFonts w:eastAsiaTheme="minorEastAsia"/>
          <w:color w:val="000000" w:themeColor="text1"/>
        </w:rPr>
      </w:pPr>
      <w:r w:rsidRPr="00522E3F">
        <w:rPr>
          <w:rFonts w:eastAsiaTheme="minorEastAsia"/>
          <w:color w:val="000000" w:themeColor="text1"/>
        </w:rPr>
        <w:t xml:space="preserve">Seefeldt, V. (1980). Developmental motor patterns: Implications for elementary school physical education. </w:t>
      </w:r>
      <w:r w:rsidRPr="00522E3F">
        <w:rPr>
          <w:rFonts w:eastAsiaTheme="minorEastAsia"/>
          <w:i/>
          <w:iCs/>
          <w:color w:val="000000" w:themeColor="text1"/>
        </w:rPr>
        <w:t xml:space="preserve">Psychology of motor </w:t>
      </w:r>
      <w:r w:rsidR="5FE891C7" w:rsidRPr="00522E3F">
        <w:rPr>
          <w:rFonts w:eastAsiaTheme="minorEastAsia"/>
          <w:i/>
          <w:iCs/>
          <w:color w:val="000000" w:themeColor="text1"/>
        </w:rPr>
        <w:t>behaviour</w:t>
      </w:r>
      <w:r w:rsidRPr="00522E3F">
        <w:rPr>
          <w:rFonts w:eastAsiaTheme="minorEastAsia"/>
          <w:i/>
          <w:iCs/>
          <w:color w:val="000000" w:themeColor="text1"/>
        </w:rPr>
        <w:t xml:space="preserve"> and sport</w:t>
      </w:r>
      <w:r w:rsidRPr="00522E3F">
        <w:rPr>
          <w:rFonts w:eastAsiaTheme="minorEastAsia"/>
          <w:color w:val="000000" w:themeColor="text1"/>
        </w:rPr>
        <w:t xml:space="preserve">, </w:t>
      </w:r>
      <w:r w:rsidRPr="00522E3F">
        <w:rPr>
          <w:rFonts w:eastAsiaTheme="minorEastAsia"/>
          <w:i/>
          <w:iCs/>
          <w:color w:val="000000" w:themeColor="text1"/>
        </w:rPr>
        <w:t>36</w:t>
      </w:r>
      <w:r w:rsidRPr="00522E3F">
        <w:rPr>
          <w:rFonts w:eastAsiaTheme="minorEastAsia"/>
          <w:color w:val="000000" w:themeColor="text1"/>
        </w:rPr>
        <w:t>(6), 314-323.</w:t>
      </w:r>
    </w:p>
    <w:p w14:paraId="5B2EF41F" w14:textId="09FEE83E" w:rsidR="34C1CDDF" w:rsidRPr="00522E3F" w:rsidRDefault="591DE4C0" w:rsidP="6AE15775">
      <w:pPr>
        <w:ind w:left="213" w:hanging="213"/>
        <w:rPr>
          <w:rFonts w:eastAsiaTheme="minorEastAsia"/>
          <w:color w:val="000000" w:themeColor="text1"/>
        </w:rPr>
      </w:pPr>
      <w:r w:rsidRPr="00522E3F">
        <w:rPr>
          <w:rFonts w:eastAsiaTheme="minorEastAsia"/>
          <w:color w:val="000000" w:themeColor="text1"/>
        </w:rPr>
        <w:t xml:space="preserve">Stodden, D. F., Goodway, J. D., Langendorfer, S. J., Roberton, M. A., Rudisill, M. E., Garcia, C., &amp; Garcia, L. E. (2008). A developmental perspective on the role of motor skill competence in physical activity: An emergent relationship. </w:t>
      </w:r>
      <w:r w:rsidRPr="00522E3F">
        <w:rPr>
          <w:rFonts w:eastAsiaTheme="minorEastAsia"/>
          <w:i/>
          <w:iCs/>
          <w:color w:val="000000" w:themeColor="text1"/>
        </w:rPr>
        <w:t>Quest</w:t>
      </w:r>
      <w:r w:rsidRPr="00522E3F">
        <w:rPr>
          <w:rFonts w:eastAsiaTheme="minorEastAsia"/>
          <w:color w:val="000000" w:themeColor="text1"/>
        </w:rPr>
        <w:t xml:space="preserve">, </w:t>
      </w:r>
      <w:r w:rsidRPr="00522E3F">
        <w:rPr>
          <w:rFonts w:eastAsiaTheme="minorEastAsia"/>
          <w:i/>
          <w:iCs/>
          <w:color w:val="000000" w:themeColor="text1"/>
        </w:rPr>
        <w:t>60</w:t>
      </w:r>
      <w:r w:rsidRPr="00522E3F">
        <w:rPr>
          <w:rFonts w:eastAsiaTheme="minorEastAsia"/>
          <w:color w:val="000000" w:themeColor="text1"/>
        </w:rPr>
        <w:t>(2), 290-306.</w:t>
      </w:r>
    </w:p>
    <w:p w14:paraId="7CDF43CB" w14:textId="510642BF" w:rsidR="34C1CDDF" w:rsidRPr="00522E3F" w:rsidRDefault="34C1CDDF" w:rsidP="6AE15775">
      <w:pPr>
        <w:rPr>
          <w:color w:val="000000" w:themeColor="text1"/>
        </w:rPr>
      </w:pPr>
      <w:r w:rsidRPr="00522E3F">
        <w:rPr>
          <w:color w:val="000000" w:themeColor="text1"/>
        </w:rPr>
        <w:br/>
      </w:r>
    </w:p>
    <w:p w14:paraId="78537C88" w14:textId="5592C716" w:rsidR="34C1CDDF" w:rsidRPr="00522E3F" w:rsidRDefault="34C1CDDF" w:rsidP="6AE15775">
      <w:pPr>
        <w:rPr>
          <w:color w:val="000000" w:themeColor="text1"/>
          <w:sz w:val="24"/>
          <w:szCs w:val="24"/>
        </w:rPr>
      </w:pPr>
    </w:p>
    <w:p w14:paraId="1C3569A0" w14:textId="38C23704" w:rsidR="34C1CDDF" w:rsidRPr="00522E3F" w:rsidRDefault="34C1CDDF" w:rsidP="6AE15775">
      <w:pPr>
        <w:rPr>
          <w:rFonts w:ascii="-apple-system" w:eastAsia="-apple-system" w:hAnsi="-apple-system" w:cs="-apple-system"/>
          <w:color w:val="000000" w:themeColor="text1"/>
          <w:sz w:val="24"/>
          <w:szCs w:val="24"/>
        </w:rPr>
      </w:pPr>
    </w:p>
    <w:p w14:paraId="1525CCB0" w14:textId="51E21C56" w:rsidR="34C1CDDF" w:rsidRPr="00522E3F" w:rsidRDefault="34C1CDDF" w:rsidP="6AE15775">
      <w:pPr>
        <w:rPr>
          <w:rFonts w:ascii="-apple-system" w:eastAsia="-apple-system" w:hAnsi="-apple-system" w:cs="-apple-system"/>
          <w:color w:val="000000" w:themeColor="text1"/>
          <w:sz w:val="24"/>
          <w:szCs w:val="24"/>
        </w:rPr>
      </w:pPr>
    </w:p>
    <w:sectPr w:rsidR="34C1CDDF" w:rsidRPr="00522E3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
    <w:altName w:val="Cambria"/>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D01CF1"/>
    <w:rsid w:val="0013053B"/>
    <w:rsid w:val="00522E3F"/>
    <w:rsid w:val="008F60AD"/>
    <w:rsid w:val="01F031D9"/>
    <w:rsid w:val="0597F902"/>
    <w:rsid w:val="06AD31EF"/>
    <w:rsid w:val="07CACDD0"/>
    <w:rsid w:val="0809AB92"/>
    <w:rsid w:val="0D51A0DC"/>
    <w:rsid w:val="136A8C97"/>
    <w:rsid w:val="14969B4D"/>
    <w:rsid w:val="15586A9B"/>
    <w:rsid w:val="1A3E2EC2"/>
    <w:rsid w:val="1ABFF81E"/>
    <w:rsid w:val="1B5C2885"/>
    <w:rsid w:val="1C5BC87F"/>
    <w:rsid w:val="1CF7F8E6"/>
    <w:rsid w:val="1DC169D1"/>
    <w:rsid w:val="1E5820A4"/>
    <w:rsid w:val="1ED3FA9F"/>
    <w:rsid w:val="1FF3F105"/>
    <w:rsid w:val="202A3CD3"/>
    <w:rsid w:val="213CEE14"/>
    <w:rsid w:val="216EE43A"/>
    <w:rsid w:val="21C60D34"/>
    <w:rsid w:val="21E98999"/>
    <w:rsid w:val="23D443A3"/>
    <w:rsid w:val="27FAA383"/>
    <w:rsid w:val="29F7DF6B"/>
    <w:rsid w:val="2D27D10D"/>
    <w:rsid w:val="2F2EED54"/>
    <w:rsid w:val="346E9266"/>
    <w:rsid w:val="34C1CDDF"/>
    <w:rsid w:val="3808A6A2"/>
    <w:rsid w:val="38496629"/>
    <w:rsid w:val="38B77232"/>
    <w:rsid w:val="3E8FD51E"/>
    <w:rsid w:val="41D69CB5"/>
    <w:rsid w:val="441CB289"/>
    <w:rsid w:val="450E3D77"/>
    <w:rsid w:val="455993EE"/>
    <w:rsid w:val="48D01CF1"/>
    <w:rsid w:val="48D6D847"/>
    <w:rsid w:val="4CD74F10"/>
    <w:rsid w:val="4E656C47"/>
    <w:rsid w:val="50703E9E"/>
    <w:rsid w:val="516B8975"/>
    <w:rsid w:val="53B88242"/>
    <w:rsid w:val="551D27F2"/>
    <w:rsid w:val="5553252B"/>
    <w:rsid w:val="58ECB942"/>
    <w:rsid w:val="591DE4C0"/>
    <w:rsid w:val="5B94D1B5"/>
    <w:rsid w:val="5CE3BDA1"/>
    <w:rsid w:val="5FE891C7"/>
    <w:rsid w:val="61AF846B"/>
    <w:rsid w:val="66465D2F"/>
    <w:rsid w:val="68B3BB00"/>
    <w:rsid w:val="6AE15775"/>
    <w:rsid w:val="6CF10BB7"/>
    <w:rsid w:val="6ED2647F"/>
    <w:rsid w:val="70F5C0FF"/>
    <w:rsid w:val="715FBFCE"/>
    <w:rsid w:val="749173D1"/>
    <w:rsid w:val="7518F988"/>
    <w:rsid w:val="754799EC"/>
    <w:rsid w:val="775C5763"/>
    <w:rsid w:val="776A8CF9"/>
    <w:rsid w:val="7782C14B"/>
    <w:rsid w:val="7CD30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01CF1"/>
  <w15:chartTrackingRefBased/>
  <w15:docId w15:val="{275DFB0E-A0E3-496D-AD58-B5DEFA252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2469</Words>
  <Characters>14077</Characters>
  <Application>Microsoft Office Word</Application>
  <DocSecurity>0</DocSecurity>
  <Lines>117</Lines>
  <Paragraphs>33</Paragraphs>
  <ScaleCrop>false</ScaleCrop>
  <Company/>
  <LinksUpToDate>false</LinksUpToDate>
  <CharactersWithSpaces>16513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Jones (2221548)</dc:creator>
  <cp:keywords/>
  <dc:description/>
  <cp:lastModifiedBy>Amanda John</cp:lastModifiedBy>
  <cp:revision>2</cp:revision>
  <dcterms:created xsi:type="dcterms:W3CDTF">2023-01-18T07:55:00Z</dcterms:created>
  <dcterms:modified xsi:type="dcterms:W3CDTF">2023-01-18T07:55:00Z</dcterms:modified>
</cp:coreProperties>
</file>