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2EFE" w14:textId="77777777" w:rsidR="000D13D3" w:rsidRDefault="000D13D3" w:rsidP="00A00F2B">
      <w:pPr>
        <w:pStyle w:val="NormalWeb"/>
        <w:spacing w:before="0" w:beforeAutospacing="0" w:after="0" w:afterAutospacing="0" w:line="216" w:lineRule="auto"/>
      </w:pPr>
      <w:r>
        <w:rPr>
          <w:rFonts w:ascii="Cambria" w:eastAsia="Cambria" w:hAnsi="Cambria" w:cs="Cambria"/>
          <w:color w:val="000000"/>
          <w:kern w:val="2"/>
          <w:sz w:val="22"/>
          <w:szCs w:val="22"/>
        </w:rPr>
        <w:t xml:space="preserve">Please Choose one of the following statements </w:t>
      </w:r>
      <w:r>
        <w:rPr>
          <w:rFonts w:ascii="Cambria" w:eastAsia="Cambria" w:hAnsi="Cambria" w:cs="Cambria"/>
          <w:b/>
          <w:bCs/>
          <w:color w:val="000000"/>
          <w:kern w:val="2"/>
          <w:sz w:val="22"/>
          <w:szCs w:val="22"/>
        </w:rPr>
        <w:t>[DELETE AS APPROPRIATE]</w:t>
      </w:r>
      <w:r>
        <w:rPr>
          <w:rFonts w:ascii="Cambria" w:eastAsia="Cambria" w:hAnsi="Cambria" w:cs="Cambria"/>
          <w:color w:val="000000"/>
          <w:kern w:val="2"/>
          <w:sz w:val="22"/>
          <w:szCs w:val="22"/>
        </w:rPr>
        <w:t xml:space="preserve"> </w:t>
      </w:r>
    </w:p>
    <w:p w14:paraId="23EBA8BB" w14:textId="77777777" w:rsidR="000D13D3" w:rsidRDefault="000D13D3" w:rsidP="00A00F2B">
      <w:pPr>
        <w:pStyle w:val="NormalWeb"/>
        <w:spacing w:before="0" w:beforeAutospacing="0" w:after="0" w:afterAutospacing="0" w:line="216" w:lineRule="auto"/>
      </w:pPr>
      <w:r>
        <w:rPr>
          <w:rFonts w:ascii="Cambria" w:eastAsia="Cambria" w:hAnsi="Cambria" w:cs="Cambria"/>
          <w:color w:val="000000"/>
          <w:kern w:val="2"/>
          <w:sz w:val="22"/>
          <w:szCs w:val="22"/>
        </w:rPr>
        <w:t xml:space="preserve">  </w:t>
      </w:r>
    </w:p>
    <w:p w14:paraId="22B4DB56" w14:textId="77777777" w:rsidR="000D13D3" w:rsidRDefault="000D13D3" w:rsidP="00A00F2B">
      <w:pPr>
        <w:pStyle w:val="NormalWeb"/>
        <w:spacing w:before="0" w:beforeAutospacing="0" w:after="0" w:afterAutospacing="0" w:line="216" w:lineRule="auto"/>
      </w:pPr>
      <w:r>
        <w:rPr>
          <w:rFonts w:ascii="Cambria" w:eastAsia="Cambria" w:hAnsi="Cambria" w:cs="Cambria"/>
          <w:color w:val="000000"/>
          <w:kern w:val="2"/>
          <w:sz w:val="22"/>
          <w:szCs w:val="22"/>
        </w:rPr>
        <w:t xml:space="preserve">a.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F4F3E13" w14:textId="77777777" w:rsidR="000D13D3" w:rsidRDefault="000D13D3" w:rsidP="00A00F2B">
      <w:pPr>
        <w:pStyle w:val="NormalWeb"/>
        <w:spacing w:before="0" w:beforeAutospacing="0" w:after="0" w:afterAutospacing="0" w:line="216" w:lineRule="auto"/>
      </w:pPr>
      <w:r>
        <w:rPr>
          <w:rFonts w:ascii="Cambria" w:eastAsia="Cambria" w:hAnsi="Cambria" w:cs="Cambria"/>
          <w:color w:val="000000"/>
          <w:kern w:val="2"/>
          <w:sz w:val="22"/>
          <w:szCs w:val="22"/>
        </w:rPr>
        <w:t xml:space="preserve">  </w:t>
      </w:r>
    </w:p>
    <w:p w14:paraId="3716630B" w14:textId="77777777" w:rsidR="000D13D3" w:rsidRDefault="000D13D3" w:rsidP="00E16099">
      <w:pPr>
        <w:spacing w:line="360" w:lineRule="auto"/>
        <w:rPr>
          <w:sz w:val="20"/>
          <w:szCs w:val="20"/>
        </w:rPr>
      </w:pPr>
    </w:p>
    <w:p w14:paraId="3B90FA6E" w14:textId="77777777" w:rsidR="000D13D3" w:rsidRDefault="000D13D3" w:rsidP="00E16099">
      <w:pPr>
        <w:spacing w:line="360" w:lineRule="auto"/>
        <w:rPr>
          <w:sz w:val="20"/>
          <w:szCs w:val="20"/>
        </w:rPr>
      </w:pPr>
    </w:p>
    <w:p w14:paraId="66BD8097" w14:textId="70E27AE1" w:rsidR="00AA317F" w:rsidRPr="00E16099" w:rsidRDefault="00CD1E34" w:rsidP="00E16099">
      <w:pPr>
        <w:spacing w:line="360" w:lineRule="auto"/>
        <w:rPr>
          <w:sz w:val="20"/>
          <w:szCs w:val="20"/>
        </w:rPr>
      </w:pPr>
      <w:r w:rsidRPr="00E16099">
        <w:rPr>
          <w:sz w:val="20"/>
          <w:szCs w:val="20"/>
        </w:rPr>
        <w:t>H</w:t>
      </w:r>
      <w:r w:rsidR="000E7D6C" w:rsidRPr="00E16099">
        <w:rPr>
          <w:sz w:val="20"/>
          <w:szCs w:val="20"/>
        </w:rPr>
        <w:t xml:space="preserve">ow do different play areas </w:t>
      </w:r>
      <w:r w:rsidR="00936EE5" w:rsidRPr="00E16099">
        <w:rPr>
          <w:sz w:val="20"/>
          <w:szCs w:val="20"/>
        </w:rPr>
        <w:t>(e.g</w:t>
      </w:r>
      <w:r w:rsidR="000E7D6C" w:rsidRPr="00E16099">
        <w:rPr>
          <w:sz w:val="20"/>
          <w:szCs w:val="20"/>
        </w:rPr>
        <w:t xml:space="preserve"> role play, outdoors and construction) affect children engagement levels during child led play in children aged 3-</w:t>
      </w:r>
      <w:r w:rsidR="00936EE5" w:rsidRPr="00E16099">
        <w:rPr>
          <w:sz w:val="20"/>
          <w:szCs w:val="20"/>
        </w:rPr>
        <w:t>4?</w:t>
      </w:r>
    </w:p>
    <w:p w14:paraId="7953C700" w14:textId="77777777" w:rsidR="00AC5CCA" w:rsidRPr="00E16099" w:rsidRDefault="00AC5CCA" w:rsidP="00E16099">
      <w:pPr>
        <w:spacing w:line="360" w:lineRule="auto"/>
        <w:rPr>
          <w:sz w:val="20"/>
          <w:szCs w:val="20"/>
        </w:rPr>
      </w:pPr>
    </w:p>
    <w:p w14:paraId="1E0646DC" w14:textId="458AF9CD" w:rsidR="00AC5CCA" w:rsidRPr="00E16099" w:rsidRDefault="00AC5CCA" w:rsidP="00E16099">
      <w:pPr>
        <w:spacing w:line="360" w:lineRule="auto"/>
        <w:rPr>
          <w:sz w:val="20"/>
          <w:szCs w:val="20"/>
        </w:rPr>
      </w:pPr>
      <w:r w:rsidRPr="00E16099">
        <w:rPr>
          <w:sz w:val="20"/>
          <w:szCs w:val="20"/>
        </w:rPr>
        <w:t>Engagement is widely recognised as a key indicator of deep</w:t>
      </w:r>
      <w:r w:rsidR="00B04048" w:rsidRPr="00E16099">
        <w:rPr>
          <w:rFonts w:cs="Cambria Math"/>
          <w:sz w:val="20"/>
          <w:szCs w:val="20"/>
        </w:rPr>
        <w:t xml:space="preserve"> </w:t>
      </w:r>
      <w:r w:rsidRPr="00E16099">
        <w:rPr>
          <w:sz w:val="20"/>
          <w:szCs w:val="20"/>
        </w:rPr>
        <w:t>level learning, wellbeing, and cognitive development in the early years. Laevers (1994) describes engagement as the intensity of a child’s mental and emotional involvement, and more recent research continues to emphasise its importance for sustained attention and intrinsic motivation. Pascal and Bertram (2016) argue that high engagement reflects deep</w:t>
      </w:r>
      <w:r w:rsidR="001D2654" w:rsidRPr="00E16099">
        <w:rPr>
          <w:rFonts w:cs="Cambria Math"/>
          <w:sz w:val="20"/>
          <w:szCs w:val="20"/>
        </w:rPr>
        <w:t xml:space="preserve">. </w:t>
      </w:r>
      <w:r w:rsidRPr="00E16099">
        <w:rPr>
          <w:sz w:val="20"/>
          <w:szCs w:val="20"/>
        </w:rPr>
        <w:t>level learning, while Whitebread et al. (2012) highlight its role in developing self</w:t>
      </w:r>
      <w:r w:rsidR="001D2654" w:rsidRPr="00E16099">
        <w:rPr>
          <w:rFonts w:cs="Cambria Math"/>
          <w:sz w:val="20"/>
          <w:szCs w:val="20"/>
        </w:rPr>
        <w:t xml:space="preserve"> </w:t>
      </w:r>
      <w:r w:rsidRPr="00E16099">
        <w:rPr>
          <w:sz w:val="20"/>
          <w:szCs w:val="20"/>
        </w:rPr>
        <w:t>regulation. Understanding how different play areas influence engagement is therefore essential for early years practitioners, particularly in settings where child</w:t>
      </w:r>
      <w:r w:rsidR="001D2654" w:rsidRPr="00E16099">
        <w:rPr>
          <w:rFonts w:cs="Cambria Math"/>
          <w:sz w:val="20"/>
          <w:szCs w:val="20"/>
        </w:rPr>
        <w:t xml:space="preserve"> </w:t>
      </w:r>
      <w:r w:rsidRPr="00E16099">
        <w:rPr>
          <w:sz w:val="20"/>
          <w:szCs w:val="20"/>
        </w:rPr>
        <w:t>led play forms the foundation of pedagogy.</w:t>
      </w:r>
    </w:p>
    <w:p w14:paraId="71D92323" w14:textId="77777777" w:rsidR="00AC5CCA" w:rsidRPr="00E16099" w:rsidRDefault="00AC5CCA" w:rsidP="00E16099">
      <w:pPr>
        <w:spacing w:line="360" w:lineRule="auto"/>
        <w:rPr>
          <w:sz w:val="20"/>
          <w:szCs w:val="20"/>
        </w:rPr>
      </w:pPr>
    </w:p>
    <w:p w14:paraId="1F415A46" w14:textId="6F298868" w:rsidR="00AC5CCA" w:rsidRPr="00E16099" w:rsidRDefault="00AC5CCA" w:rsidP="00E16099">
      <w:pPr>
        <w:spacing w:line="360" w:lineRule="auto"/>
        <w:rPr>
          <w:sz w:val="20"/>
          <w:szCs w:val="20"/>
        </w:rPr>
      </w:pPr>
      <w:r w:rsidRPr="00E16099">
        <w:rPr>
          <w:sz w:val="20"/>
          <w:szCs w:val="20"/>
        </w:rPr>
        <w:t>In Wales, play</w:t>
      </w:r>
      <w:r w:rsidR="002966CC" w:rsidRPr="00E16099">
        <w:rPr>
          <w:rFonts w:cs="Cambria Math"/>
          <w:sz w:val="20"/>
          <w:szCs w:val="20"/>
        </w:rPr>
        <w:t xml:space="preserve"> </w:t>
      </w:r>
      <w:r w:rsidRPr="00E16099">
        <w:rPr>
          <w:sz w:val="20"/>
          <w:szCs w:val="20"/>
        </w:rPr>
        <w:t xml:space="preserve">based learning is central to national policy. The Curriculum for Wales positions </w:t>
      </w:r>
      <w:bookmarkStart w:id="0" w:name="_Int_Kgd9pXqJ"/>
      <w:r w:rsidRPr="00E16099">
        <w:rPr>
          <w:sz w:val="20"/>
          <w:szCs w:val="20"/>
        </w:rPr>
        <w:t>play</w:t>
      </w:r>
      <w:bookmarkEnd w:id="0"/>
      <w:r w:rsidRPr="00E16099">
        <w:rPr>
          <w:sz w:val="20"/>
          <w:szCs w:val="20"/>
        </w:rPr>
        <w:t xml:space="preserve"> as a core pedagogical approach, emphasising holistic, experiential learning grounded in exploration and active engagement (Welsh Government, 2022). The ECPLC Quality Framework reinforces this by highlighting the importance of “engaging experiences” and </w:t>
      </w:r>
      <w:bookmarkStart w:id="1" w:name="_Int_j3PErWCZ"/>
      <w:r w:rsidRPr="00E16099">
        <w:rPr>
          <w:sz w:val="20"/>
          <w:szCs w:val="20"/>
        </w:rPr>
        <w:t>high</w:t>
      </w:r>
      <w:r w:rsidR="002966CC" w:rsidRPr="00E16099">
        <w:rPr>
          <w:rFonts w:cs="Cambria Math"/>
          <w:sz w:val="20"/>
          <w:szCs w:val="20"/>
        </w:rPr>
        <w:t xml:space="preserve"> </w:t>
      </w:r>
      <w:r w:rsidRPr="00E16099">
        <w:rPr>
          <w:sz w:val="20"/>
          <w:szCs w:val="20"/>
        </w:rPr>
        <w:t>quality</w:t>
      </w:r>
      <w:bookmarkEnd w:id="1"/>
      <w:r w:rsidRPr="00E16099">
        <w:rPr>
          <w:sz w:val="20"/>
          <w:szCs w:val="20"/>
        </w:rPr>
        <w:t xml:space="preserve"> environments that promote children’s wellbeing and involvement (Welsh Government, 2024). National strategies such as Talk </w:t>
      </w:r>
      <w:bookmarkStart w:id="2" w:name="_Int_3xmmlTDc"/>
      <w:r w:rsidRPr="00E16099">
        <w:rPr>
          <w:sz w:val="20"/>
          <w:szCs w:val="20"/>
        </w:rPr>
        <w:t>With</w:t>
      </w:r>
      <w:bookmarkEnd w:id="2"/>
      <w:r w:rsidRPr="00E16099">
        <w:rPr>
          <w:sz w:val="20"/>
          <w:szCs w:val="20"/>
        </w:rPr>
        <w:t xml:space="preserve"> Me further stress the importance of rich, interactive environments for supporting communication and engagement (Welsh Government, 2020). Despite this strong policy context, limited empirical research examines how specific play areas</w:t>
      </w:r>
      <w:r w:rsidR="00545406" w:rsidRPr="00E16099">
        <w:rPr>
          <w:sz w:val="20"/>
          <w:szCs w:val="20"/>
        </w:rPr>
        <w:t xml:space="preserve"> such as </w:t>
      </w:r>
      <w:r w:rsidRPr="00E16099">
        <w:rPr>
          <w:sz w:val="20"/>
          <w:szCs w:val="20"/>
        </w:rPr>
        <w:t>role play, construction, and outdoor environments</w:t>
      </w:r>
      <w:r w:rsidR="00545406" w:rsidRPr="00E16099">
        <w:rPr>
          <w:sz w:val="20"/>
          <w:szCs w:val="20"/>
        </w:rPr>
        <w:t xml:space="preserve">, </w:t>
      </w:r>
      <w:r w:rsidRPr="00E16099">
        <w:rPr>
          <w:sz w:val="20"/>
          <w:szCs w:val="20"/>
        </w:rPr>
        <w:t xml:space="preserve">shape engagement for children aged three to four. This review therefore explores the theoretical foundations of engagement, the role of </w:t>
      </w:r>
      <w:bookmarkStart w:id="3" w:name="_Int_hBHcmHAT"/>
      <w:r w:rsidRPr="00E16099">
        <w:rPr>
          <w:sz w:val="20"/>
          <w:szCs w:val="20"/>
        </w:rPr>
        <w:t>child</w:t>
      </w:r>
      <w:r w:rsidR="00234900" w:rsidRPr="00E16099">
        <w:rPr>
          <w:rFonts w:cs="Cambria Math"/>
          <w:sz w:val="20"/>
          <w:szCs w:val="20"/>
        </w:rPr>
        <w:t xml:space="preserve"> </w:t>
      </w:r>
      <w:r w:rsidRPr="00E16099">
        <w:rPr>
          <w:sz w:val="20"/>
          <w:szCs w:val="20"/>
        </w:rPr>
        <w:t>initiated</w:t>
      </w:r>
      <w:bookmarkEnd w:id="3"/>
      <w:r w:rsidRPr="00E16099">
        <w:rPr>
          <w:sz w:val="20"/>
          <w:szCs w:val="20"/>
        </w:rPr>
        <w:t xml:space="preserve"> learning, and the influence of play environments, before identifying gaps relevant to the proposed study.</w:t>
      </w:r>
    </w:p>
    <w:p w14:paraId="2930F74A" w14:textId="77777777" w:rsidR="00AC5CCA" w:rsidRPr="00E16099" w:rsidRDefault="00AC5CCA" w:rsidP="00E16099">
      <w:pPr>
        <w:spacing w:line="360" w:lineRule="auto"/>
        <w:rPr>
          <w:sz w:val="20"/>
          <w:szCs w:val="20"/>
        </w:rPr>
      </w:pPr>
    </w:p>
    <w:p w14:paraId="74977C56" w14:textId="023030C4" w:rsidR="00AC5CCA" w:rsidRPr="00E16099" w:rsidRDefault="00AC5CCA" w:rsidP="00E16099">
      <w:pPr>
        <w:spacing w:line="360" w:lineRule="auto"/>
        <w:rPr>
          <w:sz w:val="20"/>
          <w:szCs w:val="20"/>
        </w:rPr>
      </w:pPr>
      <w:r w:rsidRPr="00E16099">
        <w:rPr>
          <w:sz w:val="20"/>
          <w:szCs w:val="20"/>
        </w:rPr>
        <w:t xml:space="preserve">Sociocultural and constructivist theories provide </w:t>
      </w:r>
      <w:r w:rsidR="00234900" w:rsidRPr="00E16099">
        <w:rPr>
          <w:sz w:val="20"/>
          <w:szCs w:val="20"/>
        </w:rPr>
        <w:t>a solid foundation</w:t>
      </w:r>
      <w:r w:rsidRPr="00E16099">
        <w:rPr>
          <w:sz w:val="20"/>
          <w:szCs w:val="20"/>
        </w:rPr>
        <w:t xml:space="preserve"> for understanding engagement in early years play. Vygotsky (1978) argues that learning is socially mediated, with children developing through interaction, language, and shared activity. Contemporary interpretations extend this view: Fleer (2015) highlights how cultural tools and environments shape children’s engagement, while Siraj et al. (2015) </w:t>
      </w:r>
      <w:r w:rsidR="0051388A" w:rsidRPr="00E16099">
        <w:rPr>
          <w:sz w:val="20"/>
          <w:szCs w:val="20"/>
        </w:rPr>
        <w:t>show</w:t>
      </w:r>
      <w:r w:rsidRPr="00E16099">
        <w:rPr>
          <w:sz w:val="20"/>
          <w:szCs w:val="20"/>
        </w:rPr>
        <w:t xml:space="preserve"> that sustained shared thinking remains a key mechanism through which adults support </w:t>
      </w:r>
      <w:r w:rsidRPr="00E16099">
        <w:rPr>
          <w:sz w:val="20"/>
          <w:szCs w:val="20"/>
        </w:rPr>
        <w:lastRenderedPageBreak/>
        <w:t xml:space="preserve">learning. Bruner’s (1983) concept of scaffolding also </w:t>
      </w:r>
      <w:bookmarkStart w:id="4" w:name="_Int_kGazq11J"/>
      <w:r w:rsidRPr="00E16099">
        <w:rPr>
          <w:sz w:val="20"/>
          <w:szCs w:val="20"/>
        </w:rPr>
        <w:t>remains</w:t>
      </w:r>
      <w:bookmarkEnd w:id="4"/>
      <w:r w:rsidRPr="00E16099">
        <w:rPr>
          <w:sz w:val="20"/>
          <w:szCs w:val="20"/>
        </w:rPr>
        <w:t xml:space="preserve"> influential, and recent research shows that high</w:t>
      </w:r>
      <w:r w:rsidRPr="00E16099">
        <w:rPr>
          <w:rFonts w:ascii="Cambria Math" w:hAnsi="Cambria Math" w:cs="Cambria Math"/>
          <w:sz w:val="20"/>
          <w:szCs w:val="20"/>
        </w:rPr>
        <w:t>‑</w:t>
      </w:r>
      <w:r w:rsidRPr="00E16099">
        <w:rPr>
          <w:sz w:val="20"/>
          <w:szCs w:val="20"/>
        </w:rPr>
        <w:t>quality adult</w:t>
      </w:r>
      <w:r w:rsidRPr="00E16099">
        <w:rPr>
          <w:rFonts w:ascii="Cambria Math" w:hAnsi="Cambria Math" w:cs="Cambria Math"/>
          <w:sz w:val="20"/>
          <w:szCs w:val="20"/>
        </w:rPr>
        <w:t>‑</w:t>
      </w:r>
      <w:r w:rsidRPr="00E16099">
        <w:rPr>
          <w:sz w:val="20"/>
          <w:szCs w:val="20"/>
        </w:rPr>
        <w:t>child interaction is central to extending children’s thinking (Gura, 2016). Constructivist perspectives further contribute to understanding engagement. Piaget (1962) emphasises active exploration and symbolic play, and modern research supports these principles. Whitebread et al. (2012) show that exploratory play fosters cognitive flexibility, while Bruce (2011) highlights the role of imaginative play in promoting deep involvement. Cohen, Manion and Morrison (2018) add that learning environments significantly influence children’s behaviour, motivation, and engagement. Together, these theories demonstrate that play is a powerful context for learning, with engagement acting as a key mechanism through which development occurs.</w:t>
      </w:r>
    </w:p>
    <w:p w14:paraId="7289DAE9" w14:textId="77777777" w:rsidR="00AC5CCA" w:rsidRPr="00E16099" w:rsidRDefault="00AC5CCA" w:rsidP="00E16099">
      <w:pPr>
        <w:spacing w:line="360" w:lineRule="auto"/>
        <w:rPr>
          <w:sz w:val="20"/>
          <w:szCs w:val="20"/>
        </w:rPr>
      </w:pPr>
    </w:p>
    <w:p w14:paraId="70DBE4D3" w14:textId="6533D884" w:rsidR="00AC5CCA" w:rsidRPr="00E16099" w:rsidRDefault="00AC5CCA" w:rsidP="00157506">
      <w:pPr>
        <w:spacing w:line="360" w:lineRule="auto"/>
        <w:rPr>
          <w:sz w:val="20"/>
          <w:szCs w:val="20"/>
        </w:rPr>
      </w:pPr>
      <w:r w:rsidRPr="00E16099">
        <w:rPr>
          <w:sz w:val="20"/>
          <w:szCs w:val="20"/>
        </w:rPr>
        <w:t>Child</w:t>
      </w:r>
      <w:r w:rsidR="0051388A" w:rsidRPr="00E16099">
        <w:rPr>
          <w:rFonts w:cs="Cambria Math"/>
          <w:sz w:val="20"/>
          <w:szCs w:val="20"/>
        </w:rPr>
        <w:t xml:space="preserve"> </w:t>
      </w:r>
      <w:r w:rsidRPr="00E16099">
        <w:rPr>
          <w:sz w:val="20"/>
          <w:szCs w:val="20"/>
        </w:rPr>
        <w:t>led play is characterised by autonomy, intrinsic motivation, and self</w:t>
      </w:r>
      <w:r w:rsidR="0051388A" w:rsidRPr="00E16099">
        <w:rPr>
          <w:rFonts w:cs="Cambria Math"/>
          <w:sz w:val="20"/>
          <w:szCs w:val="20"/>
        </w:rPr>
        <w:t xml:space="preserve"> </w:t>
      </w:r>
      <w:r w:rsidRPr="00E16099">
        <w:rPr>
          <w:sz w:val="20"/>
          <w:szCs w:val="20"/>
        </w:rPr>
        <w:t xml:space="preserve">direction. Research shows that when children choose their own activities, they </w:t>
      </w:r>
      <w:bookmarkStart w:id="5" w:name="_Int_o85xdnbv"/>
      <w:r w:rsidRPr="00E16099">
        <w:rPr>
          <w:sz w:val="20"/>
          <w:szCs w:val="20"/>
        </w:rPr>
        <w:t>demonstrate</w:t>
      </w:r>
      <w:bookmarkEnd w:id="5"/>
      <w:r w:rsidRPr="00E16099">
        <w:rPr>
          <w:sz w:val="20"/>
          <w:szCs w:val="20"/>
        </w:rPr>
        <w:t xml:space="preserve"> higher levels of concentration, persistence, and involvement (Pascal and Bertram, 2012). Bruce (2011) argues that </w:t>
      </w:r>
      <w:bookmarkStart w:id="6" w:name="_Int_FEKJva6d"/>
      <w:r w:rsidRPr="00E16099">
        <w:rPr>
          <w:sz w:val="20"/>
          <w:szCs w:val="20"/>
        </w:rPr>
        <w:t>child</w:t>
      </w:r>
      <w:r w:rsidR="00892A98" w:rsidRPr="00E16099">
        <w:rPr>
          <w:rFonts w:cs="Cambria Math"/>
          <w:sz w:val="20"/>
          <w:szCs w:val="20"/>
        </w:rPr>
        <w:t xml:space="preserve"> </w:t>
      </w:r>
      <w:r w:rsidRPr="00E16099">
        <w:rPr>
          <w:sz w:val="20"/>
          <w:szCs w:val="20"/>
        </w:rPr>
        <w:t>initiated</w:t>
      </w:r>
      <w:bookmarkEnd w:id="6"/>
      <w:r w:rsidRPr="00E16099">
        <w:rPr>
          <w:sz w:val="20"/>
          <w:szCs w:val="20"/>
        </w:rPr>
        <w:t xml:space="preserve"> play enables children to enter states of deep involvement, reinforcing the link between autonomy and engagement. Different play areas offer different affordances for engagement. Role</w:t>
      </w:r>
      <w:r w:rsidRPr="00E16099">
        <w:rPr>
          <w:rFonts w:ascii="Cambria Math" w:hAnsi="Cambria Math" w:cs="Cambria Math"/>
          <w:sz w:val="20"/>
          <w:szCs w:val="20"/>
        </w:rPr>
        <w:t>‑</w:t>
      </w:r>
      <w:r w:rsidRPr="00E16099">
        <w:rPr>
          <w:sz w:val="20"/>
          <w:szCs w:val="20"/>
        </w:rPr>
        <w:t>play areas support imaginative thinking, social interaction, and communication (Smilansky and Shefatya, 2012). Gura (2016) highlights the importance of socio</w:t>
      </w:r>
      <w:r w:rsidRPr="00E16099">
        <w:rPr>
          <w:rFonts w:ascii="Cambria Math" w:hAnsi="Cambria Math" w:cs="Cambria Math"/>
          <w:sz w:val="20"/>
          <w:szCs w:val="20"/>
        </w:rPr>
        <w:t>‑</w:t>
      </w:r>
      <w:r w:rsidRPr="00E16099">
        <w:rPr>
          <w:sz w:val="20"/>
          <w:szCs w:val="20"/>
        </w:rPr>
        <w:t>dramatic play for language and narrative development. Construction areas promote problem</w:t>
      </w:r>
      <w:r w:rsidRPr="00E16099">
        <w:rPr>
          <w:rFonts w:ascii="Cambria Math" w:hAnsi="Cambria Math" w:cs="Cambria Math"/>
          <w:sz w:val="20"/>
          <w:szCs w:val="20"/>
        </w:rPr>
        <w:t>‑</w:t>
      </w:r>
      <w:r w:rsidRPr="00E16099">
        <w:rPr>
          <w:sz w:val="20"/>
          <w:szCs w:val="20"/>
        </w:rPr>
        <w:t>solving, collaboration, and fine</w:t>
      </w:r>
      <w:r w:rsidRPr="00E16099">
        <w:rPr>
          <w:rFonts w:ascii="Cambria Math" w:hAnsi="Cambria Math" w:cs="Cambria Math"/>
          <w:sz w:val="20"/>
          <w:szCs w:val="20"/>
        </w:rPr>
        <w:t>‑</w:t>
      </w:r>
      <w:r w:rsidRPr="00E16099">
        <w:rPr>
          <w:sz w:val="20"/>
          <w:szCs w:val="20"/>
        </w:rPr>
        <w:t>motor development (Casey, 2010). Outdoor environments provide opportunities for physical exploration, risk</w:t>
      </w:r>
      <w:r w:rsidRPr="00E16099">
        <w:rPr>
          <w:rFonts w:ascii="Cambria Math" w:hAnsi="Cambria Math" w:cs="Cambria Math"/>
          <w:sz w:val="20"/>
          <w:szCs w:val="20"/>
        </w:rPr>
        <w:t>‑</w:t>
      </w:r>
      <w:r w:rsidRPr="00E16099">
        <w:rPr>
          <w:sz w:val="20"/>
          <w:szCs w:val="20"/>
        </w:rPr>
        <w:t>taking, and sensory engagement (Bilton, 2014). Tovey (2017) similarly emphasises the value of outdoor play for holistic development. The ECPLC framework stresses that high</w:t>
      </w:r>
      <w:r w:rsidRPr="00E16099">
        <w:rPr>
          <w:rFonts w:ascii="Cambria Math" w:hAnsi="Cambria Math" w:cs="Cambria Math"/>
          <w:sz w:val="20"/>
          <w:szCs w:val="20"/>
        </w:rPr>
        <w:t>‑</w:t>
      </w:r>
      <w:r w:rsidRPr="00E16099">
        <w:rPr>
          <w:sz w:val="20"/>
          <w:szCs w:val="20"/>
        </w:rPr>
        <w:t>quality play spaces should be responsive to children’s interests and developmental needs (Welsh Government, 2024). Wood (2014) highlights that child</w:t>
      </w:r>
      <w:r w:rsidRPr="00E16099">
        <w:rPr>
          <w:rFonts w:ascii="Cambria Math" w:hAnsi="Cambria Math" w:cs="Cambria Math"/>
          <w:sz w:val="20"/>
          <w:szCs w:val="20"/>
        </w:rPr>
        <w:t>‑</w:t>
      </w:r>
      <w:r w:rsidRPr="00E16099">
        <w:rPr>
          <w:sz w:val="20"/>
          <w:szCs w:val="20"/>
        </w:rPr>
        <w:t>initiated activity supports autonomy and engagement, but that adult guidance remains essential for extending learning.</w:t>
      </w:r>
      <w:r w:rsidR="00301D2C" w:rsidRPr="00E16099">
        <w:rPr>
          <w:sz w:val="20"/>
          <w:szCs w:val="20"/>
        </w:rPr>
        <w:t xml:space="preserve"> Siraj et al. (2015) show that well</w:t>
      </w:r>
      <w:r w:rsidR="00301D2C" w:rsidRPr="00E16099">
        <w:rPr>
          <w:rFonts w:ascii="Cambria Math" w:hAnsi="Cambria Math" w:cs="Cambria Math"/>
          <w:sz w:val="20"/>
          <w:szCs w:val="20"/>
        </w:rPr>
        <w:t>‑</w:t>
      </w:r>
      <w:r w:rsidR="00301D2C" w:rsidRPr="00E16099">
        <w:rPr>
          <w:sz w:val="20"/>
          <w:szCs w:val="20"/>
        </w:rPr>
        <w:t>designed learning spaces, combined with effective adult interactions, play a central role in shaping children’s engagement.</w:t>
      </w:r>
    </w:p>
    <w:p w14:paraId="3EE65A34" w14:textId="77777777" w:rsidR="00AC5CCA" w:rsidRPr="00E16099" w:rsidRDefault="00AC5CCA" w:rsidP="00E16099">
      <w:pPr>
        <w:spacing w:line="360" w:lineRule="auto"/>
        <w:rPr>
          <w:sz w:val="20"/>
          <w:szCs w:val="20"/>
        </w:rPr>
      </w:pPr>
    </w:p>
    <w:p w14:paraId="261F57C8" w14:textId="01735092" w:rsidR="00AC5CCA" w:rsidRPr="00E16099" w:rsidRDefault="00AC5CCA" w:rsidP="00E16099">
      <w:pPr>
        <w:spacing w:line="360" w:lineRule="auto"/>
        <w:rPr>
          <w:sz w:val="20"/>
          <w:szCs w:val="20"/>
        </w:rPr>
      </w:pPr>
      <w:r w:rsidRPr="00E16099">
        <w:rPr>
          <w:sz w:val="20"/>
          <w:szCs w:val="20"/>
        </w:rPr>
        <w:t>The Welsh Government’s ECPLC framework provides detailed guidance on creating effective environments that support children’s engagement. It emphasises that high</w:t>
      </w:r>
      <w:r w:rsidRPr="00E16099">
        <w:rPr>
          <w:rFonts w:ascii="Cambria Math" w:hAnsi="Cambria Math" w:cs="Cambria Math"/>
          <w:sz w:val="20"/>
          <w:szCs w:val="20"/>
        </w:rPr>
        <w:t>‑</w:t>
      </w:r>
      <w:r w:rsidRPr="00E16099">
        <w:rPr>
          <w:sz w:val="20"/>
          <w:szCs w:val="20"/>
        </w:rPr>
        <w:t>quality environments should be well</w:t>
      </w:r>
      <w:r w:rsidRPr="00E16099">
        <w:rPr>
          <w:rFonts w:ascii="Cambria Math" w:hAnsi="Cambria Math" w:cs="Cambria Math"/>
          <w:sz w:val="20"/>
          <w:szCs w:val="20"/>
        </w:rPr>
        <w:t>‑</w:t>
      </w:r>
      <w:r w:rsidRPr="00E16099">
        <w:rPr>
          <w:sz w:val="20"/>
          <w:szCs w:val="20"/>
        </w:rPr>
        <w:t>planned, stimulating, and reflective of children’s developmental needs (Welsh Government, 2024). Outdoor play is given particular emphasis in Welsh policy, which recognises its importance for physical, emotional, and cognitive development (Welsh Government, 2022). Research within Wales supports this emphasis. Maynard and Waters (2007) found that outdoor environments often promote higher levels of engagement than indoor spaces, highlighting the unique affordances of outdoor play for sustained involvement. Indoor play areas such as construction and role</w:t>
      </w:r>
      <w:r w:rsidRPr="00E16099">
        <w:rPr>
          <w:rFonts w:ascii="Cambria Math" w:hAnsi="Cambria Math" w:cs="Cambria Math"/>
          <w:sz w:val="20"/>
          <w:szCs w:val="20"/>
        </w:rPr>
        <w:t>‑</w:t>
      </w:r>
      <w:r w:rsidRPr="00E16099">
        <w:rPr>
          <w:sz w:val="20"/>
          <w:szCs w:val="20"/>
        </w:rPr>
        <w:t xml:space="preserve">play spaces are also highlighted as key components of effective early years environments. This policy context strengthens the relevance of </w:t>
      </w:r>
      <w:r w:rsidRPr="00E16099">
        <w:rPr>
          <w:sz w:val="20"/>
          <w:szCs w:val="20"/>
        </w:rPr>
        <w:lastRenderedPageBreak/>
        <w:t xml:space="preserve">investigating how different play areas influence engagement, particularly within Welsh settings where </w:t>
      </w:r>
      <w:bookmarkStart w:id="7" w:name="_Int_7pRQvGvd"/>
      <w:r w:rsidRPr="00E16099">
        <w:rPr>
          <w:sz w:val="20"/>
          <w:szCs w:val="20"/>
        </w:rPr>
        <w:t>pla</w:t>
      </w:r>
      <w:r w:rsidR="00157506">
        <w:rPr>
          <w:sz w:val="20"/>
          <w:szCs w:val="20"/>
        </w:rPr>
        <w:t>y</w:t>
      </w:r>
      <w:r w:rsidR="00157506">
        <w:rPr>
          <w:rFonts w:ascii="Cambria Math" w:hAnsi="Cambria Math" w:cs="Cambria Math"/>
          <w:sz w:val="20"/>
          <w:szCs w:val="20"/>
        </w:rPr>
        <w:t xml:space="preserve"> </w:t>
      </w:r>
      <w:r w:rsidRPr="00E16099">
        <w:rPr>
          <w:sz w:val="20"/>
          <w:szCs w:val="20"/>
        </w:rPr>
        <w:t>based</w:t>
      </w:r>
      <w:bookmarkEnd w:id="7"/>
      <w:r w:rsidRPr="00E16099">
        <w:rPr>
          <w:sz w:val="20"/>
          <w:szCs w:val="20"/>
        </w:rPr>
        <w:t xml:space="preserve"> pedagogy is central.</w:t>
      </w:r>
    </w:p>
    <w:p w14:paraId="0FC23CE5" w14:textId="77777777" w:rsidR="00AC5CCA" w:rsidRPr="00E16099" w:rsidRDefault="00AC5CCA" w:rsidP="00E16099">
      <w:pPr>
        <w:spacing w:line="360" w:lineRule="auto"/>
        <w:rPr>
          <w:sz w:val="20"/>
          <w:szCs w:val="20"/>
        </w:rPr>
      </w:pPr>
    </w:p>
    <w:p w14:paraId="5EB236D7" w14:textId="496E6A0D" w:rsidR="00AC5CCA" w:rsidRPr="00E16099" w:rsidRDefault="00AC5CCA" w:rsidP="00E16099">
      <w:pPr>
        <w:spacing w:line="360" w:lineRule="auto"/>
        <w:rPr>
          <w:sz w:val="20"/>
          <w:szCs w:val="20"/>
        </w:rPr>
      </w:pPr>
      <w:r w:rsidRPr="00E16099">
        <w:rPr>
          <w:sz w:val="20"/>
          <w:szCs w:val="20"/>
        </w:rPr>
        <w:t xml:space="preserve">Although Welsh policy places considerable emphasis on </w:t>
      </w:r>
      <w:bookmarkStart w:id="8" w:name="_Int_3n4OnLTs"/>
      <w:r w:rsidRPr="00E16099">
        <w:rPr>
          <w:sz w:val="20"/>
          <w:szCs w:val="20"/>
        </w:rPr>
        <w:t>play</w:t>
      </w:r>
      <w:bookmarkEnd w:id="8"/>
      <w:r w:rsidR="00892A98" w:rsidRPr="00E16099">
        <w:rPr>
          <w:rFonts w:cs="Cambria Math"/>
          <w:sz w:val="20"/>
          <w:szCs w:val="20"/>
        </w:rPr>
        <w:t xml:space="preserve"> </w:t>
      </w:r>
      <w:r w:rsidRPr="00E16099">
        <w:rPr>
          <w:sz w:val="20"/>
          <w:szCs w:val="20"/>
        </w:rPr>
        <w:t xml:space="preserve">based learning, there </w:t>
      </w:r>
      <w:r w:rsidR="00892A98" w:rsidRPr="00E16099">
        <w:rPr>
          <w:sz w:val="20"/>
          <w:szCs w:val="20"/>
        </w:rPr>
        <w:t>is still</w:t>
      </w:r>
      <w:r w:rsidRPr="00E16099">
        <w:rPr>
          <w:sz w:val="20"/>
          <w:szCs w:val="20"/>
        </w:rPr>
        <w:t xml:space="preserve"> a lack of empirical research examining how specific play areas influence children’s engagement within Welsh early years settings. Much existing evidence focuses on broader pedagogical principles rather than the distinct affordances of areas such as construction, role</w:t>
      </w:r>
      <w:r w:rsidR="00B95267" w:rsidRPr="00E16099">
        <w:rPr>
          <w:rFonts w:cs="Cambria Math"/>
          <w:sz w:val="20"/>
          <w:szCs w:val="20"/>
        </w:rPr>
        <w:t xml:space="preserve"> </w:t>
      </w:r>
      <w:r w:rsidRPr="00E16099">
        <w:rPr>
          <w:sz w:val="20"/>
          <w:szCs w:val="20"/>
        </w:rPr>
        <w:t xml:space="preserve">play, or outdoor provision. Siraj et al. (2015) highlight the importance of </w:t>
      </w:r>
      <w:bookmarkStart w:id="9" w:name="_Int_28RGl2LD"/>
      <w:r w:rsidRPr="00E16099">
        <w:rPr>
          <w:sz w:val="20"/>
          <w:szCs w:val="20"/>
        </w:rPr>
        <w:t>high</w:t>
      </w:r>
      <w:r w:rsidR="00AD600E" w:rsidRPr="00E16099">
        <w:rPr>
          <w:rFonts w:cs="Cambria Math"/>
          <w:sz w:val="20"/>
          <w:szCs w:val="20"/>
        </w:rPr>
        <w:t xml:space="preserve"> </w:t>
      </w:r>
      <w:r w:rsidRPr="00E16099">
        <w:rPr>
          <w:sz w:val="20"/>
          <w:szCs w:val="20"/>
        </w:rPr>
        <w:t>quality</w:t>
      </w:r>
      <w:bookmarkEnd w:id="9"/>
      <w:r w:rsidRPr="00E16099">
        <w:rPr>
          <w:sz w:val="20"/>
          <w:szCs w:val="20"/>
        </w:rPr>
        <w:t xml:space="preserve"> environments and sustained shared thinking, yet do not directly compare engagement across </w:t>
      </w:r>
      <w:bookmarkStart w:id="10" w:name="_Int_pWzVA15O"/>
      <w:r w:rsidRPr="00E16099">
        <w:rPr>
          <w:sz w:val="20"/>
          <w:szCs w:val="20"/>
        </w:rPr>
        <w:t>different types</w:t>
      </w:r>
      <w:bookmarkEnd w:id="10"/>
      <w:r w:rsidRPr="00E16099">
        <w:rPr>
          <w:sz w:val="20"/>
          <w:szCs w:val="20"/>
        </w:rPr>
        <w:t xml:space="preserve"> of play spaces. Pascal and Bertram (2012) emphasise the value of involvement but do not examine differences between play areas. A further gap concerns the age group of interest. Research often examines wide age ranges or focuses on children aged 0–3 (Whitebread et al., 2012), leaving limited evidence specifically addressing the engagement patterns of children aged three to four. There </w:t>
      </w:r>
      <w:bookmarkStart w:id="11" w:name="_Int_FsrTrpIq"/>
      <w:r w:rsidRPr="00E16099">
        <w:rPr>
          <w:sz w:val="20"/>
          <w:szCs w:val="20"/>
        </w:rPr>
        <w:t>is also limited</w:t>
      </w:r>
      <w:bookmarkEnd w:id="11"/>
      <w:r w:rsidRPr="00E16099">
        <w:rPr>
          <w:sz w:val="20"/>
          <w:szCs w:val="20"/>
        </w:rPr>
        <w:t xml:space="preserve"> comparative research examining how engagement differs across construction, role</w:t>
      </w:r>
      <w:r w:rsidR="00410E7A" w:rsidRPr="00E16099">
        <w:rPr>
          <w:rFonts w:cs="Cambria Math"/>
          <w:sz w:val="20"/>
          <w:szCs w:val="20"/>
        </w:rPr>
        <w:t xml:space="preserve"> </w:t>
      </w:r>
      <w:r w:rsidRPr="00E16099">
        <w:rPr>
          <w:sz w:val="20"/>
          <w:szCs w:val="20"/>
        </w:rPr>
        <w:t>play, and outdoor areas. While Casey (2010), Smilansky and Shefatya (2012), and Tovey (2017) each explore individual areas, few studies compare them within the same setting. Finally, although sociocultural theory emphasises the importance of practitioner scaffolding (Vygotsky, 1978), little research examines how practitioner interactions vary across play areas and how this influences engagement. These gaps justify the need for the present study.</w:t>
      </w:r>
    </w:p>
    <w:p w14:paraId="75EECCA4" w14:textId="77777777" w:rsidR="00AC5CCA" w:rsidRPr="00E16099" w:rsidRDefault="00AC5CCA" w:rsidP="00E16099">
      <w:pPr>
        <w:spacing w:line="360" w:lineRule="auto"/>
        <w:rPr>
          <w:sz w:val="20"/>
          <w:szCs w:val="20"/>
        </w:rPr>
      </w:pPr>
    </w:p>
    <w:p w14:paraId="0A61F3DF" w14:textId="32DDF758" w:rsidR="00BF7A08" w:rsidRPr="00E16099" w:rsidRDefault="00AC5CCA" w:rsidP="00E16099">
      <w:pPr>
        <w:spacing w:line="360" w:lineRule="auto"/>
        <w:rPr>
          <w:sz w:val="20"/>
          <w:szCs w:val="20"/>
        </w:rPr>
      </w:pPr>
      <w:r w:rsidRPr="00E16099">
        <w:rPr>
          <w:sz w:val="20"/>
          <w:szCs w:val="20"/>
        </w:rPr>
        <w:t xml:space="preserve">The literature </w:t>
      </w:r>
      <w:bookmarkStart w:id="12" w:name="_Int_6UHE7QR7"/>
      <w:r w:rsidRPr="00E16099">
        <w:rPr>
          <w:sz w:val="20"/>
          <w:szCs w:val="20"/>
        </w:rPr>
        <w:t>demonstrates</w:t>
      </w:r>
      <w:bookmarkEnd w:id="12"/>
      <w:r w:rsidRPr="00E16099">
        <w:rPr>
          <w:sz w:val="20"/>
          <w:szCs w:val="20"/>
        </w:rPr>
        <w:t xml:space="preserve"> that play is central to early learning, with engagement acting as a key indicator of deep</w:t>
      </w:r>
      <w:r w:rsidRPr="00E16099">
        <w:rPr>
          <w:rFonts w:ascii="Cambria Math" w:hAnsi="Cambria Math" w:cs="Cambria Math"/>
          <w:sz w:val="20"/>
          <w:szCs w:val="20"/>
        </w:rPr>
        <w:t>‑</w:t>
      </w:r>
      <w:r w:rsidRPr="00E16099">
        <w:rPr>
          <w:sz w:val="20"/>
          <w:szCs w:val="20"/>
        </w:rPr>
        <w:t>level learning and wellbeing. Sociocultural and constructivist theories highlight the importance of interaction, autonomy, and exploration, all of which are supported through child</w:t>
      </w:r>
      <w:r w:rsidRPr="00E16099">
        <w:rPr>
          <w:rFonts w:ascii="Cambria Math" w:hAnsi="Cambria Math" w:cs="Cambria Math"/>
          <w:sz w:val="20"/>
          <w:szCs w:val="20"/>
        </w:rPr>
        <w:t>‑</w:t>
      </w:r>
      <w:r w:rsidRPr="00E16099">
        <w:rPr>
          <w:sz w:val="20"/>
          <w:szCs w:val="20"/>
        </w:rPr>
        <w:t xml:space="preserve">led play. Welsh policy strongly emphasises the importance of </w:t>
      </w:r>
      <w:bookmarkStart w:id="13" w:name="_Int_y6CNQS5H"/>
      <w:r w:rsidRPr="00E16099">
        <w:rPr>
          <w:sz w:val="20"/>
          <w:szCs w:val="20"/>
        </w:rPr>
        <w:t>high</w:t>
      </w:r>
      <w:r w:rsidR="00DA3AFC">
        <w:rPr>
          <w:rFonts w:ascii="Cambria Math" w:hAnsi="Cambria Math" w:cs="Cambria Math"/>
          <w:sz w:val="20"/>
          <w:szCs w:val="20"/>
        </w:rPr>
        <w:t xml:space="preserve"> </w:t>
      </w:r>
      <w:r w:rsidRPr="00E16099">
        <w:rPr>
          <w:sz w:val="20"/>
          <w:szCs w:val="20"/>
        </w:rPr>
        <w:t>quality</w:t>
      </w:r>
      <w:bookmarkEnd w:id="13"/>
      <w:r w:rsidRPr="00E16099">
        <w:rPr>
          <w:sz w:val="20"/>
          <w:szCs w:val="20"/>
        </w:rPr>
        <w:t xml:space="preserve"> environments and engaging experiences, yet empirical research comparing engagement across different play areas remains limited. This study will contribute to understanding how role</w:t>
      </w:r>
      <w:r w:rsidRPr="00E16099">
        <w:rPr>
          <w:rFonts w:ascii="Cambria Math" w:hAnsi="Cambria Math" w:cs="Cambria Math"/>
          <w:sz w:val="20"/>
          <w:szCs w:val="20"/>
        </w:rPr>
        <w:t>‑</w:t>
      </w:r>
      <w:r w:rsidRPr="00E16099">
        <w:rPr>
          <w:sz w:val="20"/>
          <w:szCs w:val="20"/>
        </w:rPr>
        <w:t>play, construction, and outdoor environments influence engagement in children aged three to four, addressing a clear gap in the literature and supporting evidence</w:t>
      </w:r>
      <w:r w:rsidRPr="00E16099">
        <w:rPr>
          <w:rFonts w:ascii="Cambria Math" w:hAnsi="Cambria Math" w:cs="Cambria Math"/>
          <w:sz w:val="20"/>
          <w:szCs w:val="20"/>
        </w:rPr>
        <w:t>‑</w:t>
      </w:r>
      <w:r w:rsidRPr="00E16099">
        <w:rPr>
          <w:sz w:val="20"/>
          <w:szCs w:val="20"/>
        </w:rPr>
        <w:t>informed early years practice in Wales.</w:t>
      </w:r>
    </w:p>
    <w:p w14:paraId="68F098DB" w14:textId="77777777" w:rsidR="00AC5CCA" w:rsidRPr="00E16099" w:rsidRDefault="00AC5CCA" w:rsidP="00E16099">
      <w:pPr>
        <w:spacing w:line="360" w:lineRule="auto"/>
        <w:rPr>
          <w:sz w:val="20"/>
          <w:szCs w:val="20"/>
        </w:rPr>
      </w:pPr>
    </w:p>
    <w:p w14:paraId="583E455D" w14:textId="00717E0F" w:rsidR="005A5FC7" w:rsidRPr="00DA3AFC" w:rsidRDefault="005A5FC7" w:rsidP="00E16099">
      <w:pPr>
        <w:spacing w:line="360" w:lineRule="auto"/>
        <w:rPr>
          <w:b/>
          <w:bCs/>
          <w:sz w:val="20"/>
          <w:szCs w:val="20"/>
          <w:u w:val="single"/>
        </w:rPr>
      </w:pPr>
      <w:r w:rsidRPr="00DA3AFC">
        <w:rPr>
          <w:b/>
          <w:bCs/>
          <w:sz w:val="20"/>
          <w:szCs w:val="20"/>
          <w:u w:val="single"/>
        </w:rPr>
        <w:t xml:space="preserve">Methodological Considerations </w:t>
      </w:r>
      <w:r w:rsidR="00A90986" w:rsidRPr="00DA3AFC">
        <w:rPr>
          <w:b/>
          <w:bCs/>
          <w:sz w:val="20"/>
          <w:szCs w:val="20"/>
          <w:u w:val="single"/>
        </w:rPr>
        <w:t xml:space="preserve"> </w:t>
      </w:r>
    </w:p>
    <w:p w14:paraId="6B75FD06" w14:textId="1F4F4FE3" w:rsidR="005E2CDA" w:rsidRPr="00E16099" w:rsidRDefault="005E2CDA" w:rsidP="00E16099">
      <w:pPr>
        <w:spacing w:line="360" w:lineRule="auto"/>
        <w:rPr>
          <w:sz w:val="20"/>
          <w:szCs w:val="20"/>
        </w:rPr>
      </w:pPr>
      <w:r w:rsidRPr="00E16099">
        <w:rPr>
          <w:sz w:val="20"/>
          <w:szCs w:val="20"/>
        </w:rPr>
        <w:t>This study adopts a qualitative, small</w:t>
      </w:r>
      <w:r w:rsidR="0046441B" w:rsidRPr="00E16099">
        <w:rPr>
          <w:rFonts w:cs="Cambria Math"/>
          <w:sz w:val="20"/>
          <w:szCs w:val="20"/>
        </w:rPr>
        <w:t xml:space="preserve"> </w:t>
      </w:r>
      <w:r w:rsidRPr="00E16099">
        <w:rPr>
          <w:sz w:val="20"/>
          <w:szCs w:val="20"/>
        </w:rPr>
        <w:t>scale, exploratory research design to investigate how different play areas influence children’s engagement during child</w:t>
      </w:r>
      <w:r w:rsidR="00EB0EC4" w:rsidRPr="00E16099">
        <w:rPr>
          <w:rFonts w:cs="Cambria Math"/>
          <w:sz w:val="20"/>
          <w:szCs w:val="20"/>
        </w:rPr>
        <w:t xml:space="preserve"> </w:t>
      </w:r>
      <w:r w:rsidRPr="00E16099">
        <w:rPr>
          <w:sz w:val="20"/>
          <w:szCs w:val="20"/>
        </w:rPr>
        <w:t xml:space="preserve">led play. A qualitative approach is </w:t>
      </w:r>
      <w:r w:rsidR="00EB0EC4" w:rsidRPr="00E16099">
        <w:rPr>
          <w:sz w:val="20"/>
          <w:szCs w:val="20"/>
        </w:rPr>
        <w:t>because</w:t>
      </w:r>
      <w:r w:rsidRPr="00E16099">
        <w:rPr>
          <w:sz w:val="20"/>
          <w:szCs w:val="20"/>
        </w:rPr>
        <w:t xml:space="preserve"> engagement is a complex, context</w:t>
      </w:r>
      <w:r w:rsidR="00EB0EC4" w:rsidRPr="00E16099">
        <w:rPr>
          <w:rFonts w:cs="Cambria Math"/>
          <w:sz w:val="20"/>
          <w:szCs w:val="20"/>
        </w:rPr>
        <w:t xml:space="preserve"> </w:t>
      </w:r>
      <w:r w:rsidRPr="00E16099">
        <w:rPr>
          <w:sz w:val="20"/>
          <w:szCs w:val="20"/>
        </w:rPr>
        <w:t xml:space="preserve">dependent phenomenon that cannot </w:t>
      </w:r>
      <w:bookmarkStart w:id="14" w:name="_Int_Yz7ej3qA"/>
      <w:r w:rsidRPr="00E16099">
        <w:rPr>
          <w:sz w:val="20"/>
          <w:szCs w:val="20"/>
        </w:rPr>
        <w:t>be meaningfully captured</w:t>
      </w:r>
      <w:bookmarkEnd w:id="14"/>
      <w:r w:rsidRPr="00E16099">
        <w:rPr>
          <w:sz w:val="20"/>
          <w:szCs w:val="20"/>
        </w:rPr>
        <w:t xml:space="preserve"> through numerical measurement alone. Qualitative research </w:t>
      </w:r>
      <w:r w:rsidR="00090C96" w:rsidRPr="00E16099">
        <w:rPr>
          <w:sz w:val="20"/>
          <w:szCs w:val="20"/>
        </w:rPr>
        <w:t xml:space="preserve">allows </w:t>
      </w:r>
      <w:r w:rsidRPr="00E16099">
        <w:rPr>
          <w:sz w:val="20"/>
          <w:szCs w:val="20"/>
        </w:rPr>
        <w:t xml:space="preserve">the researcher to examine children’s behaviours, interactions, and choices as they naturally occur, offering insight into the subtleties of </w:t>
      </w:r>
      <w:r w:rsidRPr="00E16099">
        <w:rPr>
          <w:sz w:val="20"/>
          <w:szCs w:val="20"/>
        </w:rPr>
        <w:lastRenderedPageBreak/>
        <w:t xml:space="preserve">engagement that structured or experimental methods may overlook. Flewitt (2014) argues that qualitative methods are particularly valuable in early childhood research because they allow for close attention to </w:t>
      </w:r>
      <w:bookmarkStart w:id="15" w:name="_Int_giVGTpRo"/>
      <w:r w:rsidRPr="00E16099">
        <w:rPr>
          <w:sz w:val="20"/>
          <w:szCs w:val="20"/>
        </w:rPr>
        <w:t>children’s</w:t>
      </w:r>
      <w:bookmarkEnd w:id="15"/>
      <w:r w:rsidRPr="00E16099">
        <w:rPr>
          <w:sz w:val="20"/>
          <w:szCs w:val="20"/>
        </w:rPr>
        <w:t xml:space="preserve"> lived experiences and the contextual factors shaping their learning.</w:t>
      </w:r>
    </w:p>
    <w:p w14:paraId="2878BB27" w14:textId="77777777" w:rsidR="005E2CDA" w:rsidRPr="00E16099" w:rsidRDefault="005E2CDA" w:rsidP="00E16099">
      <w:pPr>
        <w:spacing w:line="360" w:lineRule="auto"/>
        <w:rPr>
          <w:sz w:val="20"/>
          <w:szCs w:val="20"/>
        </w:rPr>
      </w:pPr>
    </w:p>
    <w:p w14:paraId="3AB09744" w14:textId="49A130D1" w:rsidR="005E2CDA" w:rsidRPr="00E16099" w:rsidRDefault="005E2CDA" w:rsidP="00E16099">
      <w:pPr>
        <w:spacing w:line="360" w:lineRule="auto"/>
        <w:rPr>
          <w:sz w:val="20"/>
          <w:szCs w:val="20"/>
        </w:rPr>
      </w:pPr>
      <w:r w:rsidRPr="00E16099">
        <w:rPr>
          <w:sz w:val="20"/>
          <w:szCs w:val="20"/>
        </w:rPr>
        <w:t xml:space="preserve">Naturalistic observation forms the core of this design. Observing children within their usual environment aligns with early years pedagogy, which emphasises the importance of understanding learning as it unfolds through play. Wood (2014) highlights that play </w:t>
      </w:r>
      <w:bookmarkStart w:id="16" w:name="_Int_7BiSs4Uc"/>
      <w:r w:rsidRPr="00E16099">
        <w:rPr>
          <w:sz w:val="20"/>
          <w:szCs w:val="20"/>
        </w:rPr>
        <w:t>is best understood</w:t>
      </w:r>
      <w:bookmarkEnd w:id="16"/>
      <w:r w:rsidRPr="00E16099">
        <w:rPr>
          <w:sz w:val="20"/>
          <w:szCs w:val="20"/>
        </w:rPr>
        <w:t xml:space="preserve"> through direct observation in authentic contexts, where children’s choices, interactions, and levels of involvement can be interpreted meaningfully. Similarly, Siraj et al. (2015) emphasise that high</w:t>
      </w:r>
      <w:r w:rsidRPr="00E16099">
        <w:rPr>
          <w:rFonts w:ascii="Cambria Math" w:hAnsi="Cambria Math" w:cs="Cambria Math"/>
          <w:sz w:val="20"/>
          <w:szCs w:val="20"/>
        </w:rPr>
        <w:t>‑</w:t>
      </w:r>
      <w:r w:rsidRPr="00E16099">
        <w:rPr>
          <w:sz w:val="20"/>
          <w:szCs w:val="20"/>
        </w:rPr>
        <w:t>quality early years research requires attention to real interactions, as these reveal how children engage with materials, peers, and adults. The use of naturalistic observation therefore supports the study’s aim of exploring how different play areas</w:t>
      </w:r>
      <w:r w:rsidR="00CA50B1" w:rsidRPr="00E16099">
        <w:rPr>
          <w:sz w:val="20"/>
          <w:szCs w:val="20"/>
        </w:rPr>
        <w:t xml:space="preserve"> </w:t>
      </w:r>
      <w:r w:rsidRPr="00E16099">
        <w:rPr>
          <w:sz w:val="20"/>
          <w:szCs w:val="20"/>
        </w:rPr>
        <w:t>construction, role</w:t>
      </w:r>
      <w:r w:rsidRPr="00E16099">
        <w:rPr>
          <w:rFonts w:ascii="Cambria Math" w:hAnsi="Cambria Math" w:cs="Cambria Math"/>
          <w:sz w:val="20"/>
          <w:szCs w:val="20"/>
        </w:rPr>
        <w:t>‑</w:t>
      </w:r>
      <w:r w:rsidRPr="00E16099">
        <w:rPr>
          <w:sz w:val="20"/>
          <w:szCs w:val="20"/>
        </w:rPr>
        <w:t>play, and outdoor environments</w:t>
      </w:r>
      <w:r w:rsidR="00DA3AFC">
        <w:rPr>
          <w:sz w:val="20"/>
          <w:szCs w:val="20"/>
        </w:rPr>
        <w:t xml:space="preserve"> </w:t>
      </w:r>
      <w:r w:rsidRPr="00E16099">
        <w:rPr>
          <w:sz w:val="20"/>
          <w:szCs w:val="20"/>
        </w:rPr>
        <w:t>affect children’s engagement.</w:t>
      </w:r>
    </w:p>
    <w:p w14:paraId="23A7EC36" w14:textId="77777777" w:rsidR="005E2CDA" w:rsidRPr="00E16099" w:rsidRDefault="005E2CDA" w:rsidP="00E16099">
      <w:pPr>
        <w:spacing w:line="360" w:lineRule="auto"/>
        <w:rPr>
          <w:sz w:val="20"/>
          <w:szCs w:val="20"/>
        </w:rPr>
      </w:pPr>
    </w:p>
    <w:p w14:paraId="2764CD5D" w14:textId="4C27A108" w:rsidR="005E2CDA" w:rsidRPr="00E16099" w:rsidRDefault="005E2CDA" w:rsidP="00E16099">
      <w:pPr>
        <w:spacing w:line="360" w:lineRule="auto"/>
        <w:rPr>
          <w:sz w:val="20"/>
          <w:szCs w:val="20"/>
        </w:rPr>
      </w:pPr>
      <w:r w:rsidRPr="00E16099">
        <w:rPr>
          <w:sz w:val="20"/>
          <w:szCs w:val="20"/>
        </w:rPr>
        <w:t>To strengthen the depth and credibility of the findings, naturalistic observation is complemented by semi</w:t>
      </w:r>
      <w:r w:rsidR="009E575E">
        <w:rPr>
          <w:rFonts w:ascii="Cambria Math" w:hAnsi="Cambria Math" w:cs="Cambria Math"/>
          <w:sz w:val="20"/>
          <w:szCs w:val="20"/>
        </w:rPr>
        <w:t xml:space="preserve"> </w:t>
      </w:r>
      <w:r w:rsidRPr="00E16099">
        <w:rPr>
          <w:sz w:val="20"/>
          <w:szCs w:val="20"/>
        </w:rPr>
        <w:t>structured practitioner interviews. This combination allows the researcher to examine engagement from both behavioural and practitioner</w:t>
      </w:r>
      <w:r w:rsidRPr="00E16099">
        <w:rPr>
          <w:rFonts w:ascii="Cambria Math" w:hAnsi="Cambria Math" w:cs="Cambria Math"/>
          <w:sz w:val="20"/>
          <w:szCs w:val="20"/>
        </w:rPr>
        <w:t>‑</w:t>
      </w:r>
      <w:r w:rsidRPr="00E16099">
        <w:rPr>
          <w:sz w:val="20"/>
          <w:szCs w:val="20"/>
        </w:rPr>
        <w:t>informed perspectives, supporting a richer and more triangulated understanding of the phenomenon.</w:t>
      </w:r>
    </w:p>
    <w:p w14:paraId="61273091" w14:textId="77777777" w:rsidR="005E2CDA" w:rsidRPr="00E16099" w:rsidRDefault="005E2CDA" w:rsidP="00E16099">
      <w:pPr>
        <w:spacing w:line="360" w:lineRule="auto"/>
        <w:rPr>
          <w:sz w:val="20"/>
          <w:szCs w:val="20"/>
        </w:rPr>
      </w:pPr>
    </w:p>
    <w:p w14:paraId="377F04F7" w14:textId="77777777" w:rsidR="005E2CDA" w:rsidRPr="00E16099" w:rsidRDefault="005E2CDA" w:rsidP="00E16099">
      <w:pPr>
        <w:spacing w:line="360" w:lineRule="auto"/>
        <w:rPr>
          <w:sz w:val="20"/>
          <w:szCs w:val="20"/>
        </w:rPr>
      </w:pPr>
      <w:r w:rsidRPr="00E16099">
        <w:rPr>
          <w:sz w:val="20"/>
          <w:szCs w:val="20"/>
        </w:rPr>
        <w:t xml:space="preserve">The study will involve a sample of six to eight children aged three to four years from a </w:t>
      </w:r>
      <w:bookmarkStart w:id="17" w:name="_Int_fv2Q7Hbo"/>
      <w:r w:rsidRPr="00E16099">
        <w:rPr>
          <w:sz w:val="20"/>
          <w:szCs w:val="20"/>
        </w:rPr>
        <w:t>single early years</w:t>
      </w:r>
      <w:bookmarkEnd w:id="17"/>
      <w:r w:rsidRPr="00E16099">
        <w:rPr>
          <w:sz w:val="20"/>
          <w:szCs w:val="20"/>
        </w:rPr>
        <w:t xml:space="preserve"> setting, such as a nursery class or Cylch Meithrin. A purposive sampling strategy is used to select children who regularly access a range of play areas during child</w:t>
      </w:r>
      <w:r w:rsidRPr="00E16099">
        <w:rPr>
          <w:rFonts w:ascii="Cambria Math" w:hAnsi="Cambria Math" w:cs="Cambria Math"/>
          <w:sz w:val="20"/>
          <w:szCs w:val="20"/>
        </w:rPr>
        <w:t>‑</w:t>
      </w:r>
      <w:r w:rsidRPr="00E16099">
        <w:rPr>
          <w:sz w:val="20"/>
          <w:szCs w:val="20"/>
        </w:rPr>
        <w:t>led play sessions. This ensures that the participants are directly relevant to the research question and that meaningful comparisons can be made across different play environments.</w:t>
      </w:r>
    </w:p>
    <w:p w14:paraId="1EEE4CDA" w14:textId="77777777" w:rsidR="005E2CDA" w:rsidRPr="00E16099" w:rsidRDefault="005E2CDA" w:rsidP="00E16099">
      <w:pPr>
        <w:spacing w:line="360" w:lineRule="auto"/>
        <w:rPr>
          <w:sz w:val="20"/>
          <w:szCs w:val="20"/>
        </w:rPr>
      </w:pPr>
    </w:p>
    <w:p w14:paraId="370707DC" w14:textId="5DEC8BF9" w:rsidR="005E2CDA" w:rsidRPr="00E16099" w:rsidRDefault="005E2CDA" w:rsidP="00E16099">
      <w:pPr>
        <w:spacing w:line="360" w:lineRule="auto"/>
        <w:rPr>
          <w:sz w:val="20"/>
          <w:szCs w:val="20"/>
        </w:rPr>
      </w:pPr>
      <w:r w:rsidRPr="00E16099">
        <w:rPr>
          <w:sz w:val="20"/>
          <w:szCs w:val="20"/>
        </w:rPr>
        <w:t>The decision to focus on children aged three to four is grounded in both developmental and contextual considerations. This age range marks the point at which most children in Wales begin nursery education, where child</w:t>
      </w:r>
      <w:r w:rsidRPr="00E16099">
        <w:rPr>
          <w:rFonts w:ascii="Cambria Math" w:hAnsi="Cambria Math" w:cs="Cambria Math"/>
          <w:sz w:val="20"/>
          <w:szCs w:val="20"/>
        </w:rPr>
        <w:t>‑</w:t>
      </w:r>
      <w:r w:rsidRPr="00E16099">
        <w:rPr>
          <w:sz w:val="20"/>
          <w:szCs w:val="20"/>
        </w:rPr>
        <w:t>led play becomes a central pedagogical approach. Children at this stage typically demonstrate increasing independence, longer attention spans, and greater involvement in self</w:t>
      </w:r>
      <w:r w:rsidRPr="00E16099">
        <w:rPr>
          <w:rFonts w:ascii="Cambria Math" w:hAnsi="Cambria Math" w:cs="Cambria Math"/>
          <w:sz w:val="20"/>
          <w:szCs w:val="20"/>
        </w:rPr>
        <w:t>‑</w:t>
      </w:r>
      <w:r w:rsidRPr="00E16099">
        <w:rPr>
          <w:sz w:val="20"/>
          <w:szCs w:val="20"/>
        </w:rPr>
        <w:t>initiated play. Research supports this developmental shift: Whitebread et al. (2012) note that children around this age begin to show emerging self</w:t>
      </w:r>
      <w:r w:rsidRPr="00E16099">
        <w:rPr>
          <w:rFonts w:ascii="Cambria Math" w:hAnsi="Cambria Math" w:cs="Cambria Math"/>
          <w:sz w:val="20"/>
          <w:szCs w:val="20"/>
        </w:rPr>
        <w:t>‑</w:t>
      </w:r>
      <w:r w:rsidRPr="00E16099">
        <w:rPr>
          <w:sz w:val="20"/>
          <w:szCs w:val="20"/>
        </w:rPr>
        <w:t xml:space="preserve">regulation and sustained engagement, while Pascal and Bertram (2012) highlight that involvement levels increase significantly during the nursery years. These characteristics make the </w:t>
      </w:r>
      <w:bookmarkStart w:id="18" w:name="_Int_hp1DAQ0N"/>
      <w:r w:rsidRPr="00E16099">
        <w:rPr>
          <w:sz w:val="20"/>
          <w:szCs w:val="20"/>
        </w:rPr>
        <w:t>three</w:t>
      </w:r>
      <w:r w:rsidR="00C345FF" w:rsidRPr="00E16099">
        <w:rPr>
          <w:rFonts w:cs="Cambria Math"/>
          <w:sz w:val="20"/>
          <w:szCs w:val="20"/>
        </w:rPr>
        <w:t xml:space="preserve"> </w:t>
      </w:r>
      <w:r w:rsidRPr="00E16099">
        <w:rPr>
          <w:sz w:val="20"/>
          <w:szCs w:val="20"/>
        </w:rPr>
        <w:t>to four</w:t>
      </w:r>
      <w:r w:rsidR="00C345FF" w:rsidRPr="00E16099">
        <w:rPr>
          <w:rFonts w:cs="Cambria Math"/>
          <w:sz w:val="20"/>
          <w:szCs w:val="20"/>
        </w:rPr>
        <w:t xml:space="preserve"> </w:t>
      </w:r>
      <w:r w:rsidRPr="00E16099">
        <w:rPr>
          <w:sz w:val="20"/>
          <w:szCs w:val="20"/>
        </w:rPr>
        <w:t>year</w:t>
      </w:r>
      <w:r w:rsidR="00C345FF" w:rsidRPr="00E16099">
        <w:rPr>
          <w:rFonts w:cs="Cambria Math"/>
          <w:sz w:val="20"/>
          <w:szCs w:val="20"/>
        </w:rPr>
        <w:t xml:space="preserve"> </w:t>
      </w:r>
      <w:r w:rsidRPr="00E16099">
        <w:rPr>
          <w:sz w:val="20"/>
          <w:szCs w:val="20"/>
        </w:rPr>
        <w:t>old</w:t>
      </w:r>
      <w:bookmarkEnd w:id="18"/>
      <w:r w:rsidRPr="00E16099">
        <w:rPr>
          <w:sz w:val="20"/>
          <w:szCs w:val="20"/>
        </w:rPr>
        <w:t xml:space="preserve"> age group particularly suitable for examining how different play environments influence engagement.</w:t>
      </w:r>
    </w:p>
    <w:p w14:paraId="23C55366" w14:textId="77777777" w:rsidR="005E2CDA" w:rsidRPr="00E16099" w:rsidRDefault="005E2CDA" w:rsidP="00E16099">
      <w:pPr>
        <w:spacing w:line="360" w:lineRule="auto"/>
        <w:rPr>
          <w:sz w:val="20"/>
          <w:szCs w:val="20"/>
        </w:rPr>
      </w:pPr>
    </w:p>
    <w:p w14:paraId="641D26AD" w14:textId="77777777" w:rsidR="005E2CDA" w:rsidRPr="00E16099" w:rsidRDefault="005E2CDA" w:rsidP="00E16099">
      <w:pPr>
        <w:spacing w:line="360" w:lineRule="auto"/>
        <w:rPr>
          <w:sz w:val="20"/>
          <w:szCs w:val="20"/>
        </w:rPr>
      </w:pPr>
      <w:r w:rsidRPr="00E16099">
        <w:rPr>
          <w:sz w:val="20"/>
          <w:szCs w:val="20"/>
        </w:rPr>
        <w:lastRenderedPageBreak/>
        <w:t xml:space="preserve">Limiting the study to one early </w:t>
      </w:r>
      <w:bookmarkStart w:id="19" w:name="_Int_c4zcXnPp"/>
      <w:r w:rsidRPr="00E16099">
        <w:rPr>
          <w:sz w:val="20"/>
          <w:szCs w:val="20"/>
        </w:rPr>
        <w:t>years</w:t>
      </w:r>
      <w:bookmarkEnd w:id="19"/>
      <w:r w:rsidRPr="00E16099">
        <w:rPr>
          <w:sz w:val="20"/>
          <w:szCs w:val="20"/>
        </w:rPr>
        <w:t xml:space="preserve"> setting ensures consistency in routines, layout, and practitioner approaches, reducing environmental variability that could otherwise influence engagement. It also makes the project manageable for a small</w:t>
      </w:r>
      <w:r w:rsidRPr="00E16099">
        <w:rPr>
          <w:rFonts w:ascii="Cambria Math" w:hAnsi="Cambria Math" w:cs="Cambria Math"/>
          <w:sz w:val="20"/>
          <w:szCs w:val="20"/>
        </w:rPr>
        <w:t>‑</w:t>
      </w:r>
      <w:r w:rsidRPr="00E16099">
        <w:rPr>
          <w:sz w:val="20"/>
          <w:szCs w:val="20"/>
        </w:rPr>
        <w:t>scale student study while still allowing for rich, context</w:t>
      </w:r>
      <w:r w:rsidRPr="00E16099">
        <w:rPr>
          <w:rFonts w:ascii="Cambria Math" w:hAnsi="Cambria Math" w:cs="Cambria Math"/>
          <w:sz w:val="20"/>
          <w:szCs w:val="20"/>
        </w:rPr>
        <w:t>‑</w:t>
      </w:r>
      <w:r w:rsidRPr="00E16099">
        <w:rPr>
          <w:sz w:val="20"/>
          <w:szCs w:val="20"/>
        </w:rPr>
        <w:t>sensitive analysis.</w:t>
      </w:r>
    </w:p>
    <w:p w14:paraId="3853B01F" w14:textId="77777777" w:rsidR="00F13F0C" w:rsidRPr="00E16099" w:rsidRDefault="00F13F0C" w:rsidP="00E16099">
      <w:pPr>
        <w:spacing w:line="360" w:lineRule="auto"/>
        <w:rPr>
          <w:sz w:val="20"/>
          <w:szCs w:val="20"/>
        </w:rPr>
      </w:pPr>
    </w:p>
    <w:p w14:paraId="6EF4E447" w14:textId="0D10FBE3" w:rsidR="00F13F0C" w:rsidRPr="00E16099" w:rsidRDefault="00F13F0C" w:rsidP="00E16099">
      <w:pPr>
        <w:spacing w:line="360" w:lineRule="auto"/>
        <w:rPr>
          <w:sz w:val="20"/>
          <w:szCs w:val="20"/>
        </w:rPr>
      </w:pPr>
      <w:r w:rsidRPr="00E16099">
        <w:rPr>
          <w:sz w:val="20"/>
          <w:szCs w:val="20"/>
        </w:rPr>
        <w:t>The study relies primarily on observing children in their everyday play to understand how different areas support engagement. This approach allows behaviours to emerge naturally within familiar routines and is widely used in early years research because it captures authentic interactions and aligns with play</w:t>
      </w:r>
      <w:r w:rsidRPr="00E16099">
        <w:rPr>
          <w:rFonts w:ascii="Cambria Math" w:hAnsi="Cambria Math" w:cs="Cambria Math"/>
          <w:sz w:val="20"/>
          <w:szCs w:val="20"/>
        </w:rPr>
        <w:t>‑</w:t>
      </w:r>
      <w:r w:rsidRPr="00E16099">
        <w:rPr>
          <w:sz w:val="20"/>
          <w:szCs w:val="20"/>
        </w:rPr>
        <w:t>based pedagogy (Flewitt, 2014). Observations will take place during free</w:t>
      </w:r>
      <w:r w:rsidRPr="00E16099">
        <w:rPr>
          <w:rFonts w:ascii="Cambria Math" w:hAnsi="Cambria Math" w:cs="Cambria Math"/>
          <w:sz w:val="20"/>
          <w:szCs w:val="20"/>
        </w:rPr>
        <w:t>‑</w:t>
      </w:r>
      <w:r w:rsidRPr="00E16099">
        <w:rPr>
          <w:sz w:val="20"/>
          <w:szCs w:val="20"/>
        </w:rPr>
        <w:t>flow or continuous provision sessions, enabling children to move freely between areas and choose activities independently.</w:t>
      </w:r>
      <w:r w:rsidR="009E575E">
        <w:rPr>
          <w:sz w:val="20"/>
          <w:szCs w:val="20"/>
        </w:rPr>
        <w:t xml:space="preserve"> </w:t>
      </w:r>
      <w:r w:rsidRPr="00E16099">
        <w:rPr>
          <w:sz w:val="20"/>
          <w:szCs w:val="20"/>
        </w:rPr>
        <w:t>A systematic recording sheet will document which play areas children access, how long they remain involved, and indicators of engagement such as concentration, persistence, verbal communication, problem</w:t>
      </w:r>
      <w:r w:rsidR="009E575E">
        <w:rPr>
          <w:rFonts w:ascii="Cambria Math" w:hAnsi="Cambria Math" w:cs="Cambria Math"/>
          <w:sz w:val="20"/>
          <w:szCs w:val="20"/>
        </w:rPr>
        <w:t xml:space="preserve"> </w:t>
      </w:r>
      <w:r w:rsidRPr="00E16099">
        <w:rPr>
          <w:sz w:val="20"/>
          <w:szCs w:val="20"/>
        </w:rPr>
        <w:t>solving, and collaboration. The Leuven Scale may support consistent assessment of involvement. Field notes will add contextual detail and capture interactions or behaviours that fall outside predefined categories. Bertram and Pascal (2016) emphasise that observational methods are particularly effective for identifying deep</w:t>
      </w:r>
      <w:r w:rsidRPr="00E16099">
        <w:rPr>
          <w:rFonts w:ascii="Cambria Math" w:hAnsi="Cambria Math" w:cs="Cambria Math"/>
          <w:sz w:val="20"/>
          <w:szCs w:val="20"/>
        </w:rPr>
        <w:t>‑</w:t>
      </w:r>
      <w:r w:rsidRPr="00E16099">
        <w:rPr>
          <w:sz w:val="20"/>
          <w:szCs w:val="20"/>
        </w:rPr>
        <w:t>level learning, making them well suited to this study.</w:t>
      </w:r>
    </w:p>
    <w:p w14:paraId="627FBB79" w14:textId="198F7BD6" w:rsidR="00F13F0C" w:rsidRPr="00E16099" w:rsidRDefault="00F13F0C" w:rsidP="00E16099">
      <w:pPr>
        <w:spacing w:line="360" w:lineRule="auto"/>
        <w:rPr>
          <w:sz w:val="20"/>
          <w:szCs w:val="20"/>
        </w:rPr>
      </w:pPr>
    </w:p>
    <w:p w14:paraId="3B73F2D4" w14:textId="77777777" w:rsidR="00F13F0C" w:rsidRPr="00E16099" w:rsidRDefault="00F13F0C" w:rsidP="00E16099">
      <w:pPr>
        <w:spacing w:line="360" w:lineRule="auto"/>
        <w:rPr>
          <w:sz w:val="20"/>
          <w:szCs w:val="20"/>
        </w:rPr>
      </w:pPr>
    </w:p>
    <w:p w14:paraId="55275A45" w14:textId="373041BA" w:rsidR="005E2CDA" w:rsidRPr="00E16099" w:rsidRDefault="00F13F0C" w:rsidP="00E16099">
      <w:pPr>
        <w:spacing w:line="360" w:lineRule="auto"/>
        <w:rPr>
          <w:sz w:val="20"/>
          <w:szCs w:val="20"/>
        </w:rPr>
      </w:pPr>
      <w:r w:rsidRPr="00E16099">
        <w:rPr>
          <w:sz w:val="20"/>
          <w:szCs w:val="20"/>
        </w:rPr>
        <w:t xml:space="preserve">Although this method offers rich insight, it also presents challenges. Children may modify their behaviour when they notice an observer a form of reactivity often referred to as the Hawthorne effect (Oswald, Sherratt and Smith, 2014). This can result in children becoming more talkative, withdrawn, or performative, reducing the naturalness of the </w:t>
      </w:r>
      <w:r w:rsidR="00E2770F" w:rsidRPr="00E16099">
        <w:rPr>
          <w:sz w:val="20"/>
          <w:szCs w:val="20"/>
        </w:rPr>
        <w:t>data. A</w:t>
      </w:r>
      <w:r w:rsidRPr="00E16099">
        <w:rPr>
          <w:sz w:val="20"/>
          <w:szCs w:val="20"/>
        </w:rPr>
        <w:t xml:space="preserve"> further challenge is the halo effect, where initial impressions influence later interpretations (Gabrielli et al., 2021). For example, a confident child may </w:t>
      </w:r>
      <w:bookmarkStart w:id="20" w:name="_Int_JnENGnd6"/>
      <w:r w:rsidRPr="00E16099">
        <w:rPr>
          <w:sz w:val="20"/>
          <w:szCs w:val="20"/>
        </w:rPr>
        <w:t>be perceived</w:t>
      </w:r>
      <w:bookmarkEnd w:id="20"/>
      <w:r w:rsidRPr="00E16099">
        <w:rPr>
          <w:sz w:val="20"/>
          <w:szCs w:val="20"/>
        </w:rPr>
        <w:t xml:space="preserve"> as more engaged, or a preferred play area may be judged more positively. Both forms of bias threaten validity and require careful management.</w:t>
      </w:r>
      <w:r w:rsidR="00DC7EC7">
        <w:rPr>
          <w:sz w:val="20"/>
          <w:szCs w:val="20"/>
        </w:rPr>
        <w:t xml:space="preserve"> </w:t>
      </w:r>
      <w:r w:rsidRPr="00E16099">
        <w:rPr>
          <w:sz w:val="20"/>
          <w:szCs w:val="20"/>
        </w:rPr>
        <w:t xml:space="preserve">To minimise these risks, the researcher will spend time in the setting </w:t>
      </w:r>
      <w:r w:rsidR="00E2770F" w:rsidRPr="00E16099">
        <w:rPr>
          <w:sz w:val="20"/>
          <w:szCs w:val="20"/>
        </w:rPr>
        <w:t>beforehand,</w:t>
      </w:r>
      <w:r w:rsidRPr="00E16099">
        <w:rPr>
          <w:sz w:val="20"/>
          <w:szCs w:val="20"/>
        </w:rPr>
        <w:t xml:space="preserve"> so children become familiar with their presence. Using structured observation tools supports consistency and reduces subjective interpretation. </w:t>
      </w:r>
      <w:bookmarkStart w:id="21" w:name="_Int_YNWmT3v7"/>
      <w:r w:rsidRPr="00E16099">
        <w:rPr>
          <w:sz w:val="20"/>
          <w:szCs w:val="20"/>
        </w:rPr>
        <w:t>Maintaining</w:t>
      </w:r>
      <w:bookmarkEnd w:id="21"/>
      <w:r w:rsidRPr="00E16099">
        <w:rPr>
          <w:sz w:val="20"/>
          <w:szCs w:val="20"/>
        </w:rPr>
        <w:t xml:space="preserve"> a reflexive journal will help the researcher identify personal assumptions, while triangulating findings with practitioner interviews provides an additional perspective and strengthens credibility.</w:t>
      </w:r>
    </w:p>
    <w:p w14:paraId="61BEF902" w14:textId="77777777" w:rsidR="005E2CDA" w:rsidRPr="00E16099" w:rsidRDefault="005E2CDA" w:rsidP="00E16099">
      <w:pPr>
        <w:spacing w:line="360" w:lineRule="auto"/>
        <w:rPr>
          <w:sz w:val="20"/>
          <w:szCs w:val="20"/>
        </w:rPr>
      </w:pPr>
    </w:p>
    <w:p w14:paraId="1B890862" w14:textId="3ADBBF5F" w:rsidR="005E2CDA" w:rsidRPr="00E16099" w:rsidRDefault="005E2CDA" w:rsidP="00E16099">
      <w:pPr>
        <w:spacing w:line="360" w:lineRule="auto"/>
        <w:rPr>
          <w:sz w:val="20"/>
          <w:szCs w:val="20"/>
        </w:rPr>
      </w:pPr>
      <w:r w:rsidRPr="00E16099">
        <w:rPr>
          <w:sz w:val="20"/>
          <w:szCs w:val="20"/>
        </w:rPr>
        <w:t>Semi</w:t>
      </w:r>
      <w:r w:rsidR="00DC7EC7">
        <w:rPr>
          <w:rFonts w:ascii="Cambria Math" w:hAnsi="Cambria Math" w:cs="Cambria Math"/>
          <w:sz w:val="20"/>
          <w:szCs w:val="20"/>
        </w:rPr>
        <w:t xml:space="preserve"> </w:t>
      </w:r>
      <w:r w:rsidRPr="00E16099">
        <w:rPr>
          <w:sz w:val="20"/>
          <w:szCs w:val="20"/>
        </w:rPr>
        <w:t xml:space="preserve">structured interviews with one or two practitioners will complement the observational data by providing insight into practitioner perspectives on engagement. These interviews will explore which play areas practitioners perceive as most engaging, how they design and resource different areas, how they support children’s involvement and sustained shared thinking, and how they interpret differences </w:t>
      </w:r>
      <w:r w:rsidRPr="00E16099">
        <w:rPr>
          <w:sz w:val="20"/>
          <w:szCs w:val="20"/>
        </w:rPr>
        <w:lastRenderedPageBreak/>
        <w:t>between indoor and outdoor engagement. Semi</w:t>
      </w:r>
      <w:r w:rsidRPr="00E16099">
        <w:rPr>
          <w:rFonts w:ascii="Cambria Math" w:hAnsi="Cambria Math" w:cs="Cambria Math"/>
          <w:sz w:val="20"/>
          <w:szCs w:val="20"/>
        </w:rPr>
        <w:t>‑</w:t>
      </w:r>
      <w:r w:rsidRPr="00E16099">
        <w:rPr>
          <w:sz w:val="20"/>
          <w:szCs w:val="20"/>
        </w:rPr>
        <w:t>structured interviews are appropriate because they allow flexibility to follow up on emerging themes while ensuring that key topics related to the research question are addressed. Robson (2011) notes that interviews enable researchers to access participants’ reasoning, beliefs, and interpretations, offering insights that cannot be captured through observation alone.</w:t>
      </w:r>
      <w:r w:rsidR="00DC7EC7">
        <w:rPr>
          <w:sz w:val="20"/>
          <w:szCs w:val="20"/>
        </w:rPr>
        <w:t xml:space="preserve"> </w:t>
      </w:r>
      <w:r w:rsidRPr="00E16099">
        <w:rPr>
          <w:sz w:val="20"/>
          <w:szCs w:val="20"/>
        </w:rPr>
        <w:t>Interviews also support triangulation by providing a second source of data that can be compared with observational findings. However, they are not without limitations. Social desirability bias may influence practitioners to present their practice in a favourable light, and time constraints may limit the depth of responses. These limitations will be acknowledged and managed through careful scheduling and reflexive awareness during analysis.</w:t>
      </w:r>
      <w:r w:rsidR="008B2CAE">
        <w:rPr>
          <w:sz w:val="20"/>
          <w:szCs w:val="20"/>
        </w:rPr>
        <w:t xml:space="preserve"> </w:t>
      </w:r>
      <w:r w:rsidRPr="00E16099">
        <w:rPr>
          <w:sz w:val="20"/>
          <w:szCs w:val="20"/>
        </w:rPr>
        <w:t>Alternative methods such as questionnaires, structured tests, or child interviews were not chosen because they are unsuitable for children aged three to four. Young children have limited literacy skills, making questionnaires inappropriate, and structured tests would conflict with play</w:t>
      </w:r>
      <w:r w:rsidRPr="00E16099">
        <w:rPr>
          <w:rFonts w:ascii="Cambria Math" w:hAnsi="Cambria Math" w:cs="Cambria Math"/>
          <w:sz w:val="20"/>
          <w:szCs w:val="20"/>
        </w:rPr>
        <w:t>‑</w:t>
      </w:r>
      <w:r w:rsidRPr="00E16099">
        <w:rPr>
          <w:sz w:val="20"/>
          <w:szCs w:val="20"/>
        </w:rPr>
        <w:t>based pedagogy and may not capture authentic engagement. Child interviews can be unreliable at this age because children may struggle to articulate their thoughts or may provide inconsistent responses. Observational methods are therefore more appropriate for capturing the richness and authenticity of engagement in early years settings.</w:t>
      </w:r>
    </w:p>
    <w:p w14:paraId="48487050" w14:textId="77777777" w:rsidR="00E858D7" w:rsidRPr="00E16099" w:rsidRDefault="00E858D7" w:rsidP="00E16099">
      <w:pPr>
        <w:spacing w:line="360" w:lineRule="auto"/>
        <w:rPr>
          <w:sz w:val="20"/>
          <w:szCs w:val="20"/>
        </w:rPr>
      </w:pPr>
    </w:p>
    <w:p w14:paraId="4A2885BD" w14:textId="6E0334E1" w:rsidR="005E2CDA" w:rsidRPr="00E16099" w:rsidRDefault="00E858D7" w:rsidP="00E16099">
      <w:pPr>
        <w:spacing w:line="360" w:lineRule="auto"/>
        <w:rPr>
          <w:sz w:val="20"/>
          <w:szCs w:val="20"/>
        </w:rPr>
      </w:pPr>
      <w:r w:rsidRPr="00E16099">
        <w:rPr>
          <w:sz w:val="20"/>
          <w:szCs w:val="20"/>
        </w:rPr>
        <w:t>Triangulation is used in this study to strengthen the credibility and validity of the findings. Holmes (2018, p.84) defines triangulation as the use of multiple data sources or methods to reduce bias and enhance trustworthiness. This research employs triangulation by combining naturalistic observations with semi</w:t>
      </w:r>
      <w:r w:rsidRPr="00E16099">
        <w:rPr>
          <w:rFonts w:ascii="Cambria Math" w:hAnsi="Cambria Math" w:cs="Cambria Math"/>
          <w:sz w:val="20"/>
          <w:szCs w:val="20"/>
        </w:rPr>
        <w:t>‑</w:t>
      </w:r>
      <w:r w:rsidRPr="00E16099">
        <w:rPr>
          <w:sz w:val="20"/>
          <w:szCs w:val="20"/>
        </w:rPr>
        <w:t>structured practitioner interviews. Using both methods allows the researcher to compare observed engagement with practitioners’ interpretations, ensuring that the findings are not based solely on the researcher’s subjective judgement. This approach also helps minimise potential bias, including the halo effect, by confirming whether patterns seen in the observations are supported by practitioner insight.</w:t>
      </w:r>
      <w:r w:rsidR="008B2CAE">
        <w:rPr>
          <w:sz w:val="20"/>
          <w:szCs w:val="20"/>
        </w:rPr>
        <w:t xml:space="preserve"> </w:t>
      </w:r>
      <w:r w:rsidR="00072494" w:rsidRPr="00E16099">
        <w:rPr>
          <w:sz w:val="20"/>
          <w:szCs w:val="20"/>
        </w:rPr>
        <w:t xml:space="preserve">In qualitative research, ensuring validity is essential. This involves demonstrating that the findings are credible and grounded in the data, and that the research process has been carried out in a consistent and transparent way. </w:t>
      </w:r>
      <w:r w:rsidR="005E2CDA" w:rsidRPr="00E16099">
        <w:rPr>
          <w:sz w:val="20"/>
          <w:szCs w:val="20"/>
        </w:rPr>
        <w:t>Researcher reflexivity plays a central role in maintaining validity. By keeping a reflexive journal, the researcher can reflect on personal assumptions, potential biases, and how these may influence data interpretation. This is particularly important given the risk of the halo effect, where the researcher’s impressions may shape their observations.</w:t>
      </w:r>
    </w:p>
    <w:p w14:paraId="0F9F6EF7" w14:textId="77777777" w:rsidR="005E2CDA" w:rsidRPr="00E16099" w:rsidRDefault="005E2CDA" w:rsidP="00E16099">
      <w:pPr>
        <w:spacing w:line="360" w:lineRule="auto"/>
        <w:rPr>
          <w:sz w:val="20"/>
          <w:szCs w:val="20"/>
        </w:rPr>
      </w:pPr>
    </w:p>
    <w:p w14:paraId="5CAEF7D0" w14:textId="7270C242" w:rsidR="005E2CDA" w:rsidRPr="00E16099" w:rsidRDefault="005E2CDA" w:rsidP="00E16099">
      <w:pPr>
        <w:spacing w:line="360" w:lineRule="auto"/>
        <w:rPr>
          <w:sz w:val="20"/>
          <w:szCs w:val="20"/>
        </w:rPr>
      </w:pPr>
      <w:r w:rsidRPr="00E16099">
        <w:rPr>
          <w:sz w:val="20"/>
          <w:szCs w:val="20"/>
        </w:rPr>
        <w:t xml:space="preserve">Both the Hawthorne and halo effects pose threats to validity. The Hawthorne effect may influence children’s behaviour, while the halo effect may influence the researcher’s interpretation. Strategies such as familiarisation, structured tools, and triangulation help reduce these risks. Using a consistent observation schedule increases reliability by ensuring that the same criteria are applied across all observations, reducing subjectivity and supporting systematic data collection. Triangulation further </w:t>
      </w:r>
      <w:r w:rsidRPr="00E16099">
        <w:rPr>
          <w:sz w:val="20"/>
          <w:szCs w:val="20"/>
        </w:rPr>
        <w:lastRenderedPageBreak/>
        <w:t>strengthens trustworthiness by providing multiple perspectives on engagement. When observational data and practitioner insights align, confidence in the findings is increased.</w:t>
      </w:r>
    </w:p>
    <w:p w14:paraId="3A8A6ED6" w14:textId="77777777" w:rsidR="0050564F" w:rsidRPr="00E16099" w:rsidRDefault="0050564F" w:rsidP="00E16099">
      <w:pPr>
        <w:spacing w:line="360" w:lineRule="auto"/>
        <w:rPr>
          <w:sz w:val="20"/>
          <w:szCs w:val="20"/>
        </w:rPr>
      </w:pPr>
    </w:p>
    <w:p w14:paraId="39BB387A" w14:textId="7E75D532" w:rsidR="005A5FC7" w:rsidRPr="00B01C15" w:rsidRDefault="005A5FC7" w:rsidP="00E16099">
      <w:pPr>
        <w:spacing w:line="360" w:lineRule="auto"/>
        <w:rPr>
          <w:b/>
          <w:bCs/>
          <w:sz w:val="20"/>
          <w:szCs w:val="20"/>
          <w:u w:val="single"/>
        </w:rPr>
      </w:pPr>
      <w:r w:rsidRPr="00B01C15">
        <w:rPr>
          <w:b/>
          <w:bCs/>
          <w:sz w:val="20"/>
          <w:szCs w:val="20"/>
          <w:u w:val="single"/>
        </w:rPr>
        <w:t xml:space="preserve">Ethical Considerations </w:t>
      </w:r>
    </w:p>
    <w:p w14:paraId="7FBF8C07" w14:textId="330C0FEC" w:rsidR="00EF2985" w:rsidRPr="00E16099" w:rsidRDefault="001A7823" w:rsidP="00E16099">
      <w:pPr>
        <w:spacing w:line="360" w:lineRule="auto"/>
        <w:rPr>
          <w:sz w:val="20"/>
          <w:szCs w:val="20"/>
        </w:rPr>
      </w:pPr>
      <w:r w:rsidRPr="00E16099">
        <w:rPr>
          <w:sz w:val="20"/>
          <w:szCs w:val="20"/>
        </w:rPr>
        <w:t xml:space="preserve">Ethical research with young children requires a sensitive and right based approach to consent, assent, and participation. Following the guidance of the British Educational Research Association (BERA, 2021), consent will </w:t>
      </w:r>
      <w:bookmarkStart w:id="22" w:name="_Int_gWEhBzw9"/>
      <w:r w:rsidRPr="00E16099">
        <w:rPr>
          <w:sz w:val="20"/>
          <w:szCs w:val="20"/>
        </w:rPr>
        <w:t>be formally obtained</w:t>
      </w:r>
      <w:bookmarkEnd w:id="22"/>
      <w:r w:rsidRPr="00E16099">
        <w:rPr>
          <w:sz w:val="20"/>
          <w:szCs w:val="20"/>
        </w:rPr>
        <w:t xml:space="preserve"> from parents or legal guardians before any observations begin. Parents will be provided with clear, accessible information explaining the purpose of the study, what participation involves, how data will be collected and stored, and the voluntary nature of involvement. Consent will be secured in writing in advance of the first observation. Parents will also be informed that they are free to withdraw their child from the study at any stage, without needing to give a reason, and that doing so will not affect the child’s access to learning opportunities or support within the setting.</w:t>
      </w:r>
    </w:p>
    <w:p w14:paraId="1B354145" w14:textId="77777777" w:rsidR="001A7823" w:rsidRPr="00E16099" w:rsidRDefault="001A7823" w:rsidP="00E16099">
      <w:pPr>
        <w:spacing w:line="360" w:lineRule="auto"/>
        <w:rPr>
          <w:sz w:val="20"/>
          <w:szCs w:val="20"/>
        </w:rPr>
      </w:pPr>
    </w:p>
    <w:p w14:paraId="3CB4F5EA" w14:textId="77777777" w:rsidR="00EF2985" w:rsidRPr="00E16099" w:rsidRDefault="00EF2985" w:rsidP="00E16099">
      <w:pPr>
        <w:spacing w:line="360" w:lineRule="auto"/>
        <w:rPr>
          <w:sz w:val="20"/>
          <w:szCs w:val="20"/>
        </w:rPr>
      </w:pPr>
      <w:r w:rsidRPr="00E16099">
        <w:rPr>
          <w:sz w:val="20"/>
          <w:szCs w:val="20"/>
        </w:rPr>
        <w:t>Because the participants are aged three to four, they cannot provide formal consent; however, they are capable of demonstrating assent through their behaviour, comfort, and willingness to participate. BERA (2021) emphasises that children’s agency must be respected, and Alderson and Morrow (2020) similarly argue that even very young children can express preferences, dissent, and willingness through non</w:t>
      </w:r>
      <w:r w:rsidRPr="00E16099">
        <w:rPr>
          <w:rFonts w:ascii="Cambria Math" w:hAnsi="Cambria Math" w:cs="Cambria Math"/>
          <w:sz w:val="20"/>
          <w:szCs w:val="20"/>
        </w:rPr>
        <w:t>‑</w:t>
      </w:r>
      <w:r w:rsidRPr="00E16099">
        <w:rPr>
          <w:sz w:val="20"/>
          <w:szCs w:val="20"/>
        </w:rPr>
        <w:t>verbal cues. Their work highlights that assent is not a single event but an ongoing ethical process in which children’s comfort and autonomy must be continually monitored. This aligns with UNICEF’s Ethical Research Involving Children (ERIC) guidance, which stresses that children are active rights</w:t>
      </w:r>
      <w:r w:rsidRPr="00E16099">
        <w:rPr>
          <w:rFonts w:ascii="Cambria Math" w:hAnsi="Cambria Math" w:cs="Cambria Math"/>
          <w:sz w:val="20"/>
          <w:szCs w:val="20"/>
        </w:rPr>
        <w:t>‑</w:t>
      </w:r>
      <w:r w:rsidRPr="00E16099">
        <w:rPr>
          <w:sz w:val="20"/>
          <w:szCs w:val="20"/>
        </w:rPr>
        <w:t>holders whose participation must always be voluntary (UNICEF, 2013).</w:t>
      </w:r>
    </w:p>
    <w:p w14:paraId="054AD7B2" w14:textId="77777777" w:rsidR="00EF2985" w:rsidRPr="00E16099" w:rsidRDefault="00EF2985" w:rsidP="00E16099">
      <w:pPr>
        <w:spacing w:line="360" w:lineRule="auto"/>
        <w:rPr>
          <w:sz w:val="20"/>
          <w:szCs w:val="20"/>
        </w:rPr>
      </w:pPr>
    </w:p>
    <w:p w14:paraId="67D979BF" w14:textId="67A61288" w:rsidR="00EF2985" w:rsidRDefault="00EF2985" w:rsidP="00E16099">
      <w:pPr>
        <w:spacing w:line="360" w:lineRule="auto"/>
        <w:rPr>
          <w:sz w:val="20"/>
          <w:szCs w:val="20"/>
        </w:rPr>
      </w:pPr>
      <w:r w:rsidRPr="00E16099">
        <w:rPr>
          <w:sz w:val="20"/>
          <w:szCs w:val="20"/>
        </w:rPr>
        <w:t>For this reason, ongoing child assent will be prioritised throughout the study. If a child shows signs of discomfort, avoidance, distress, or unwillingness to be observed, the researcher will immediately stop observing that child. Children will be reminded in age</w:t>
      </w:r>
      <w:r w:rsidRPr="00E16099">
        <w:rPr>
          <w:rFonts w:ascii="Cambria Math" w:hAnsi="Cambria Math" w:cs="Cambria Math"/>
          <w:sz w:val="20"/>
          <w:szCs w:val="20"/>
        </w:rPr>
        <w:t>‑</w:t>
      </w:r>
      <w:r w:rsidRPr="00E16099">
        <w:rPr>
          <w:sz w:val="20"/>
          <w:szCs w:val="20"/>
        </w:rPr>
        <w:t>appropriate language that they do not have to take part and can move away at any time. This approach reflects the ethical principle that participation must be voluntary, respectful, and responsive to children’s rights and wellbeing.</w:t>
      </w:r>
      <w:r w:rsidR="00346E71">
        <w:rPr>
          <w:sz w:val="20"/>
          <w:szCs w:val="20"/>
        </w:rPr>
        <w:t xml:space="preserve"> </w:t>
      </w:r>
      <w:r w:rsidRPr="00E16099">
        <w:rPr>
          <w:sz w:val="20"/>
          <w:szCs w:val="20"/>
        </w:rPr>
        <w:t>The right to withdraw applies equally to children and adults. Children may withdraw through behaviour, while parents may withdraw consent at any time. The researcher will ensure that both children and parents understand these rights clearly. This commitment to voluntary participation reflects the broader ethical expectation that research involving young children must prioritise their welfare, dignity, and autonomy at all times.</w:t>
      </w:r>
      <w:r w:rsidR="00346E71">
        <w:rPr>
          <w:sz w:val="20"/>
          <w:szCs w:val="20"/>
        </w:rPr>
        <w:t xml:space="preserve"> </w:t>
      </w:r>
      <w:r w:rsidRPr="00E16099">
        <w:rPr>
          <w:sz w:val="20"/>
          <w:szCs w:val="20"/>
        </w:rPr>
        <w:t xml:space="preserve">Confidentiality and anonymity are essential components of ethical research, particularly when working with young children. All data collected will be anonymised to protect the identities of participants, practitioners, and the setting. Pseudonyms will be assigned to each child and practitioner, and the name of the early years </w:t>
      </w:r>
      <w:r w:rsidRPr="00E16099">
        <w:rPr>
          <w:sz w:val="20"/>
          <w:szCs w:val="20"/>
        </w:rPr>
        <w:lastRenderedPageBreak/>
        <w:t>setting will be replaced with a general descriptor such as “a nursery class in Wales.” This approach aligns with BERA (2021), which states that researchers must take all reasonable steps to protect participants’ identities unless explicit permission is given otherwise.</w:t>
      </w:r>
    </w:p>
    <w:p w14:paraId="058B0511" w14:textId="77777777" w:rsidR="00E62031" w:rsidRPr="00E16099" w:rsidRDefault="00E62031" w:rsidP="00E16099">
      <w:pPr>
        <w:spacing w:line="360" w:lineRule="auto"/>
        <w:rPr>
          <w:sz w:val="20"/>
          <w:szCs w:val="20"/>
        </w:rPr>
      </w:pPr>
    </w:p>
    <w:p w14:paraId="7ACBFA68" w14:textId="638A170A" w:rsidR="00961464" w:rsidRDefault="00961464" w:rsidP="00E16099">
      <w:pPr>
        <w:spacing w:line="360" w:lineRule="auto"/>
        <w:rPr>
          <w:sz w:val="20"/>
          <w:szCs w:val="20"/>
        </w:rPr>
      </w:pPr>
      <w:r w:rsidRPr="00E16099">
        <w:rPr>
          <w:sz w:val="20"/>
          <w:szCs w:val="20"/>
        </w:rPr>
        <w:t>All data generated through the study will be handled and stored in line with the General Data Protection Regulation (GDPR, 2018) and the University of Wales Trinity Saint David’s data protection requirements (University of Wales Trinity Saint David,</w:t>
      </w:r>
      <w:r w:rsidR="001B6BEB" w:rsidRPr="00E16099">
        <w:rPr>
          <w:sz w:val="20"/>
          <w:szCs w:val="20"/>
        </w:rPr>
        <w:t xml:space="preserve"> </w:t>
      </w:r>
      <w:r w:rsidRPr="00E16099">
        <w:rPr>
          <w:sz w:val="20"/>
          <w:szCs w:val="20"/>
        </w:rPr>
        <w:t>2022</w:t>
      </w:r>
      <w:r w:rsidR="007C18C5" w:rsidRPr="00E16099">
        <w:rPr>
          <w:sz w:val="20"/>
          <w:szCs w:val="20"/>
        </w:rPr>
        <w:t>).</w:t>
      </w:r>
      <w:r w:rsidRPr="00E16099">
        <w:rPr>
          <w:sz w:val="20"/>
          <w:szCs w:val="20"/>
        </w:rPr>
        <w:t xml:space="preserve"> Digital materials such as observation records and interview transcripts</w:t>
      </w:r>
      <w:r w:rsidR="001B6BEB" w:rsidRPr="00E16099">
        <w:rPr>
          <w:sz w:val="20"/>
          <w:szCs w:val="20"/>
        </w:rPr>
        <w:t xml:space="preserve"> </w:t>
      </w:r>
      <w:r w:rsidRPr="00E16099">
        <w:rPr>
          <w:sz w:val="20"/>
          <w:szCs w:val="20"/>
        </w:rPr>
        <w:t>will be kept on secure, encrypted university systems that require password access. Any handwritten notes will be stored in a locked cabinet that only the researcher can access. To further protect participants’ privacy, documents containing identifiable information, including consent forms, will be kept separately from the main research data so that individuals cannot be linked to the findings.</w:t>
      </w:r>
    </w:p>
    <w:p w14:paraId="5010DE70" w14:textId="77777777" w:rsidR="00853A79" w:rsidRPr="00E16099" w:rsidRDefault="00853A79" w:rsidP="00E16099">
      <w:pPr>
        <w:spacing w:line="360" w:lineRule="auto"/>
        <w:rPr>
          <w:sz w:val="20"/>
          <w:szCs w:val="20"/>
        </w:rPr>
      </w:pPr>
    </w:p>
    <w:p w14:paraId="0A4CE5D1" w14:textId="77777777" w:rsidR="00EF2985" w:rsidRPr="00E16099" w:rsidRDefault="00EF2985" w:rsidP="00E16099">
      <w:pPr>
        <w:spacing w:line="360" w:lineRule="auto"/>
        <w:rPr>
          <w:sz w:val="20"/>
          <w:szCs w:val="20"/>
        </w:rPr>
      </w:pPr>
      <w:r w:rsidRPr="00E16099">
        <w:rPr>
          <w:sz w:val="20"/>
          <w:szCs w:val="20"/>
        </w:rPr>
        <w:t>UNICEF (2013) emphasises that protecting children’s privacy is a fundamental ethical responsibility, and Alderson and Morrow (2020) similarly highlight that confidentiality is central to respecting children’s dignity and rights. These principles will guide all stages of data handling and reporting. No identifiable details will appear in the final portfolio or any future presentations. Care will be taken to avoid including descriptions that could indirectly identify a child, such as highly specific behaviours or unique characteristics. This ensures that participants are protected from reputational harm and that the setting is not exposed to unintended scrutiny.</w:t>
      </w:r>
    </w:p>
    <w:p w14:paraId="342DEE9C" w14:textId="50C0CA8F" w:rsidR="007909F7" w:rsidRPr="00E16099" w:rsidRDefault="007909F7" w:rsidP="00E16099">
      <w:pPr>
        <w:spacing w:line="360" w:lineRule="auto"/>
        <w:rPr>
          <w:sz w:val="20"/>
          <w:szCs w:val="20"/>
        </w:rPr>
      </w:pPr>
    </w:p>
    <w:p w14:paraId="0D87638D" w14:textId="0FFE712F" w:rsidR="007909F7" w:rsidRPr="00E16099" w:rsidRDefault="007909F7" w:rsidP="00113919">
      <w:pPr>
        <w:spacing w:line="360" w:lineRule="auto"/>
        <w:rPr>
          <w:sz w:val="20"/>
          <w:szCs w:val="20"/>
        </w:rPr>
      </w:pPr>
      <w:r w:rsidRPr="00E16099">
        <w:rPr>
          <w:sz w:val="20"/>
          <w:szCs w:val="20"/>
        </w:rPr>
        <w:t>Minimising risk is a central ethical requirement when conducting research with young children. Although this study is low</w:t>
      </w:r>
      <w:r w:rsidR="00113919">
        <w:rPr>
          <w:rFonts w:ascii="Cambria Math" w:hAnsi="Cambria Math" w:cs="Cambria Math"/>
          <w:sz w:val="20"/>
          <w:szCs w:val="20"/>
        </w:rPr>
        <w:t xml:space="preserve"> </w:t>
      </w:r>
      <w:r w:rsidRPr="00E16099">
        <w:rPr>
          <w:sz w:val="20"/>
          <w:szCs w:val="20"/>
        </w:rPr>
        <w:t>risk and takes place within children’s normal play routines, ethical guidance emphasises that researchers must anticipate, monitor, and respond to any potential harm, however unlikely. BERA (2021) states that researchers have a duty of care to ensure that participation does not negatively affect children’s physical, emotional, or psychological wellbeing. UNICEF ERIC (2013) similarly stresses that children are a vulnerable group and that researchers must take proactive steps to protect them from discomfort, distress, or unintended consequences. This section outlines the potential risks to participants, the researcher, and the university, and the strategies used to minimise these risks.</w:t>
      </w:r>
    </w:p>
    <w:p w14:paraId="1E02C029" w14:textId="77777777" w:rsidR="007909F7" w:rsidRPr="00E16099" w:rsidRDefault="007909F7" w:rsidP="00E16099">
      <w:pPr>
        <w:spacing w:line="360" w:lineRule="auto"/>
        <w:rPr>
          <w:sz w:val="20"/>
          <w:szCs w:val="20"/>
        </w:rPr>
      </w:pPr>
    </w:p>
    <w:p w14:paraId="4E2611DD" w14:textId="4695D5EB" w:rsidR="007909F7" w:rsidRPr="00E16099" w:rsidRDefault="007909F7" w:rsidP="00E16099">
      <w:pPr>
        <w:spacing w:line="360" w:lineRule="auto"/>
        <w:rPr>
          <w:sz w:val="20"/>
          <w:szCs w:val="20"/>
        </w:rPr>
      </w:pPr>
      <w:r w:rsidRPr="00E16099">
        <w:rPr>
          <w:sz w:val="20"/>
          <w:szCs w:val="20"/>
        </w:rPr>
        <w:t>Although the study involves observing children during their everyday play, several ethical risks must still be considered. The most immediate risk is emotional or psychological discomfort. Children may feel unsettled by the presence of an unfamiliar adult or may become self</w:t>
      </w:r>
      <w:r w:rsidRPr="00E16099">
        <w:rPr>
          <w:rFonts w:ascii="Cambria Math" w:hAnsi="Cambria Math" w:cs="Cambria Math"/>
          <w:sz w:val="20"/>
          <w:szCs w:val="20"/>
        </w:rPr>
        <w:t>‑</w:t>
      </w:r>
      <w:r w:rsidRPr="00E16099">
        <w:rPr>
          <w:sz w:val="20"/>
          <w:szCs w:val="20"/>
        </w:rPr>
        <w:t xml:space="preserve">conscious if they notice they are being observed. Alderson and Morrow (2020) emphasise that children’s emotional safety must be prioritised, and that researchers must be sensitive to signs of discomfort, withdrawal, or distress. For this </w:t>
      </w:r>
      <w:r w:rsidRPr="00E16099">
        <w:rPr>
          <w:sz w:val="20"/>
          <w:szCs w:val="20"/>
        </w:rPr>
        <w:lastRenderedPageBreak/>
        <w:t>reason, the researcher will adopt a non</w:t>
      </w:r>
      <w:r w:rsidRPr="00E16099">
        <w:rPr>
          <w:rFonts w:ascii="Cambria Math" w:hAnsi="Cambria Math" w:cs="Cambria Math"/>
          <w:sz w:val="20"/>
          <w:szCs w:val="20"/>
        </w:rPr>
        <w:t>‑</w:t>
      </w:r>
      <w:r w:rsidRPr="00E16099">
        <w:rPr>
          <w:sz w:val="20"/>
          <w:szCs w:val="20"/>
        </w:rPr>
        <w:t>intrusive observational stance, positioning themselves at a distance and avoiding direct interaction unless initiated by the child.</w:t>
      </w:r>
      <w:r w:rsidR="00346E71">
        <w:rPr>
          <w:sz w:val="20"/>
          <w:szCs w:val="20"/>
        </w:rPr>
        <w:t xml:space="preserve"> </w:t>
      </w:r>
      <w:r w:rsidRPr="00E16099">
        <w:rPr>
          <w:sz w:val="20"/>
          <w:szCs w:val="20"/>
        </w:rPr>
        <w:t>A second risk relates to behavioural reactivity, commonly known as the Hawthorne effect. Oswald, Sherratt and Smith (2014) note that children may alter their behaviour when they are aware of being observed, which can affect both the authenticity of the data and the child’s comfort. To minimise this, the researcher will spend time in the setting before data collection begins, allowing children to become familiar with their presence. This familiarisation period reduces reactivity and supports a more naturalistic observation environment.</w:t>
      </w:r>
      <w:r w:rsidR="00346E71">
        <w:rPr>
          <w:sz w:val="20"/>
          <w:szCs w:val="20"/>
        </w:rPr>
        <w:t xml:space="preserve"> </w:t>
      </w:r>
      <w:r w:rsidRPr="00E16099">
        <w:rPr>
          <w:sz w:val="20"/>
          <w:szCs w:val="20"/>
        </w:rPr>
        <w:t xml:space="preserve">A third risk concerns misinterpretation of behaviour, which can lead to unfair or inaccurate assumptions about a child. The halo effect, described by Gabrielli et al. (2021), occurs when a researcher’s initial impressions influence subsequent judgements. This is both a methodological and ethical issue, as misinterpretation may inadvertently </w:t>
      </w:r>
      <w:r w:rsidR="00F8689B" w:rsidRPr="00E16099">
        <w:rPr>
          <w:sz w:val="20"/>
          <w:szCs w:val="20"/>
        </w:rPr>
        <w:t>pathologi</w:t>
      </w:r>
      <w:r w:rsidR="00F8689B">
        <w:rPr>
          <w:sz w:val="20"/>
          <w:szCs w:val="20"/>
        </w:rPr>
        <w:t>es</w:t>
      </w:r>
      <w:r w:rsidRPr="00E16099">
        <w:rPr>
          <w:sz w:val="20"/>
          <w:szCs w:val="20"/>
        </w:rPr>
        <w:t xml:space="preserve"> or misrepresent a child’s behaviour. To reduce this risk, the researcher will use structured observation tools, maintain reflexive notes, and triangulate findings with practitioner insights.</w:t>
      </w:r>
      <w:r w:rsidR="00CE5379">
        <w:rPr>
          <w:sz w:val="20"/>
          <w:szCs w:val="20"/>
        </w:rPr>
        <w:t xml:space="preserve"> </w:t>
      </w:r>
      <w:r w:rsidRPr="00E16099">
        <w:rPr>
          <w:sz w:val="20"/>
          <w:szCs w:val="20"/>
        </w:rPr>
        <w:t>There is also a potential risk of breaching children’s privacy. Even in public play spaces, children have a right to dignity and confidentiality. UNICEF ERIC (2013) emphasises that researchers must avoid collecting unnecessary personal information and must ensure that children are not identifiable in field notes. The researcher will therefore avoid recording sensitive details, unique identifiers, or descriptions that could indirectly reveal a child’s identity.</w:t>
      </w:r>
      <w:r w:rsidR="00346E71">
        <w:rPr>
          <w:sz w:val="20"/>
          <w:szCs w:val="20"/>
        </w:rPr>
        <w:t xml:space="preserve"> </w:t>
      </w:r>
      <w:r w:rsidRPr="00E16099">
        <w:rPr>
          <w:sz w:val="20"/>
          <w:szCs w:val="20"/>
        </w:rPr>
        <w:t>Finally, the researcher must consider safeguarding responsibilities. If any concerns about a child’s welfare arise during the study, the researcher is legally and ethically required to follow the setting’s safeguarding procedures. This includes reporting concerns to the designated safeguarding lead. This ensures that the research does not compromise children’s safety and aligns with statutory safeguarding frameworks in Wales.</w:t>
      </w:r>
    </w:p>
    <w:p w14:paraId="25883550" w14:textId="77777777" w:rsidR="007909F7" w:rsidRPr="00E16099" w:rsidRDefault="007909F7" w:rsidP="00E16099">
      <w:pPr>
        <w:spacing w:line="360" w:lineRule="auto"/>
        <w:rPr>
          <w:sz w:val="20"/>
          <w:szCs w:val="20"/>
        </w:rPr>
      </w:pPr>
    </w:p>
    <w:p w14:paraId="09037C55" w14:textId="5FBF18BB" w:rsidR="007909F7" w:rsidRPr="00E16099" w:rsidRDefault="007909F7" w:rsidP="00E16099">
      <w:pPr>
        <w:spacing w:line="360" w:lineRule="auto"/>
        <w:rPr>
          <w:sz w:val="20"/>
          <w:szCs w:val="20"/>
        </w:rPr>
      </w:pPr>
      <w:r w:rsidRPr="00E16099">
        <w:rPr>
          <w:sz w:val="20"/>
          <w:szCs w:val="20"/>
        </w:rPr>
        <w:t>Research in early years settings also carries risks for the researcher. One key consideration is professional boundaries. Working closely with young children requires strict adherence to safeguarding policies to protect both the children and the researcher. The researcher will follow the setting’s visitor protocols, remain in supervised areas at all times, and avoid any situation where they might be alone with a child. These measures align with UWTSD’s safeguarding expectations and ensure that the researcher maintains appropriate professional conduct</w:t>
      </w:r>
      <w:r w:rsidR="00F93512">
        <w:rPr>
          <w:sz w:val="20"/>
          <w:szCs w:val="20"/>
        </w:rPr>
        <w:t xml:space="preserve"> (</w:t>
      </w:r>
      <w:r w:rsidR="00B31D0F">
        <w:rPr>
          <w:sz w:val="20"/>
          <w:szCs w:val="20"/>
        </w:rPr>
        <w:t>University</w:t>
      </w:r>
      <w:r w:rsidR="005D0AB0">
        <w:rPr>
          <w:sz w:val="20"/>
          <w:szCs w:val="20"/>
        </w:rPr>
        <w:t xml:space="preserve"> of Wales </w:t>
      </w:r>
      <w:r w:rsidR="00B31D0F">
        <w:rPr>
          <w:sz w:val="20"/>
          <w:szCs w:val="20"/>
        </w:rPr>
        <w:t>Trinity Saint David, 2022).</w:t>
      </w:r>
      <w:r w:rsidR="00113919">
        <w:rPr>
          <w:sz w:val="20"/>
          <w:szCs w:val="20"/>
        </w:rPr>
        <w:t xml:space="preserve"> </w:t>
      </w:r>
      <w:r w:rsidRPr="00E16099">
        <w:rPr>
          <w:sz w:val="20"/>
          <w:szCs w:val="20"/>
        </w:rPr>
        <w:t>There is also a risk of emotional strain. Observing children’s behaviour, especially if a child becomes distressed, can be emotionally challenging. Reflexive practice will help the researcher process these experiences and maintain emotional wellbeing. Regular supervision meetings will also provide space to discuss concerns and ensure that the researcher feels supported.</w:t>
      </w:r>
      <w:r w:rsidR="00113919">
        <w:rPr>
          <w:sz w:val="20"/>
          <w:szCs w:val="20"/>
        </w:rPr>
        <w:t xml:space="preserve"> </w:t>
      </w:r>
      <w:r w:rsidRPr="00E16099">
        <w:rPr>
          <w:sz w:val="20"/>
          <w:szCs w:val="20"/>
        </w:rPr>
        <w:t>Physical risks must also be considered. Early years environments involve small furniture, busy movement, and outdoor spaces where slips or minor accidents can occur. The researcher will follow the setting’s health and safety guidance, wear appropriate footwear, and remain aware of their surroundings to minimise physical risk.</w:t>
      </w:r>
      <w:r w:rsidR="00113919">
        <w:rPr>
          <w:sz w:val="20"/>
          <w:szCs w:val="20"/>
        </w:rPr>
        <w:t xml:space="preserve"> </w:t>
      </w:r>
      <w:r w:rsidRPr="00E16099">
        <w:rPr>
          <w:sz w:val="20"/>
          <w:szCs w:val="20"/>
        </w:rPr>
        <w:t>Finally, the researcher must consider ethical risk, such as inadvertently breaching confidentiality or mishandling data. Strict adherence to GDPR (2018), secure data storage, and careful anonymisation will minimise these risks.</w:t>
      </w:r>
    </w:p>
    <w:p w14:paraId="135AE768" w14:textId="77777777" w:rsidR="007909F7" w:rsidRPr="00E16099" w:rsidRDefault="007909F7" w:rsidP="00E16099">
      <w:pPr>
        <w:spacing w:line="360" w:lineRule="auto"/>
        <w:rPr>
          <w:sz w:val="20"/>
          <w:szCs w:val="20"/>
        </w:rPr>
      </w:pPr>
    </w:p>
    <w:p w14:paraId="3B4DEBD4" w14:textId="26233628" w:rsidR="00EF2985" w:rsidRPr="00E16099" w:rsidRDefault="007909F7" w:rsidP="00E16099">
      <w:pPr>
        <w:spacing w:line="360" w:lineRule="auto"/>
        <w:rPr>
          <w:sz w:val="20"/>
          <w:szCs w:val="20"/>
        </w:rPr>
      </w:pPr>
      <w:r w:rsidRPr="00E16099">
        <w:rPr>
          <w:sz w:val="20"/>
          <w:szCs w:val="20"/>
        </w:rPr>
        <w:t>The university also faces potential risks associated with the research. One risk is reputational harm if ethical procedures are not followed. Failure to obtain consent, mishandling data, or breaching confidentiality could reflect negatively on the institution. To mitigate this, the researcher will obtain full ethical approval from UWTSD before beginning data collection and will follow all institutional policies on data protection and research integrity</w:t>
      </w:r>
      <w:r w:rsidR="00AE1F79">
        <w:rPr>
          <w:sz w:val="20"/>
          <w:szCs w:val="20"/>
        </w:rPr>
        <w:t xml:space="preserve"> </w:t>
      </w:r>
      <w:r w:rsidR="00AE1F79" w:rsidRPr="00AE1F79">
        <w:rPr>
          <w:sz w:val="20"/>
          <w:szCs w:val="20"/>
        </w:rPr>
        <w:t>y (University of Wales Trinity Saint David, 2022)</w:t>
      </w:r>
      <w:r w:rsidR="00AE1F79">
        <w:rPr>
          <w:sz w:val="20"/>
          <w:szCs w:val="20"/>
        </w:rPr>
        <w:t>.</w:t>
      </w:r>
      <w:r w:rsidR="00113919">
        <w:rPr>
          <w:sz w:val="20"/>
          <w:szCs w:val="20"/>
        </w:rPr>
        <w:t xml:space="preserve"> </w:t>
      </w:r>
      <w:r w:rsidRPr="00E16099">
        <w:rPr>
          <w:sz w:val="20"/>
          <w:szCs w:val="20"/>
        </w:rPr>
        <w:t>Another risk relates to legal compliance, particularly regarding GDPR (2018). If personal data is mishandled, the university could face legal consequences. Secure data storage, anonymisation, and restricted access to data ensure compliance with legal requirements.</w:t>
      </w:r>
      <w:r w:rsidR="00905997">
        <w:rPr>
          <w:sz w:val="20"/>
          <w:szCs w:val="20"/>
        </w:rPr>
        <w:t xml:space="preserve"> </w:t>
      </w:r>
      <w:r w:rsidRPr="00E16099">
        <w:rPr>
          <w:sz w:val="20"/>
          <w:szCs w:val="20"/>
        </w:rPr>
        <w:t>There is also a risk of misrepresentation of the setting. If findings are presented in a way that could be interpreted as critical of the school or practitioners, this could damage relationships between the university and local early years providers. To avoid this, the researcher will present findings sensitively, avoid naming the setting, and ensure that interpretations are grounded in evidence rather than subjective judgement.</w:t>
      </w:r>
      <w:r w:rsidR="00905997">
        <w:rPr>
          <w:sz w:val="20"/>
          <w:szCs w:val="20"/>
        </w:rPr>
        <w:t xml:space="preserve"> </w:t>
      </w:r>
      <w:r w:rsidRPr="00E16099">
        <w:rPr>
          <w:sz w:val="20"/>
          <w:szCs w:val="20"/>
        </w:rPr>
        <w:t>Finally, the university must ensure that the research aligns with ethical standards for working with children. By following BERA (2021), UNICEF ERIC (2013), and Alderson and Morrow (2020), the researcher demonstrates a commitment to ethical practice, reducing institutional risk and ensuring that the study reflects positively on the university.</w:t>
      </w:r>
    </w:p>
    <w:p w14:paraId="14BF2E20" w14:textId="77777777" w:rsidR="00EF2985" w:rsidRPr="00E16099" w:rsidRDefault="00EF2985" w:rsidP="00E16099">
      <w:pPr>
        <w:spacing w:line="360" w:lineRule="auto"/>
        <w:rPr>
          <w:sz w:val="20"/>
          <w:szCs w:val="20"/>
        </w:rPr>
      </w:pPr>
    </w:p>
    <w:p w14:paraId="0015DF98" w14:textId="5392698C" w:rsidR="001F66EF" w:rsidRPr="00E16099" w:rsidRDefault="0051381C" w:rsidP="00E16099">
      <w:pPr>
        <w:spacing w:line="360" w:lineRule="auto"/>
        <w:rPr>
          <w:sz w:val="20"/>
          <w:szCs w:val="20"/>
        </w:rPr>
      </w:pPr>
      <w:r w:rsidRPr="00E16099">
        <w:rPr>
          <w:sz w:val="20"/>
          <w:szCs w:val="20"/>
        </w:rPr>
        <w:t>Data management for this study will follow the requirements of GDPR (2018), which sets out clear expectations for the lawful handling, secure storage, and appropriate retention of personal information. All digital materials will be stored on encrypted systems provided by the university, ensuring that files cannot be accessed without authorised login credentials. Handwritten or printed notes will be kept in locked storage to prevent unauthorised access. Access to all research data will be restricted to the researcher and academic supervisor only. In line with the University of Wales Trinity Saint David’s data protection policy (University of Wales Trinity Saint David, 2022), the data will be retained for the standard retention period</w:t>
      </w:r>
      <w:r w:rsidR="005A145B" w:rsidRPr="00E16099">
        <w:rPr>
          <w:sz w:val="20"/>
          <w:szCs w:val="20"/>
        </w:rPr>
        <w:t xml:space="preserve"> </w:t>
      </w:r>
      <w:r w:rsidRPr="00E16099">
        <w:rPr>
          <w:sz w:val="20"/>
          <w:szCs w:val="20"/>
        </w:rPr>
        <w:t>usually five years</w:t>
      </w:r>
      <w:r w:rsidR="005A145B" w:rsidRPr="00E16099">
        <w:rPr>
          <w:sz w:val="20"/>
          <w:szCs w:val="20"/>
        </w:rPr>
        <w:t xml:space="preserve"> </w:t>
      </w:r>
      <w:r w:rsidRPr="00E16099">
        <w:rPr>
          <w:sz w:val="20"/>
          <w:szCs w:val="20"/>
        </w:rPr>
        <w:t>after which it will be securely destroyed. Digital files will be permanently deleted from university systems, and any physical documents will be shredded to ensure complete disposal.</w:t>
      </w:r>
      <w:r w:rsidR="00905997">
        <w:rPr>
          <w:sz w:val="20"/>
          <w:szCs w:val="20"/>
        </w:rPr>
        <w:t xml:space="preserve"> </w:t>
      </w:r>
      <w:r w:rsidRPr="00E16099">
        <w:rPr>
          <w:sz w:val="20"/>
          <w:szCs w:val="20"/>
        </w:rPr>
        <w:t>The study will also uphold the ethical principles outlined in the BERA (2021) guidelines, which emphasise respect, transparency, and responsible data handling. These principles reinforce the need to protect children’s rights, ensure voluntary participation, and maintain confidentiality throughout the research process. UNICEF (2013) and Alderson and Morrow (2020) similarly stress that ethical research with children must prioritise their dignity, agency, and privacy, requiring researchers to manage data with care and sensitivity at every stage.</w:t>
      </w:r>
    </w:p>
    <w:p w14:paraId="622F6CD5" w14:textId="77777777" w:rsidR="001F66EF" w:rsidRPr="00E16099" w:rsidRDefault="001F66EF" w:rsidP="00E16099">
      <w:pPr>
        <w:spacing w:line="360" w:lineRule="auto"/>
        <w:rPr>
          <w:sz w:val="20"/>
          <w:szCs w:val="20"/>
        </w:rPr>
      </w:pPr>
    </w:p>
    <w:p w14:paraId="7AFE41BF" w14:textId="5FB39981" w:rsidR="001F66EF" w:rsidRPr="00E16099" w:rsidRDefault="001F66EF" w:rsidP="00E16099">
      <w:pPr>
        <w:spacing w:line="360" w:lineRule="auto"/>
        <w:rPr>
          <w:sz w:val="20"/>
          <w:szCs w:val="20"/>
        </w:rPr>
      </w:pPr>
      <w:r w:rsidRPr="00E16099">
        <w:rPr>
          <w:sz w:val="20"/>
          <w:szCs w:val="20"/>
        </w:rPr>
        <w:t xml:space="preserve">This study addresses an important gap in the literature by examining how different play areas influence engagement in children aged three to four within a </w:t>
      </w:r>
      <w:r w:rsidR="00F8689B" w:rsidRPr="00E16099">
        <w:rPr>
          <w:sz w:val="20"/>
          <w:szCs w:val="20"/>
        </w:rPr>
        <w:t>Welsh early year</w:t>
      </w:r>
      <w:r w:rsidRPr="00E16099">
        <w:rPr>
          <w:sz w:val="20"/>
          <w:szCs w:val="20"/>
        </w:rPr>
        <w:t xml:space="preserve"> setting. The methodological approach</w:t>
      </w:r>
      <w:r w:rsidR="00905997">
        <w:rPr>
          <w:sz w:val="20"/>
          <w:szCs w:val="20"/>
        </w:rPr>
        <w:t xml:space="preserve"> </w:t>
      </w:r>
      <w:r w:rsidRPr="00E16099">
        <w:rPr>
          <w:sz w:val="20"/>
          <w:szCs w:val="20"/>
        </w:rPr>
        <w:lastRenderedPageBreak/>
        <w:t>combining naturalistic observation with practitioner interviews</w:t>
      </w:r>
      <w:r w:rsidR="004F0EA2" w:rsidRPr="00E16099">
        <w:rPr>
          <w:sz w:val="20"/>
          <w:szCs w:val="20"/>
        </w:rPr>
        <w:t xml:space="preserve"> </w:t>
      </w:r>
      <w:r w:rsidRPr="00E16099">
        <w:rPr>
          <w:sz w:val="20"/>
          <w:szCs w:val="20"/>
        </w:rPr>
        <w:t>provides a robust framework for exploring engagement in authentic contexts. Ethical considerations have been central to the design of the study, ensuring that children’s rights, wellbeing, and autonomy are prioritised at every stage.</w:t>
      </w:r>
      <w:r w:rsidR="00B01C15">
        <w:rPr>
          <w:sz w:val="20"/>
          <w:szCs w:val="20"/>
        </w:rPr>
        <w:t xml:space="preserve"> </w:t>
      </w:r>
      <w:r w:rsidRPr="00E16099">
        <w:rPr>
          <w:sz w:val="20"/>
          <w:szCs w:val="20"/>
        </w:rPr>
        <w:t xml:space="preserve">By obtaining informed consent, monitoring ongoing child assent, protecting confidentiality, minimising risk, and adhering to GDPR (2018), BERA (2021), and UWTSD policies, the study demonstrates a strong commitment to ethical </w:t>
      </w:r>
      <w:r w:rsidR="007C18C5" w:rsidRPr="00E16099">
        <w:rPr>
          <w:sz w:val="20"/>
          <w:szCs w:val="20"/>
        </w:rPr>
        <w:t>integrity</w:t>
      </w:r>
      <w:r w:rsidR="007C18C5" w:rsidRPr="00AE1F79">
        <w:rPr>
          <w:sz w:val="20"/>
          <w:szCs w:val="20"/>
        </w:rPr>
        <w:t xml:space="preserve"> (</w:t>
      </w:r>
      <w:r w:rsidR="00AE1F79" w:rsidRPr="00AE1F79">
        <w:rPr>
          <w:sz w:val="20"/>
          <w:szCs w:val="20"/>
        </w:rPr>
        <w:t>University of Wales Trinity Saint David, 2022</w:t>
      </w:r>
      <w:r w:rsidR="00F8689B" w:rsidRPr="00AE1F79">
        <w:rPr>
          <w:sz w:val="20"/>
          <w:szCs w:val="20"/>
        </w:rPr>
        <w:t>)</w:t>
      </w:r>
      <w:r w:rsidR="00F8689B">
        <w:rPr>
          <w:sz w:val="20"/>
          <w:szCs w:val="20"/>
        </w:rPr>
        <w:t>.</w:t>
      </w:r>
      <w:r w:rsidRPr="00E16099">
        <w:rPr>
          <w:sz w:val="20"/>
          <w:szCs w:val="20"/>
        </w:rPr>
        <w:t xml:space="preserve"> These measures ensure that the research is conducted responsibly and respectfully, supporting the production of trustworthy findings that can contribute meaningfully to early years practice in Wales.</w:t>
      </w:r>
    </w:p>
    <w:p w14:paraId="0F8D75F6" w14:textId="77777777" w:rsidR="002C688C" w:rsidRPr="00E16099" w:rsidRDefault="002C688C" w:rsidP="00E16099">
      <w:pPr>
        <w:spacing w:line="360" w:lineRule="auto"/>
        <w:rPr>
          <w:sz w:val="20"/>
          <w:szCs w:val="20"/>
        </w:rPr>
      </w:pPr>
    </w:p>
    <w:p w14:paraId="466B0F60" w14:textId="77777777" w:rsidR="002C688C" w:rsidRPr="00E16099" w:rsidRDefault="002C688C" w:rsidP="00E16099">
      <w:pPr>
        <w:spacing w:line="360" w:lineRule="auto"/>
        <w:rPr>
          <w:sz w:val="20"/>
          <w:szCs w:val="20"/>
        </w:rPr>
      </w:pPr>
    </w:p>
    <w:p w14:paraId="709E32BD" w14:textId="40F30747" w:rsidR="0094249F" w:rsidRPr="00E16099" w:rsidRDefault="0094249F" w:rsidP="00E16099">
      <w:pPr>
        <w:spacing w:line="360" w:lineRule="auto"/>
        <w:rPr>
          <w:sz w:val="20"/>
          <w:szCs w:val="20"/>
        </w:rPr>
      </w:pPr>
      <w:r w:rsidRPr="00E16099">
        <w:rPr>
          <w:sz w:val="20"/>
          <w:szCs w:val="20"/>
        </w:rPr>
        <w:t>Harvard Reference List</w:t>
      </w:r>
    </w:p>
    <w:p w14:paraId="1BE1710F" w14:textId="77777777" w:rsidR="0094249F" w:rsidRPr="00E16099" w:rsidRDefault="0094249F" w:rsidP="00E16099">
      <w:pPr>
        <w:spacing w:line="360" w:lineRule="auto"/>
        <w:rPr>
          <w:sz w:val="20"/>
          <w:szCs w:val="20"/>
        </w:rPr>
      </w:pPr>
      <w:r w:rsidRPr="00E16099">
        <w:rPr>
          <w:sz w:val="20"/>
          <w:szCs w:val="20"/>
        </w:rPr>
        <w:t>Bilton, H. (2014) Outdoor learning in the early years. 3rd edn. London: Routledge.</w:t>
      </w:r>
    </w:p>
    <w:p w14:paraId="4C32584F" w14:textId="77777777" w:rsidR="0094249F" w:rsidRPr="00E16099" w:rsidRDefault="0094249F" w:rsidP="00E16099">
      <w:pPr>
        <w:spacing w:line="360" w:lineRule="auto"/>
        <w:rPr>
          <w:sz w:val="20"/>
          <w:szCs w:val="20"/>
        </w:rPr>
      </w:pPr>
      <w:r w:rsidRPr="00E16099">
        <w:rPr>
          <w:sz w:val="20"/>
          <w:szCs w:val="20"/>
        </w:rPr>
        <w:t>Bruner, J. (1983) Child’s talk: Learning to use language. Oxford: Oxford University Press.</w:t>
      </w:r>
    </w:p>
    <w:p w14:paraId="45A9D16E" w14:textId="77777777" w:rsidR="0094249F" w:rsidRPr="00E16099" w:rsidRDefault="0094249F" w:rsidP="00E16099">
      <w:pPr>
        <w:spacing w:line="360" w:lineRule="auto"/>
        <w:rPr>
          <w:sz w:val="20"/>
          <w:szCs w:val="20"/>
        </w:rPr>
      </w:pPr>
      <w:r w:rsidRPr="00E16099">
        <w:rPr>
          <w:sz w:val="20"/>
          <w:szCs w:val="20"/>
        </w:rPr>
        <w:t>Casey, T. (2010) Inclusive play: Practical strategies for children from birth to eight. London: Sage.</w:t>
      </w:r>
    </w:p>
    <w:p w14:paraId="52668960" w14:textId="77777777" w:rsidR="0094249F" w:rsidRPr="00E16099" w:rsidRDefault="0094249F" w:rsidP="00E16099">
      <w:pPr>
        <w:spacing w:line="360" w:lineRule="auto"/>
        <w:rPr>
          <w:sz w:val="20"/>
          <w:szCs w:val="20"/>
        </w:rPr>
      </w:pPr>
      <w:r w:rsidRPr="00E16099">
        <w:rPr>
          <w:sz w:val="20"/>
          <w:szCs w:val="20"/>
        </w:rPr>
        <w:t>Fleer, M. (2015) Theorising play in the early years. Cambridge: Cambridge University Press.</w:t>
      </w:r>
    </w:p>
    <w:p w14:paraId="1A2E8B94" w14:textId="77777777" w:rsidR="0094249F" w:rsidRPr="00E16099" w:rsidRDefault="0094249F" w:rsidP="00E16099">
      <w:pPr>
        <w:spacing w:line="360" w:lineRule="auto"/>
        <w:rPr>
          <w:sz w:val="20"/>
          <w:szCs w:val="20"/>
        </w:rPr>
      </w:pPr>
      <w:r w:rsidRPr="00E16099">
        <w:rPr>
          <w:sz w:val="20"/>
          <w:szCs w:val="20"/>
        </w:rPr>
        <w:t>Flewitt, R. (2014) ‘Interpreting children’s behaviour and learning through qualitative methods’, in Clark, A., Flewitt, R., Hammersley, M. and Robb, M. (eds.) Understanding research with children and young people. London: Sage, pp. 44–60.</w:t>
      </w:r>
    </w:p>
    <w:p w14:paraId="47F2726C" w14:textId="1CD5DD35" w:rsidR="0094249F" w:rsidRPr="00E16099" w:rsidRDefault="0094249F" w:rsidP="00E16099">
      <w:pPr>
        <w:spacing w:line="360" w:lineRule="auto"/>
        <w:rPr>
          <w:sz w:val="20"/>
          <w:szCs w:val="20"/>
        </w:rPr>
      </w:pPr>
      <w:r w:rsidRPr="00E16099">
        <w:rPr>
          <w:sz w:val="20"/>
          <w:szCs w:val="20"/>
        </w:rPr>
        <w:t xml:space="preserve">Gabrielli, G., Lee, A., Setoh, P. and Esposito, G. (2021) ‘An analysis of the </w:t>
      </w:r>
      <w:r w:rsidR="00011888" w:rsidRPr="00E16099">
        <w:rPr>
          <w:sz w:val="20"/>
          <w:szCs w:val="20"/>
        </w:rPr>
        <w:t>generalisability</w:t>
      </w:r>
      <w:r w:rsidRPr="00E16099">
        <w:rPr>
          <w:sz w:val="20"/>
          <w:szCs w:val="20"/>
        </w:rPr>
        <w:t xml:space="preserve"> and stability of the halo effect during the COVID</w:t>
      </w:r>
      <w:r w:rsidRPr="00E16099">
        <w:rPr>
          <w:rFonts w:ascii="Cambria Math" w:hAnsi="Cambria Math" w:cs="Cambria Math"/>
          <w:sz w:val="20"/>
          <w:szCs w:val="20"/>
        </w:rPr>
        <w:t>‑</w:t>
      </w:r>
      <w:r w:rsidRPr="00E16099">
        <w:rPr>
          <w:sz w:val="20"/>
          <w:szCs w:val="20"/>
        </w:rPr>
        <w:t>19 pandemic outbreak’, Frontiers in Psychology, 12, 631871. doi: 10.3389/fpsyg.2021.631871.</w:t>
      </w:r>
    </w:p>
    <w:p w14:paraId="4F23BE4E" w14:textId="150B8AA2" w:rsidR="0094249F" w:rsidRPr="00E16099" w:rsidRDefault="0094249F" w:rsidP="00E16099">
      <w:pPr>
        <w:spacing w:line="360" w:lineRule="auto"/>
        <w:rPr>
          <w:sz w:val="20"/>
          <w:szCs w:val="20"/>
        </w:rPr>
      </w:pPr>
      <w:r w:rsidRPr="00E16099">
        <w:rPr>
          <w:sz w:val="20"/>
          <w:szCs w:val="20"/>
        </w:rPr>
        <w:t xml:space="preserve">Gura, P. (2016) Exploring learning: Young children and </w:t>
      </w:r>
      <w:r w:rsidR="00011888" w:rsidRPr="00E16099">
        <w:rPr>
          <w:sz w:val="20"/>
          <w:szCs w:val="20"/>
        </w:rPr>
        <w:t>block play</w:t>
      </w:r>
      <w:r w:rsidRPr="00E16099">
        <w:rPr>
          <w:sz w:val="20"/>
          <w:szCs w:val="20"/>
        </w:rPr>
        <w:t>. London: Sage.</w:t>
      </w:r>
    </w:p>
    <w:p w14:paraId="5FB6012F" w14:textId="77777777" w:rsidR="0094249F" w:rsidRPr="00E16099" w:rsidRDefault="0094249F" w:rsidP="00E16099">
      <w:pPr>
        <w:spacing w:line="360" w:lineRule="auto"/>
        <w:rPr>
          <w:sz w:val="20"/>
          <w:szCs w:val="20"/>
        </w:rPr>
      </w:pPr>
      <w:r w:rsidRPr="00E16099">
        <w:rPr>
          <w:sz w:val="20"/>
          <w:szCs w:val="20"/>
        </w:rPr>
        <w:t>Holmes, R. (2018) Doing your early years research project: A step</w:t>
      </w:r>
      <w:r w:rsidRPr="00E16099">
        <w:rPr>
          <w:rFonts w:ascii="Cambria Math" w:hAnsi="Cambria Math" w:cs="Cambria Math"/>
          <w:sz w:val="20"/>
          <w:szCs w:val="20"/>
        </w:rPr>
        <w:t>‑</w:t>
      </w:r>
      <w:r w:rsidRPr="00E16099">
        <w:rPr>
          <w:sz w:val="20"/>
          <w:szCs w:val="20"/>
        </w:rPr>
        <w:t>by</w:t>
      </w:r>
      <w:r w:rsidRPr="00E16099">
        <w:rPr>
          <w:rFonts w:ascii="Cambria Math" w:hAnsi="Cambria Math" w:cs="Cambria Math"/>
          <w:sz w:val="20"/>
          <w:szCs w:val="20"/>
        </w:rPr>
        <w:t>‑</w:t>
      </w:r>
      <w:r w:rsidRPr="00E16099">
        <w:rPr>
          <w:sz w:val="20"/>
          <w:szCs w:val="20"/>
        </w:rPr>
        <w:t>step guide. 4th edn. London: Sage.</w:t>
      </w:r>
    </w:p>
    <w:p w14:paraId="1F0C8C1E" w14:textId="1439B4E3" w:rsidR="0094249F" w:rsidRPr="00E16099" w:rsidRDefault="0094249F" w:rsidP="00E16099">
      <w:pPr>
        <w:spacing w:line="360" w:lineRule="auto"/>
        <w:rPr>
          <w:sz w:val="20"/>
          <w:szCs w:val="20"/>
        </w:rPr>
      </w:pPr>
      <w:r w:rsidRPr="00E16099">
        <w:rPr>
          <w:sz w:val="20"/>
          <w:szCs w:val="20"/>
        </w:rPr>
        <w:t>Laevers, F. (1994) ‘The Leuven involvement scale for young children’, in Laevers, F. (ed.) Defining and assessing quality in early childhood education. Leuven: Leuven University Press, pp. 157–172.</w:t>
      </w:r>
    </w:p>
    <w:p w14:paraId="3F682082" w14:textId="77777777" w:rsidR="0094249F" w:rsidRPr="00E16099" w:rsidRDefault="0094249F" w:rsidP="00E16099">
      <w:pPr>
        <w:spacing w:line="360" w:lineRule="auto"/>
        <w:rPr>
          <w:sz w:val="20"/>
          <w:szCs w:val="20"/>
        </w:rPr>
      </w:pPr>
      <w:r w:rsidRPr="00E16099">
        <w:rPr>
          <w:sz w:val="20"/>
          <w:szCs w:val="20"/>
        </w:rPr>
        <w:t>Oswald, D., Sherratt, F. and Smith, S. (2014) ‘Handling the Hawthorne effect: The challenges surrounding a participant observer’, Review of Social Studies, 1(1), pp. 53–73.</w:t>
      </w:r>
    </w:p>
    <w:p w14:paraId="4954CFCA" w14:textId="77777777" w:rsidR="0094249F" w:rsidRPr="00E16099" w:rsidRDefault="0094249F" w:rsidP="00E16099">
      <w:pPr>
        <w:spacing w:line="360" w:lineRule="auto"/>
        <w:rPr>
          <w:sz w:val="20"/>
          <w:szCs w:val="20"/>
        </w:rPr>
      </w:pPr>
      <w:r w:rsidRPr="00E16099">
        <w:rPr>
          <w:sz w:val="20"/>
          <w:szCs w:val="20"/>
        </w:rPr>
        <w:t>Pascal, C. and Bertram, T. (2012) The learning environment: A review of research. Birmingham: CREC.</w:t>
      </w:r>
    </w:p>
    <w:p w14:paraId="021C4260" w14:textId="77777777" w:rsidR="0094249F" w:rsidRPr="00E16099" w:rsidRDefault="0094249F" w:rsidP="00E16099">
      <w:pPr>
        <w:spacing w:line="360" w:lineRule="auto"/>
        <w:rPr>
          <w:sz w:val="20"/>
          <w:szCs w:val="20"/>
        </w:rPr>
      </w:pPr>
      <w:r w:rsidRPr="00E16099">
        <w:rPr>
          <w:sz w:val="20"/>
          <w:szCs w:val="20"/>
        </w:rPr>
        <w:t>Pascal, C. and Bertram, T. (2016) Effective early learning: A practitioner’s guide. London: Sage.</w:t>
      </w:r>
    </w:p>
    <w:p w14:paraId="3A281501" w14:textId="77777777" w:rsidR="0094249F" w:rsidRPr="00E16099" w:rsidRDefault="0094249F" w:rsidP="00E16099">
      <w:pPr>
        <w:spacing w:line="360" w:lineRule="auto"/>
        <w:rPr>
          <w:sz w:val="20"/>
          <w:szCs w:val="20"/>
        </w:rPr>
      </w:pPr>
      <w:r w:rsidRPr="00E16099">
        <w:rPr>
          <w:sz w:val="20"/>
          <w:szCs w:val="20"/>
        </w:rPr>
        <w:t>Piaget, J. (1962) Play, dreams and imitation in childhood. New York: Norton.</w:t>
      </w:r>
    </w:p>
    <w:p w14:paraId="4540822C" w14:textId="77777777" w:rsidR="0094249F" w:rsidRPr="00E16099" w:rsidRDefault="0094249F" w:rsidP="00E16099">
      <w:pPr>
        <w:spacing w:line="360" w:lineRule="auto"/>
        <w:rPr>
          <w:sz w:val="20"/>
          <w:szCs w:val="20"/>
        </w:rPr>
      </w:pPr>
      <w:r w:rsidRPr="00E16099">
        <w:rPr>
          <w:sz w:val="20"/>
          <w:szCs w:val="20"/>
        </w:rPr>
        <w:lastRenderedPageBreak/>
        <w:t>Robson, C. (2011) Real world research. 3rd edn. Oxford: Blackwell.</w:t>
      </w:r>
    </w:p>
    <w:p w14:paraId="5004A1F2" w14:textId="77777777" w:rsidR="0094249F" w:rsidRPr="00E16099" w:rsidRDefault="0094249F" w:rsidP="00E16099">
      <w:pPr>
        <w:spacing w:line="360" w:lineRule="auto"/>
        <w:rPr>
          <w:sz w:val="20"/>
          <w:szCs w:val="20"/>
        </w:rPr>
      </w:pPr>
      <w:r w:rsidRPr="00E16099">
        <w:rPr>
          <w:sz w:val="20"/>
          <w:szCs w:val="20"/>
        </w:rPr>
        <w:t>Siraj, I., Kingston, D. and Melhuish, E. (2015) Assessing quality in early childhood education and care. London: Trentham Books.</w:t>
      </w:r>
    </w:p>
    <w:p w14:paraId="266F5186" w14:textId="77777777" w:rsidR="0094249F" w:rsidRPr="00E16099" w:rsidRDefault="0094249F" w:rsidP="00E16099">
      <w:pPr>
        <w:spacing w:line="360" w:lineRule="auto"/>
        <w:rPr>
          <w:sz w:val="20"/>
          <w:szCs w:val="20"/>
        </w:rPr>
      </w:pPr>
      <w:r w:rsidRPr="00E16099">
        <w:rPr>
          <w:sz w:val="20"/>
          <w:szCs w:val="20"/>
        </w:rPr>
        <w:t>Smilansky, S. and Shefatya, L. (2012) Facilitating play: A medium for promoting cognitive, socio</w:t>
      </w:r>
      <w:r w:rsidRPr="00E16099">
        <w:rPr>
          <w:rFonts w:ascii="Cambria Math" w:hAnsi="Cambria Math" w:cs="Cambria Math"/>
          <w:sz w:val="20"/>
          <w:szCs w:val="20"/>
        </w:rPr>
        <w:t>‑</w:t>
      </w:r>
      <w:r w:rsidRPr="00E16099">
        <w:rPr>
          <w:sz w:val="20"/>
          <w:szCs w:val="20"/>
        </w:rPr>
        <w:t>emotional and academic development in young children. Gaithersburg, MD: Psychosocial &amp; Educational Publications.</w:t>
      </w:r>
    </w:p>
    <w:p w14:paraId="23C458D2" w14:textId="77777777" w:rsidR="0094249F" w:rsidRPr="00E16099" w:rsidRDefault="0094249F" w:rsidP="00E16099">
      <w:pPr>
        <w:spacing w:line="360" w:lineRule="auto"/>
        <w:rPr>
          <w:sz w:val="20"/>
          <w:szCs w:val="20"/>
        </w:rPr>
      </w:pPr>
      <w:r w:rsidRPr="00E16099">
        <w:rPr>
          <w:sz w:val="20"/>
          <w:szCs w:val="20"/>
        </w:rPr>
        <w:t>Tovey, H. (2017) Bringing the outdoors in and the indoors out: Young children learning through outdoor play. Maidenhead: Open University Press.</w:t>
      </w:r>
    </w:p>
    <w:p w14:paraId="782A0214" w14:textId="2988EA6A" w:rsidR="00E16099" w:rsidRPr="00E16099" w:rsidRDefault="00E16099" w:rsidP="00E16099">
      <w:pPr>
        <w:spacing w:line="360" w:lineRule="auto"/>
        <w:rPr>
          <w:sz w:val="20"/>
          <w:szCs w:val="20"/>
        </w:rPr>
      </w:pPr>
      <w:r w:rsidRPr="00E16099">
        <w:rPr>
          <w:sz w:val="20"/>
          <w:szCs w:val="20"/>
        </w:rPr>
        <w:t>University of Wales Trinity Saint David. (2022) Data Protection Policy. Swansea: UWTSD.</w:t>
      </w:r>
    </w:p>
    <w:p w14:paraId="3B991DCA" w14:textId="77777777" w:rsidR="0094249F" w:rsidRPr="00E16099" w:rsidRDefault="0094249F" w:rsidP="00E16099">
      <w:pPr>
        <w:spacing w:line="360" w:lineRule="auto"/>
        <w:rPr>
          <w:sz w:val="20"/>
          <w:szCs w:val="20"/>
        </w:rPr>
      </w:pPr>
      <w:r w:rsidRPr="00E16099">
        <w:rPr>
          <w:sz w:val="20"/>
          <w:szCs w:val="20"/>
        </w:rPr>
        <w:t>Vygotsky, L. (1978) Mind in society: The development of higher psychological processes. Cambridge, MA: Harvard University Press.</w:t>
      </w:r>
    </w:p>
    <w:p w14:paraId="56BB7E3E" w14:textId="23BDD2DC" w:rsidR="0094249F" w:rsidRPr="00E16099" w:rsidRDefault="0094249F" w:rsidP="00E16099">
      <w:pPr>
        <w:spacing w:line="360" w:lineRule="auto"/>
        <w:rPr>
          <w:sz w:val="20"/>
          <w:szCs w:val="20"/>
        </w:rPr>
      </w:pPr>
      <w:r w:rsidRPr="00E16099">
        <w:rPr>
          <w:sz w:val="20"/>
          <w:szCs w:val="20"/>
        </w:rPr>
        <w:t xml:space="preserve">Welsh Government (2020) Talk </w:t>
      </w:r>
      <w:r w:rsidR="007C18C5" w:rsidRPr="00E16099">
        <w:rPr>
          <w:sz w:val="20"/>
          <w:szCs w:val="20"/>
        </w:rPr>
        <w:t>with</w:t>
      </w:r>
      <w:r w:rsidRPr="00E16099">
        <w:rPr>
          <w:sz w:val="20"/>
          <w:szCs w:val="20"/>
        </w:rPr>
        <w:t xml:space="preserve"> Me: Speech, language and communication delivery plan. Cardiff: Welsh Government.</w:t>
      </w:r>
    </w:p>
    <w:p w14:paraId="45716429" w14:textId="77777777" w:rsidR="0094249F" w:rsidRPr="00E16099" w:rsidRDefault="0094249F" w:rsidP="00E16099">
      <w:pPr>
        <w:spacing w:line="360" w:lineRule="auto"/>
        <w:rPr>
          <w:sz w:val="20"/>
          <w:szCs w:val="20"/>
        </w:rPr>
      </w:pPr>
      <w:r w:rsidRPr="00E16099">
        <w:rPr>
          <w:sz w:val="20"/>
          <w:szCs w:val="20"/>
        </w:rPr>
        <w:t>Welsh Government (2022) Curriculum for Wales: Framework guidance. Cardiff: Welsh Government.</w:t>
      </w:r>
    </w:p>
    <w:p w14:paraId="1B93487D" w14:textId="77777777" w:rsidR="0094249F" w:rsidRPr="00E16099" w:rsidRDefault="0094249F" w:rsidP="00E16099">
      <w:pPr>
        <w:spacing w:line="360" w:lineRule="auto"/>
        <w:rPr>
          <w:sz w:val="20"/>
          <w:szCs w:val="20"/>
        </w:rPr>
      </w:pPr>
      <w:r w:rsidRPr="00E16099">
        <w:rPr>
          <w:sz w:val="20"/>
          <w:szCs w:val="20"/>
        </w:rPr>
        <w:t>Welsh Government (2024) Early Childhood Play, Learning and Care (ECPLC) Quality Framework. Cardiff: Welsh Government.</w:t>
      </w:r>
    </w:p>
    <w:p w14:paraId="3D207876" w14:textId="77777777" w:rsidR="0094249F" w:rsidRPr="00E16099" w:rsidRDefault="0094249F" w:rsidP="00E16099">
      <w:pPr>
        <w:spacing w:line="360" w:lineRule="auto"/>
        <w:rPr>
          <w:sz w:val="20"/>
          <w:szCs w:val="20"/>
        </w:rPr>
      </w:pPr>
      <w:r w:rsidRPr="00E16099">
        <w:rPr>
          <w:sz w:val="20"/>
          <w:szCs w:val="20"/>
        </w:rPr>
        <w:t>Whitebread, D., Basilio, M., Kuvalja, M. and Verma, M. (2012) The importance of play: A report on the value of children’s play with a series of policy recommendations. Brussels: Toy Industries of Europe.</w:t>
      </w:r>
    </w:p>
    <w:p w14:paraId="29C042D7" w14:textId="7C85916C" w:rsidR="005A5FC7" w:rsidRPr="00E16099" w:rsidRDefault="0094249F" w:rsidP="00E16099">
      <w:pPr>
        <w:spacing w:line="360" w:lineRule="auto"/>
        <w:rPr>
          <w:sz w:val="20"/>
          <w:szCs w:val="20"/>
        </w:rPr>
      </w:pPr>
      <w:r w:rsidRPr="00E16099">
        <w:rPr>
          <w:sz w:val="20"/>
          <w:szCs w:val="20"/>
        </w:rPr>
        <w:t>Wood, E. (2014) The play</w:t>
      </w:r>
      <w:r w:rsidRPr="00E16099">
        <w:rPr>
          <w:rFonts w:ascii="Cambria Math" w:hAnsi="Cambria Math" w:cs="Cambria Math"/>
          <w:sz w:val="20"/>
          <w:szCs w:val="20"/>
        </w:rPr>
        <w:t>‑</w:t>
      </w:r>
      <w:r w:rsidRPr="00E16099">
        <w:rPr>
          <w:sz w:val="20"/>
          <w:szCs w:val="20"/>
        </w:rPr>
        <w:t>pedagogy interface in contemporary early childhood education. London: Routledge.</w:t>
      </w:r>
    </w:p>
    <w:p w14:paraId="7BC35C2A" w14:textId="58649E19" w:rsidR="00675807" w:rsidRDefault="00675807" w:rsidP="00E16099">
      <w:pPr>
        <w:spacing w:line="360" w:lineRule="auto"/>
      </w:pPr>
      <w:r w:rsidRPr="00E16099">
        <w:rPr>
          <w:sz w:val="20"/>
          <w:szCs w:val="20"/>
        </w:rPr>
        <w:t>UNICEF (2013) Ethical research involving children. Florence: UNICEF Office of Research–Innocenti</w:t>
      </w:r>
      <w:r w:rsidRPr="00675807">
        <w:t>.</w:t>
      </w:r>
    </w:p>
    <w:sectPr w:rsidR="0067580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CA93A" w14:textId="77777777" w:rsidR="00992872" w:rsidRDefault="00992872" w:rsidP="009B5C46">
      <w:pPr>
        <w:spacing w:after="0" w:line="240" w:lineRule="auto"/>
      </w:pPr>
      <w:r>
        <w:separator/>
      </w:r>
    </w:p>
  </w:endnote>
  <w:endnote w:type="continuationSeparator" w:id="0">
    <w:p w14:paraId="59F0C56A" w14:textId="77777777" w:rsidR="00992872" w:rsidRDefault="00992872" w:rsidP="009B5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D79EA" w14:textId="77777777" w:rsidR="00992872" w:rsidRDefault="00992872" w:rsidP="009B5C46">
      <w:pPr>
        <w:spacing w:after="0" w:line="240" w:lineRule="auto"/>
      </w:pPr>
      <w:r>
        <w:separator/>
      </w:r>
    </w:p>
  </w:footnote>
  <w:footnote w:type="continuationSeparator" w:id="0">
    <w:p w14:paraId="4CD3194F" w14:textId="77777777" w:rsidR="00992872" w:rsidRDefault="00992872" w:rsidP="009B5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98CC" w14:textId="27C696C1" w:rsidR="004E1719" w:rsidRDefault="004E1719">
    <w:pPr>
      <w:pStyle w:val="Header"/>
    </w:pPr>
    <w:r>
      <w:t>Word</w:t>
    </w:r>
    <w:r w:rsidR="008249D1">
      <w:t xml:space="preserve"> Count:43</w:t>
    </w:r>
    <w:r w:rsidR="00783D4D">
      <w:t>19</w:t>
    </w:r>
  </w:p>
  <w:p w14:paraId="1B519884" w14:textId="2F5F2E96" w:rsidR="008249D1" w:rsidRDefault="008249D1">
    <w:pPr>
      <w:pStyle w:val="Header"/>
    </w:pPr>
    <w:r>
      <w:t>Student Number:25</w:t>
    </w:r>
    <w:r w:rsidR="007C2E7E">
      <w:t>16364</w:t>
    </w:r>
  </w:p>
  <w:p w14:paraId="7DA255DA" w14:textId="37D89256" w:rsidR="007C2E7E" w:rsidRDefault="007C2E7E">
    <w:pPr>
      <w:pStyle w:val="Header"/>
    </w:pPr>
    <w:r>
      <w:t xml:space="preserve">Module </w:t>
    </w:r>
    <w:r w:rsidR="007C18C5">
      <w:t>Code: ECEY</w:t>
    </w:r>
    <w:r>
      <w:t>5010/C</w:t>
    </w:r>
  </w:p>
</w:hdr>
</file>

<file path=word/intelligence2.xml><?xml version="1.0" encoding="utf-8"?>
<int2:intelligence xmlns:int2="http://schemas.microsoft.com/office/intelligence/2020/intelligence" xmlns:oel="http://schemas.microsoft.com/office/2019/extlst">
  <int2:observations>
    <int2:bookmark int2:bookmarkName="_Int_Kgd9pXqJ" int2:invalidationBookmarkName="" int2:hashCode="UWYmv4pQBuzOGA" int2:id="5mR48Aek">
      <int2:state int2:value="Rejected" int2:type="gram"/>
    </int2:bookmark>
    <int2:bookmark int2:bookmarkName="_Int_j3PErWCZ" int2:invalidationBookmarkName="" int2:hashCode="d+en/a1hyWtHds" int2:id="OGHxg9fD">
      <int2:state int2:value="Rejected" int2:type="gram"/>
    </int2:bookmark>
    <int2:bookmark int2:bookmarkName="_Int_o85xdnbv" int2:invalidationBookmarkName="" int2:hashCode="SLGLFARhzcGrh6" int2:id="IrnKFE6W">
      <int2:state int2:value="Rejected" int2:type="style"/>
    </int2:bookmark>
    <int2:bookmark int2:bookmarkName="_Int_pWzVA15O" int2:invalidationBookmarkName="" int2:hashCode="waH4Rjwlr2owYL" int2:id="q7HyDUbX">
      <int2:state int2:value="Rejected" int2:type="style"/>
    </int2:bookmark>
    <int2:bookmark int2:bookmarkName="_Int_FsrTrpIq" int2:invalidationBookmarkName="" int2:hashCode="3yLN+NIQiNORDe" int2:id="jSW03YOl">
      <int2:state int2:value="Rejected" int2:type="style"/>
    </int2:bookmark>
    <int2:bookmark int2:bookmarkName="_Int_Yz7ej3qA" int2:invalidationBookmarkName="" int2:hashCode="ngdoU9krktMRTs" int2:id="hgzA0jr4">
      <int2:state int2:value="Rejected" int2:type="style"/>
    </int2:bookmark>
    <int2:bookmark int2:bookmarkName="_Int_7BiSs4Uc" int2:invalidationBookmarkName="" int2:hashCode="0k3Nd8iV5ixKr1" int2:id="tZijaACi">
      <int2:state int2:value="Rejected" int2:type="style"/>
    </int2:bookmark>
    <int2:bookmark int2:bookmarkName="_Int_kGazq11J" int2:invalidationBookmarkName="" int2:hashCode="dalNooyseA++F1" int2:id="HFFTEHb6">
      <int2:state int2:value="Rejected" int2:type="style"/>
    </int2:bookmark>
    <int2:bookmark int2:bookmarkName="_Int_gWEhBzw9" int2:invalidationBookmarkName="" int2:hashCode="8bsazny2D8AATK" int2:id="Ft0gQHLv">
      <int2:state int2:value="Rejected" int2:type="style"/>
    </int2:bookmark>
    <int2:bookmark int2:bookmarkName="_Int_hBHcmHAT" int2:invalidationBookmarkName="" int2:hashCode="sni88DcALC77SJ" int2:id="2zk2ULT0">
      <int2:state int2:value="Rejected" int2:type="gram"/>
    </int2:bookmark>
    <int2:bookmark int2:bookmarkName="_Int_6UHE7QR7" int2:invalidationBookmarkName="" int2:hashCode="SMFwPIHakRGYAb" int2:id="nGwr24Q2">
      <int2:state int2:value="Rejected" int2:type="style"/>
    </int2:bookmark>
    <int2:bookmark int2:bookmarkName="_Int_3xmmlTDc" int2:invalidationBookmarkName="" int2:hashCode="Vk+Mbnb71RK+Lj" int2:id="NQBkgmKz">
      <int2:state int2:value="Rejected" int2:type="gram"/>
    </int2:bookmark>
    <int2:bookmark int2:bookmarkName="_Int_FEKJva6d" int2:invalidationBookmarkName="" int2:hashCode="sni88DcALC77SJ" int2:id="gRkPwolD">
      <int2:state int2:value="Rejected" int2:type="gram"/>
    </int2:bookmark>
    <int2:bookmark int2:bookmarkName="_Int_7pRQvGvd" int2:invalidationBookmarkName="" int2:hashCode="IhqaUz3BU62RYQ" int2:id="sHXETCKs">
      <int2:state int2:value="Rejected" int2:type="gram"/>
    </int2:bookmark>
    <int2:bookmark int2:bookmarkName="_Int_3n4OnLTs" int2:invalidationBookmarkName="" int2:hashCode="UWYmv4pQBuzOGA" int2:id="ONWPoJI4">
      <int2:state int2:value="Rejected" int2:type="gram"/>
    </int2:bookmark>
    <int2:bookmark int2:bookmarkName="_Int_28RGl2LD" int2:invalidationBookmarkName="" int2:hashCode="d+en/a1hyWtHds" int2:id="uB7H8gNu">
      <int2:state int2:value="Rejected" int2:type="gram"/>
    </int2:bookmark>
    <int2:bookmark int2:bookmarkName="_Int_y6CNQS5H" int2:invalidationBookmarkName="" int2:hashCode="d+en/a1hyWtHds" int2:id="bguqAEQb">
      <int2:state int2:value="Rejected" int2:type="gram"/>
    </int2:bookmark>
    <int2:bookmark int2:bookmarkName="_Int_giVGTpRo" int2:invalidationBookmarkName="" int2:hashCode="GNV59Hmi5hAMQb" int2:id="OERjMzCr">
      <int2:state int2:value="Rejected" int2:type="gram"/>
    </int2:bookmark>
    <int2:bookmark int2:bookmarkName="_Int_fv2Q7Hbo" int2:invalidationBookmarkName="" int2:hashCode="8bZRsKjxY2iTFj" int2:id="1IibB9v5">
      <int2:state int2:value="Rejected" int2:type="gram"/>
    </int2:bookmark>
    <int2:bookmark int2:bookmarkName="_Int_hp1DAQ0N" int2:invalidationBookmarkName="" int2:hashCode="0DXY6otI0/0suC" int2:id="Wzkzk8kH">
      <int2:state int2:value="Rejected" int2:type="gram"/>
    </int2:bookmark>
    <int2:bookmark int2:bookmarkName="_Int_c4zcXnPp" int2:invalidationBookmarkName="" int2:hashCode="4h7nfVAJEKEZWb" int2:id="hXkQqCJg">
      <int2:state int2:value="Rejected" int2:type="gram"/>
    </int2:bookmark>
    <int2:bookmark int2:bookmarkName="_Int_JnENGnd6" int2:invalidationBookmarkName="" int2:hashCode="hz3ARRoD9ZS1XG" int2:id="pJB56TOQ">
      <int2:state int2:value="Rejected" int2:type="style"/>
    </int2:bookmark>
    <int2:bookmark int2:bookmarkName="_Int_YNWmT3v7" int2:invalidationBookmarkName="" int2:hashCode="OUuuHu2kwsmgEh" int2:id="W47j2o0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92A21"/>
    <w:multiLevelType w:val="hybridMultilevel"/>
    <w:tmpl w:val="F6B6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26875"/>
    <w:multiLevelType w:val="hybridMultilevel"/>
    <w:tmpl w:val="2302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B1B2D"/>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98472511">
    <w:abstractNumId w:val="0"/>
  </w:num>
  <w:num w:numId="2" w16cid:durableId="1433432335">
    <w:abstractNumId w:val="1"/>
  </w:num>
  <w:num w:numId="3" w16cid:durableId="1273241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FC7"/>
    <w:rsid w:val="00011888"/>
    <w:rsid w:val="00037B68"/>
    <w:rsid w:val="0005346C"/>
    <w:rsid w:val="00055409"/>
    <w:rsid w:val="00060328"/>
    <w:rsid w:val="000664EC"/>
    <w:rsid w:val="00072494"/>
    <w:rsid w:val="0008006C"/>
    <w:rsid w:val="00090C96"/>
    <w:rsid w:val="000B76CC"/>
    <w:rsid w:val="000D13D3"/>
    <w:rsid w:val="000E7D6C"/>
    <w:rsid w:val="00104B7E"/>
    <w:rsid w:val="00113919"/>
    <w:rsid w:val="00132D8D"/>
    <w:rsid w:val="00157506"/>
    <w:rsid w:val="001A33A2"/>
    <w:rsid w:val="001A7823"/>
    <w:rsid w:val="001B6BEB"/>
    <w:rsid w:val="001D2654"/>
    <w:rsid w:val="001E144A"/>
    <w:rsid w:val="001F66EF"/>
    <w:rsid w:val="00232ED9"/>
    <w:rsid w:val="00234900"/>
    <w:rsid w:val="002966CC"/>
    <w:rsid w:val="002C688C"/>
    <w:rsid w:val="002E7595"/>
    <w:rsid w:val="00301D2C"/>
    <w:rsid w:val="0032651E"/>
    <w:rsid w:val="00340B07"/>
    <w:rsid w:val="00346E71"/>
    <w:rsid w:val="003804AD"/>
    <w:rsid w:val="00387A05"/>
    <w:rsid w:val="00395919"/>
    <w:rsid w:val="00396BE4"/>
    <w:rsid w:val="003C5F0D"/>
    <w:rsid w:val="00410E7A"/>
    <w:rsid w:val="0042099C"/>
    <w:rsid w:val="00434FB6"/>
    <w:rsid w:val="0046441B"/>
    <w:rsid w:val="004905D2"/>
    <w:rsid w:val="004D1E5B"/>
    <w:rsid w:val="004E1719"/>
    <w:rsid w:val="004F0EA2"/>
    <w:rsid w:val="0050564F"/>
    <w:rsid w:val="0051381C"/>
    <w:rsid w:val="0051388A"/>
    <w:rsid w:val="0052035E"/>
    <w:rsid w:val="00545406"/>
    <w:rsid w:val="00591580"/>
    <w:rsid w:val="005A145B"/>
    <w:rsid w:val="005A5FC7"/>
    <w:rsid w:val="005D0AB0"/>
    <w:rsid w:val="005D5065"/>
    <w:rsid w:val="005E2CDA"/>
    <w:rsid w:val="00625FE5"/>
    <w:rsid w:val="00655EB2"/>
    <w:rsid w:val="00656813"/>
    <w:rsid w:val="00675807"/>
    <w:rsid w:val="006A2CD7"/>
    <w:rsid w:val="007062CA"/>
    <w:rsid w:val="007644F4"/>
    <w:rsid w:val="00774D99"/>
    <w:rsid w:val="00783D4D"/>
    <w:rsid w:val="007909F7"/>
    <w:rsid w:val="007C18C5"/>
    <w:rsid w:val="007C2E7E"/>
    <w:rsid w:val="007E2645"/>
    <w:rsid w:val="008249D1"/>
    <w:rsid w:val="00844179"/>
    <w:rsid w:val="00846E0F"/>
    <w:rsid w:val="00853A79"/>
    <w:rsid w:val="0086573D"/>
    <w:rsid w:val="00892A98"/>
    <w:rsid w:val="008A0A03"/>
    <w:rsid w:val="008B2CAE"/>
    <w:rsid w:val="00904249"/>
    <w:rsid w:val="00905997"/>
    <w:rsid w:val="009104F7"/>
    <w:rsid w:val="009147C5"/>
    <w:rsid w:val="00936EE5"/>
    <w:rsid w:val="0094249F"/>
    <w:rsid w:val="00950E96"/>
    <w:rsid w:val="00961285"/>
    <w:rsid w:val="00961464"/>
    <w:rsid w:val="00992872"/>
    <w:rsid w:val="009B5C46"/>
    <w:rsid w:val="009D5EF0"/>
    <w:rsid w:val="009E47BC"/>
    <w:rsid w:val="009E575E"/>
    <w:rsid w:val="00A03943"/>
    <w:rsid w:val="00A33BCD"/>
    <w:rsid w:val="00A66E94"/>
    <w:rsid w:val="00A81A46"/>
    <w:rsid w:val="00A90986"/>
    <w:rsid w:val="00AA317F"/>
    <w:rsid w:val="00AC5CCA"/>
    <w:rsid w:val="00AD600E"/>
    <w:rsid w:val="00AE1F79"/>
    <w:rsid w:val="00AF3133"/>
    <w:rsid w:val="00B01C15"/>
    <w:rsid w:val="00B04048"/>
    <w:rsid w:val="00B075E6"/>
    <w:rsid w:val="00B12E52"/>
    <w:rsid w:val="00B31D0F"/>
    <w:rsid w:val="00B6270E"/>
    <w:rsid w:val="00B95267"/>
    <w:rsid w:val="00BC1CBD"/>
    <w:rsid w:val="00BF7A08"/>
    <w:rsid w:val="00C345FF"/>
    <w:rsid w:val="00C4572E"/>
    <w:rsid w:val="00C6138E"/>
    <w:rsid w:val="00CA50B1"/>
    <w:rsid w:val="00CB2B13"/>
    <w:rsid w:val="00CD1E34"/>
    <w:rsid w:val="00CE5379"/>
    <w:rsid w:val="00D34D41"/>
    <w:rsid w:val="00D562D4"/>
    <w:rsid w:val="00D57E00"/>
    <w:rsid w:val="00D63C46"/>
    <w:rsid w:val="00D67E40"/>
    <w:rsid w:val="00D7609B"/>
    <w:rsid w:val="00DA3AFC"/>
    <w:rsid w:val="00DB1BFD"/>
    <w:rsid w:val="00DC7EC7"/>
    <w:rsid w:val="00DD7D7E"/>
    <w:rsid w:val="00DE7974"/>
    <w:rsid w:val="00E16099"/>
    <w:rsid w:val="00E2770F"/>
    <w:rsid w:val="00E3166A"/>
    <w:rsid w:val="00E56802"/>
    <w:rsid w:val="00E62031"/>
    <w:rsid w:val="00E858D7"/>
    <w:rsid w:val="00EA6BB0"/>
    <w:rsid w:val="00EB0EC4"/>
    <w:rsid w:val="00EC5DAC"/>
    <w:rsid w:val="00ED3F30"/>
    <w:rsid w:val="00EE175D"/>
    <w:rsid w:val="00EF2985"/>
    <w:rsid w:val="00F13F0C"/>
    <w:rsid w:val="00F15E3B"/>
    <w:rsid w:val="00F46DF6"/>
    <w:rsid w:val="00F71AC9"/>
    <w:rsid w:val="00F75A02"/>
    <w:rsid w:val="00F8689B"/>
    <w:rsid w:val="00F93512"/>
    <w:rsid w:val="00FC2A8A"/>
    <w:rsid w:val="00FC7503"/>
    <w:rsid w:val="00FD4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7A2A12"/>
  <w15:chartTrackingRefBased/>
  <w15:docId w15:val="{2F09B497-F3E7-7C4B-AF18-6BA1578E9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F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5F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5F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F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F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F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F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F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F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F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5F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5F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5F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5F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5F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F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F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FC7"/>
    <w:rPr>
      <w:rFonts w:eastAsiaTheme="majorEastAsia" w:cstheme="majorBidi"/>
      <w:color w:val="272727" w:themeColor="text1" w:themeTint="D8"/>
    </w:rPr>
  </w:style>
  <w:style w:type="paragraph" w:styleId="Title">
    <w:name w:val="Title"/>
    <w:basedOn w:val="Normal"/>
    <w:next w:val="Normal"/>
    <w:link w:val="TitleChar"/>
    <w:uiPriority w:val="10"/>
    <w:qFormat/>
    <w:rsid w:val="005A5F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F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F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F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FC7"/>
    <w:pPr>
      <w:spacing w:before="160"/>
      <w:jc w:val="center"/>
    </w:pPr>
    <w:rPr>
      <w:i/>
      <w:iCs/>
      <w:color w:val="404040" w:themeColor="text1" w:themeTint="BF"/>
    </w:rPr>
  </w:style>
  <w:style w:type="character" w:customStyle="1" w:styleId="QuoteChar">
    <w:name w:val="Quote Char"/>
    <w:basedOn w:val="DefaultParagraphFont"/>
    <w:link w:val="Quote"/>
    <w:uiPriority w:val="29"/>
    <w:rsid w:val="005A5FC7"/>
    <w:rPr>
      <w:i/>
      <w:iCs/>
      <w:color w:val="404040" w:themeColor="text1" w:themeTint="BF"/>
    </w:rPr>
  </w:style>
  <w:style w:type="paragraph" w:styleId="ListParagraph">
    <w:name w:val="List Paragraph"/>
    <w:basedOn w:val="Normal"/>
    <w:uiPriority w:val="34"/>
    <w:qFormat/>
    <w:rsid w:val="005A5FC7"/>
    <w:pPr>
      <w:ind w:left="720"/>
      <w:contextualSpacing/>
    </w:pPr>
  </w:style>
  <w:style w:type="character" w:styleId="IntenseEmphasis">
    <w:name w:val="Intense Emphasis"/>
    <w:basedOn w:val="DefaultParagraphFont"/>
    <w:uiPriority w:val="21"/>
    <w:qFormat/>
    <w:rsid w:val="005A5FC7"/>
    <w:rPr>
      <w:i/>
      <w:iCs/>
      <w:color w:val="0F4761" w:themeColor="accent1" w:themeShade="BF"/>
    </w:rPr>
  </w:style>
  <w:style w:type="paragraph" w:styleId="IntenseQuote">
    <w:name w:val="Intense Quote"/>
    <w:basedOn w:val="Normal"/>
    <w:next w:val="Normal"/>
    <w:link w:val="IntenseQuoteChar"/>
    <w:uiPriority w:val="30"/>
    <w:qFormat/>
    <w:rsid w:val="005A5F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FC7"/>
    <w:rPr>
      <w:i/>
      <w:iCs/>
      <w:color w:val="0F4761" w:themeColor="accent1" w:themeShade="BF"/>
    </w:rPr>
  </w:style>
  <w:style w:type="character" w:styleId="IntenseReference">
    <w:name w:val="Intense Reference"/>
    <w:basedOn w:val="DefaultParagraphFont"/>
    <w:uiPriority w:val="32"/>
    <w:qFormat/>
    <w:rsid w:val="005A5FC7"/>
    <w:rPr>
      <w:b/>
      <w:bCs/>
      <w:smallCaps/>
      <w:color w:val="0F4761" w:themeColor="accent1" w:themeShade="BF"/>
      <w:spacing w:val="5"/>
    </w:rPr>
  </w:style>
  <w:style w:type="paragraph" w:styleId="Header">
    <w:name w:val="header"/>
    <w:basedOn w:val="Normal"/>
    <w:link w:val="HeaderChar"/>
    <w:uiPriority w:val="99"/>
    <w:unhideWhenUsed/>
    <w:rsid w:val="009B5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C46"/>
  </w:style>
  <w:style w:type="paragraph" w:styleId="Footer">
    <w:name w:val="footer"/>
    <w:basedOn w:val="Normal"/>
    <w:link w:val="FooterChar"/>
    <w:uiPriority w:val="99"/>
    <w:unhideWhenUsed/>
    <w:rsid w:val="009B5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C46"/>
  </w:style>
  <w:style w:type="paragraph" w:styleId="NormalWeb">
    <w:name w:val="Normal (Web)"/>
    <w:basedOn w:val="Normal"/>
    <w:uiPriority w:val="99"/>
    <w:semiHidden/>
    <w:unhideWhenUsed/>
    <w:rsid w:val="000D13D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5205</Words>
  <Characters>29674</Characters>
  <Application>Microsoft Office Word</Application>
  <DocSecurity>0</DocSecurity>
  <Lines>247</Lines>
  <Paragraphs>69</Paragraphs>
  <ScaleCrop>false</ScaleCrop>
  <Company/>
  <LinksUpToDate>false</LinksUpToDate>
  <CharactersWithSpaces>34810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2026-05-17T20:56:00Z</dcterms:created>
  <dcterms:modified xsi:type="dcterms:W3CDTF">2026-05-17T20:56:00Z</dcterms:modified>
</cp:coreProperties>
</file>