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06146" w14:textId="77777777" w:rsidR="000577F5" w:rsidRPr="00A85BFE" w:rsidRDefault="000577F5" w:rsidP="000577F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BD3CE29" wp14:editId="21981E66">
            <wp:simplePos x="0" y="0"/>
            <wp:positionH relativeFrom="column">
              <wp:posOffset>-698500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66078FF" w14:textId="77777777" w:rsidR="000577F5" w:rsidRPr="00A406E5" w:rsidRDefault="000577F5" w:rsidP="000577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577F5" w:rsidRPr="00A406E5" w14:paraId="717C57D8" w14:textId="77777777" w:rsidTr="00445F41">
        <w:tc>
          <w:tcPr>
            <w:tcW w:w="9922" w:type="dxa"/>
            <w:shd w:val="clear" w:color="auto" w:fill="C0C0C0"/>
          </w:tcPr>
          <w:p w14:paraId="5E0E9BD0" w14:textId="77777777" w:rsidR="000577F5" w:rsidRPr="00A406E5" w:rsidRDefault="000577F5" w:rsidP="00445F4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A42FF24" w14:textId="77777777" w:rsidR="000577F5" w:rsidRPr="00A406E5" w:rsidRDefault="000577F5" w:rsidP="000577F5">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577F5" w:rsidRPr="00A406E5" w14:paraId="50C87D69" w14:textId="77777777" w:rsidTr="000577F5">
        <w:tc>
          <w:tcPr>
            <w:tcW w:w="2093" w:type="dxa"/>
            <w:shd w:val="clear" w:color="auto" w:fill="auto"/>
          </w:tcPr>
          <w:p w14:paraId="0742E3B8"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26C2F1" w14:textId="2A3DF4E1"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Oliver Goble</w:t>
            </w:r>
          </w:p>
        </w:tc>
        <w:tc>
          <w:tcPr>
            <w:tcW w:w="2268" w:type="dxa"/>
            <w:shd w:val="clear" w:color="auto" w:fill="D9D9D9" w:themeFill="background1" w:themeFillShade="D9"/>
          </w:tcPr>
          <w:p w14:paraId="66115AC2"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2D3C20E" w14:textId="1736CB4A"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2304524</w:t>
            </w:r>
          </w:p>
        </w:tc>
      </w:tr>
      <w:tr w:rsidR="000577F5" w:rsidRPr="00A406E5" w14:paraId="381C70D7" w14:textId="77777777" w:rsidTr="000577F5">
        <w:tc>
          <w:tcPr>
            <w:tcW w:w="2093" w:type="dxa"/>
            <w:shd w:val="clear" w:color="auto" w:fill="auto"/>
          </w:tcPr>
          <w:p w14:paraId="367FF552"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F30BE6" w14:textId="77777777" w:rsidR="000577F5" w:rsidRPr="00A406E5" w:rsidRDefault="000577F5" w:rsidP="00445F41">
            <w:pPr>
              <w:spacing w:before="120" w:after="120"/>
              <w:jc w:val="both"/>
              <w:rPr>
                <w:rFonts w:ascii="Arial" w:hAnsi="Arial" w:cs="Arial"/>
                <w:b/>
                <w:bCs/>
                <w:sz w:val="22"/>
                <w:szCs w:val="22"/>
              </w:rPr>
            </w:pPr>
            <w:r w:rsidRPr="68CE1753">
              <w:rPr>
                <w:rFonts w:ascii="Arial" w:hAnsi="Arial" w:cs="Arial"/>
                <w:b/>
                <w:bCs/>
                <w:sz w:val="22"/>
                <w:szCs w:val="22"/>
              </w:rPr>
              <w:t xml:space="preserve">MA Physical Education, Sport and Physical Literacy / MA Outdoor Education </w:t>
            </w:r>
          </w:p>
        </w:tc>
      </w:tr>
      <w:tr w:rsidR="000577F5" w:rsidRPr="00A406E5" w14:paraId="20DC5D5F" w14:textId="77777777" w:rsidTr="000577F5">
        <w:tc>
          <w:tcPr>
            <w:tcW w:w="2093" w:type="dxa"/>
            <w:shd w:val="clear" w:color="auto" w:fill="auto"/>
          </w:tcPr>
          <w:p w14:paraId="3621AC5E"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DE57D5" w14:textId="77777777" w:rsidR="000577F5" w:rsidRPr="00FE72D0" w:rsidRDefault="000577F5" w:rsidP="00445F41">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0577F5" w:rsidRPr="00A406E5" w14:paraId="7EEC3A66" w14:textId="77777777" w:rsidTr="000577F5">
        <w:tc>
          <w:tcPr>
            <w:tcW w:w="2093" w:type="dxa"/>
            <w:shd w:val="clear" w:color="auto" w:fill="auto"/>
          </w:tcPr>
          <w:p w14:paraId="40F6DAEE"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39B8FF" w14:textId="77777777" w:rsidR="000577F5" w:rsidRPr="00A406E5" w:rsidRDefault="000577F5" w:rsidP="00445F41">
            <w:pPr>
              <w:spacing w:before="120" w:after="120"/>
              <w:jc w:val="both"/>
              <w:rPr>
                <w:rFonts w:ascii="Arial" w:hAnsi="Arial" w:cs="Arial"/>
                <w:b/>
                <w:bCs/>
                <w:sz w:val="22"/>
                <w:szCs w:val="22"/>
              </w:rPr>
            </w:pPr>
            <w:r w:rsidRPr="79122E16">
              <w:rPr>
                <w:rFonts w:ascii="Arial" w:hAnsi="Arial" w:cs="Arial"/>
                <w:b/>
                <w:bCs/>
                <w:sz w:val="22"/>
                <w:szCs w:val="22"/>
              </w:rPr>
              <w:t>BMOE7008</w:t>
            </w:r>
          </w:p>
        </w:tc>
        <w:tc>
          <w:tcPr>
            <w:tcW w:w="2268" w:type="dxa"/>
            <w:shd w:val="clear" w:color="auto" w:fill="D9D9D9" w:themeFill="background1" w:themeFillShade="D9"/>
          </w:tcPr>
          <w:p w14:paraId="167AF4FE" w14:textId="77777777" w:rsidR="000577F5" w:rsidRPr="004D5E9B" w:rsidRDefault="000577F5" w:rsidP="00445F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156C66" w14:textId="77777777"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40%</w:t>
            </w:r>
          </w:p>
        </w:tc>
      </w:tr>
      <w:tr w:rsidR="000577F5" w:rsidRPr="00A406E5" w14:paraId="4922A8C2" w14:textId="77777777" w:rsidTr="000577F5">
        <w:tc>
          <w:tcPr>
            <w:tcW w:w="2093" w:type="dxa"/>
            <w:shd w:val="clear" w:color="auto" w:fill="auto"/>
          </w:tcPr>
          <w:p w14:paraId="478967D8"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1AEFE" w14:textId="77777777" w:rsidR="000577F5" w:rsidRDefault="000577F5" w:rsidP="00445F41">
            <w:pPr>
              <w:spacing w:before="120" w:after="120"/>
              <w:jc w:val="both"/>
              <w:rPr>
                <w:rFonts w:ascii="Arial" w:hAnsi="Arial" w:cs="Arial"/>
                <w:b/>
                <w:sz w:val="22"/>
                <w:szCs w:val="22"/>
              </w:rPr>
            </w:pPr>
            <w:r>
              <w:rPr>
                <w:rFonts w:ascii="Arial" w:hAnsi="Arial" w:cs="Arial"/>
                <w:b/>
                <w:sz w:val="22"/>
                <w:szCs w:val="22"/>
              </w:rPr>
              <w:t>Dr Nalda Wainwright</w:t>
            </w:r>
          </w:p>
          <w:p w14:paraId="27834B33" w14:textId="77777777" w:rsidR="000577F5" w:rsidRPr="00A406E5" w:rsidRDefault="000577F5" w:rsidP="00445F41">
            <w:pPr>
              <w:spacing w:before="120" w:after="120"/>
              <w:jc w:val="both"/>
              <w:rPr>
                <w:rFonts w:ascii="Arial" w:hAnsi="Arial" w:cs="Arial"/>
                <w:b/>
                <w:sz w:val="22"/>
                <w:szCs w:val="22"/>
              </w:rPr>
            </w:pPr>
          </w:p>
        </w:tc>
        <w:tc>
          <w:tcPr>
            <w:tcW w:w="2268" w:type="dxa"/>
            <w:shd w:val="clear" w:color="auto" w:fill="D9D9D9" w:themeFill="background1" w:themeFillShade="D9"/>
          </w:tcPr>
          <w:p w14:paraId="72E89FD8"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4903C6" w14:textId="77777777" w:rsidR="000577F5" w:rsidRPr="00A406E5" w:rsidRDefault="000577F5" w:rsidP="00445F41">
            <w:pPr>
              <w:spacing w:before="120" w:after="120" w:line="259" w:lineRule="auto"/>
              <w:jc w:val="both"/>
            </w:pPr>
            <w:r w:rsidRPr="79122E16">
              <w:rPr>
                <w:rFonts w:ascii="Arial" w:hAnsi="Arial" w:cs="Arial"/>
                <w:b/>
                <w:bCs/>
                <w:sz w:val="22"/>
                <w:szCs w:val="22"/>
              </w:rPr>
              <w:t xml:space="preserve"> </w:t>
            </w:r>
            <w:r>
              <w:rPr>
                <w:rFonts w:ascii="Arial" w:hAnsi="Arial" w:cs="Arial"/>
                <w:b/>
                <w:bCs/>
                <w:sz w:val="22"/>
                <w:szCs w:val="22"/>
              </w:rPr>
              <w:t>Maria Gonzalez /</w:t>
            </w:r>
            <w:r w:rsidRPr="79122E16">
              <w:rPr>
                <w:rFonts w:ascii="Arial" w:hAnsi="Arial" w:cs="Arial"/>
                <w:b/>
                <w:bCs/>
                <w:sz w:val="22"/>
                <w:szCs w:val="22"/>
              </w:rPr>
              <w:t xml:space="preserve"> Chris Cashin</w:t>
            </w:r>
          </w:p>
        </w:tc>
      </w:tr>
      <w:tr w:rsidR="000577F5" w:rsidRPr="00A406E5" w14:paraId="5057946A" w14:textId="77777777" w:rsidTr="000577F5">
        <w:tc>
          <w:tcPr>
            <w:tcW w:w="2093" w:type="dxa"/>
            <w:shd w:val="clear" w:color="auto" w:fill="auto"/>
          </w:tcPr>
          <w:p w14:paraId="51B0EE8C"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BC430F" w14:textId="77777777" w:rsidR="000577F5" w:rsidRPr="00A406E5" w:rsidRDefault="000577F5" w:rsidP="00445F41">
            <w:pPr>
              <w:rPr>
                <w:rFonts w:ascii="Arial" w:hAnsi="Arial" w:cs="Arial"/>
                <w:b/>
                <w:sz w:val="22"/>
                <w:szCs w:val="22"/>
              </w:rPr>
            </w:pPr>
            <w:r>
              <w:rPr>
                <w:rFonts w:ascii="Arial" w:eastAsiaTheme="minorHAnsi" w:hAnsi="Arial" w:cs="Arial"/>
                <w:b/>
                <w:bCs/>
                <w:sz w:val="22"/>
                <w:szCs w:val="22"/>
                <w:lang w:eastAsia="en-US"/>
              </w:rPr>
              <w:t xml:space="preserve">Reflective paper </w:t>
            </w:r>
          </w:p>
        </w:tc>
        <w:tc>
          <w:tcPr>
            <w:tcW w:w="2268" w:type="dxa"/>
            <w:shd w:val="clear" w:color="auto" w:fill="auto"/>
          </w:tcPr>
          <w:p w14:paraId="506553E4" w14:textId="77777777"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502991" w14:textId="77777777"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3000</w:t>
            </w:r>
          </w:p>
        </w:tc>
      </w:tr>
      <w:tr w:rsidR="000577F5" w:rsidRPr="00A406E5" w14:paraId="1EB4379F" w14:textId="77777777" w:rsidTr="000577F5">
        <w:tc>
          <w:tcPr>
            <w:tcW w:w="2093" w:type="dxa"/>
            <w:shd w:val="clear" w:color="auto" w:fill="auto"/>
          </w:tcPr>
          <w:p w14:paraId="4AE58032"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73E843" w14:textId="77777777" w:rsidR="000577F5" w:rsidRPr="00A406E5" w:rsidRDefault="000577F5" w:rsidP="00445F41">
            <w:pPr>
              <w:spacing w:before="120" w:after="120"/>
              <w:jc w:val="both"/>
              <w:rPr>
                <w:rFonts w:ascii="Arial" w:hAnsi="Arial" w:cs="Arial"/>
                <w:b/>
                <w:bCs/>
                <w:sz w:val="22"/>
                <w:szCs w:val="22"/>
              </w:rPr>
            </w:pPr>
            <w:r>
              <w:rPr>
                <w:rFonts w:ascii="Arial" w:hAnsi="Arial" w:cs="Arial"/>
                <w:b/>
                <w:bCs/>
                <w:sz w:val="22"/>
                <w:szCs w:val="22"/>
              </w:rPr>
              <w:t>May 10</w:t>
            </w:r>
            <w:r w:rsidRPr="00D74399">
              <w:rPr>
                <w:rFonts w:ascii="Arial" w:hAnsi="Arial" w:cs="Arial"/>
                <w:b/>
                <w:bCs/>
                <w:sz w:val="22"/>
                <w:szCs w:val="22"/>
                <w:vertAlign w:val="superscript"/>
              </w:rPr>
              <w:t>th</w:t>
            </w:r>
            <w:r>
              <w:rPr>
                <w:rFonts w:ascii="Arial" w:hAnsi="Arial" w:cs="Arial"/>
                <w:b/>
                <w:bCs/>
                <w:sz w:val="22"/>
                <w:szCs w:val="22"/>
              </w:rPr>
              <w:t xml:space="preserve"> </w:t>
            </w:r>
          </w:p>
        </w:tc>
        <w:tc>
          <w:tcPr>
            <w:tcW w:w="2268" w:type="dxa"/>
            <w:shd w:val="clear" w:color="auto" w:fill="auto"/>
          </w:tcPr>
          <w:p w14:paraId="36A233F9"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B0A4F0" w14:textId="77777777" w:rsidR="000577F5" w:rsidRPr="00A406E5" w:rsidRDefault="000577F5" w:rsidP="00445F41">
            <w:pPr>
              <w:spacing w:before="120" w:after="120"/>
              <w:jc w:val="both"/>
              <w:rPr>
                <w:rFonts w:ascii="Arial" w:hAnsi="Arial" w:cs="Arial"/>
                <w:b/>
                <w:sz w:val="22"/>
                <w:szCs w:val="22"/>
              </w:rPr>
            </w:pPr>
            <w:r>
              <w:rPr>
                <w:rFonts w:ascii="Arial" w:hAnsi="Arial" w:cs="Arial"/>
                <w:b/>
                <w:sz w:val="22"/>
                <w:szCs w:val="22"/>
              </w:rPr>
              <w:t>June 7</w:t>
            </w:r>
            <w:r w:rsidRPr="00D74399">
              <w:rPr>
                <w:rFonts w:ascii="Arial" w:hAnsi="Arial" w:cs="Arial"/>
                <w:b/>
                <w:sz w:val="22"/>
                <w:szCs w:val="22"/>
                <w:vertAlign w:val="superscript"/>
              </w:rPr>
              <w:t>th</w:t>
            </w:r>
            <w:r>
              <w:rPr>
                <w:rFonts w:ascii="Arial" w:hAnsi="Arial" w:cs="Arial"/>
                <w:b/>
                <w:sz w:val="22"/>
                <w:szCs w:val="22"/>
              </w:rPr>
              <w:t xml:space="preserve"> </w:t>
            </w:r>
          </w:p>
        </w:tc>
      </w:tr>
      <w:tr w:rsidR="000577F5" w:rsidRPr="00A406E5" w14:paraId="57B0B77A" w14:textId="77777777" w:rsidTr="000577F5">
        <w:tc>
          <w:tcPr>
            <w:tcW w:w="2093" w:type="dxa"/>
            <w:shd w:val="clear" w:color="auto" w:fill="auto"/>
          </w:tcPr>
          <w:p w14:paraId="02C69D97"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9860A1" w14:textId="77777777" w:rsidR="000577F5" w:rsidRPr="00A406E5" w:rsidRDefault="000577F5" w:rsidP="00445F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BFD1DD"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E2DFCD" w14:textId="77777777" w:rsidR="000577F5" w:rsidRPr="00A406E5" w:rsidRDefault="000577F5" w:rsidP="00445F4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577F5" w:rsidRPr="00A406E5" w14:paraId="322582A0" w14:textId="77777777" w:rsidTr="000577F5">
        <w:tc>
          <w:tcPr>
            <w:tcW w:w="2093" w:type="dxa"/>
            <w:shd w:val="clear" w:color="auto" w:fill="auto"/>
          </w:tcPr>
          <w:p w14:paraId="317BB4C3" w14:textId="77777777" w:rsidR="000577F5" w:rsidRPr="00A406E5" w:rsidRDefault="000577F5" w:rsidP="00445F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D276D3" w14:textId="77777777" w:rsidR="000577F5" w:rsidRPr="00A406E5" w:rsidRDefault="000577F5" w:rsidP="00445F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4110545" w14:textId="77777777" w:rsidR="000577F5" w:rsidRPr="00A406E5" w:rsidRDefault="000577F5" w:rsidP="000577F5">
      <w:pPr>
        <w:rPr>
          <w:rFonts w:ascii="Arial" w:hAnsi="Arial" w:cs="Arial"/>
          <w:sz w:val="32"/>
        </w:rPr>
      </w:pPr>
    </w:p>
    <w:p w14:paraId="7C041D67" w14:textId="77777777" w:rsidR="000577F5" w:rsidRPr="00A406E5" w:rsidRDefault="000577F5" w:rsidP="000577F5">
      <w:pPr>
        <w:rPr>
          <w:rFonts w:ascii="Arial" w:hAnsi="Arial" w:cs="Arial"/>
          <w:sz w:val="32"/>
        </w:rPr>
      </w:pPr>
    </w:p>
    <w:p w14:paraId="44E8E37E" w14:textId="77777777" w:rsidR="000577F5" w:rsidRPr="00A406E5" w:rsidRDefault="000577F5" w:rsidP="000577F5">
      <w:pPr>
        <w:rPr>
          <w:rFonts w:ascii="Arial" w:hAnsi="Arial" w:cs="Arial"/>
          <w:sz w:val="32"/>
        </w:rPr>
      </w:pPr>
    </w:p>
    <w:p w14:paraId="356C21FB" w14:textId="77777777" w:rsidR="000577F5" w:rsidRPr="00A406E5" w:rsidRDefault="000577F5" w:rsidP="000577F5">
      <w:pPr>
        <w:rPr>
          <w:rFonts w:ascii="Arial" w:hAnsi="Arial" w:cs="Arial"/>
          <w:sz w:val="32"/>
        </w:rPr>
      </w:pPr>
    </w:p>
    <w:p w14:paraId="10605F6C" w14:textId="77777777" w:rsidR="000577F5" w:rsidRPr="00A406E5" w:rsidRDefault="000577F5" w:rsidP="000577F5">
      <w:pPr>
        <w:rPr>
          <w:rFonts w:ascii="Arial" w:hAnsi="Arial" w:cs="Arial"/>
          <w:sz w:val="32"/>
        </w:rPr>
      </w:pPr>
    </w:p>
    <w:p w14:paraId="5C395F6A" w14:textId="77777777" w:rsidR="000577F5" w:rsidRPr="00A406E5" w:rsidRDefault="000577F5" w:rsidP="000577F5">
      <w:pPr>
        <w:rPr>
          <w:rFonts w:ascii="Arial" w:hAnsi="Arial" w:cs="Arial"/>
          <w:sz w:val="32"/>
        </w:rPr>
      </w:pPr>
    </w:p>
    <w:p w14:paraId="200E53A8" w14:textId="77777777" w:rsidR="000577F5" w:rsidRDefault="000577F5" w:rsidP="000577F5">
      <w:pPr>
        <w:rPr>
          <w:rFonts w:ascii="Arial" w:hAnsi="Arial" w:cs="Arial"/>
          <w:sz w:val="32"/>
        </w:rPr>
      </w:pPr>
      <w:r>
        <w:rPr>
          <w:rFonts w:ascii="Arial" w:hAnsi="Arial" w:cs="Arial"/>
          <w:sz w:val="32"/>
        </w:rPr>
        <w:br w:type="page"/>
      </w:r>
    </w:p>
    <w:p w14:paraId="60AC07F4" w14:textId="77777777" w:rsidR="000577F5" w:rsidRPr="00A406E5" w:rsidRDefault="000577F5" w:rsidP="000577F5">
      <w:pPr>
        <w:rPr>
          <w:rFonts w:ascii="Arial" w:hAnsi="Arial" w:cs="Arial"/>
          <w:sz w:val="32"/>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577F5" w:rsidRPr="00A406E5" w14:paraId="7B56D25A" w14:textId="77777777" w:rsidTr="000577F5">
        <w:tc>
          <w:tcPr>
            <w:tcW w:w="9747" w:type="dxa"/>
            <w:shd w:val="pct10" w:color="auto" w:fill="auto"/>
          </w:tcPr>
          <w:p w14:paraId="42BA171F" w14:textId="77777777" w:rsidR="000577F5" w:rsidRPr="00A406E5" w:rsidRDefault="000577F5" w:rsidP="00445F41">
            <w:pPr>
              <w:rPr>
                <w:rFonts w:ascii="Arial" w:hAnsi="Arial" w:cs="Arial"/>
                <w:b/>
                <w:sz w:val="22"/>
                <w:szCs w:val="22"/>
              </w:rPr>
            </w:pPr>
            <w:r w:rsidRPr="00A406E5">
              <w:rPr>
                <w:rFonts w:ascii="Arial" w:hAnsi="Arial" w:cs="Arial"/>
                <w:b/>
                <w:sz w:val="22"/>
                <w:szCs w:val="22"/>
              </w:rPr>
              <w:t xml:space="preserve">Module Learning Outcomes </w:t>
            </w:r>
          </w:p>
          <w:p w14:paraId="7815E749" w14:textId="77777777" w:rsidR="000577F5" w:rsidRPr="00A406E5" w:rsidRDefault="000577F5" w:rsidP="00445F41">
            <w:pPr>
              <w:rPr>
                <w:rFonts w:ascii="Arial" w:hAnsi="Arial" w:cs="Arial"/>
                <w:sz w:val="22"/>
                <w:szCs w:val="22"/>
              </w:rPr>
            </w:pPr>
            <w:r w:rsidRPr="00A406E5">
              <w:rPr>
                <w:rFonts w:ascii="Arial" w:hAnsi="Arial" w:cs="Arial"/>
                <w:b/>
                <w:sz w:val="22"/>
                <w:szCs w:val="22"/>
              </w:rPr>
              <w:t>(from module syllabus)</w:t>
            </w:r>
          </w:p>
        </w:tc>
      </w:tr>
      <w:tr w:rsidR="000577F5" w:rsidRPr="00A406E5" w14:paraId="2F506F8A" w14:textId="77777777" w:rsidTr="000577F5">
        <w:tc>
          <w:tcPr>
            <w:tcW w:w="9747" w:type="dxa"/>
          </w:tcPr>
          <w:p w14:paraId="4CD0CA0B" w14:textId="77777777" w:rsidR="000577F5" w:rsidRPr="00A406E5" w:rsidRDefault="000577F5" w:rsidP="00445F41">
            <w:pPr>
              <w:rPr>
                <w:rFonts w:ascii="Arial" w:hAnsi="Arial" w:cs="Arial"/>
                <w:sz w:val="22"/>
                <w:szCs w:val="22"/>
              </w:rPr>
            </w:pPr>
          </w:p>
          <w:p w14:paraId="00E3F1E0" w14:textId="77777777" w:rsidR="000577F5" w:rsidRPr="00BF46A2" w:rsidRDefault="000577F5" w:rsidP="000577F5">
            <w:pPr>
              <w:numPr>
                <w:ilvl w:val="0"/>
                <w:numId w:val="1"/>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Critically evaluate a range of research methodologies appropriate for active and healthy lifestyles research, paradigm alignment and identified research </w:t>
            </w:r>
            <w:proofErr w:type="gramStart"/>
            <w:r w:rsidRPr="00BF46A2">
              <w:rPr>
                <w:rFonts w:ascii="Arial" w:eastAsiaTheme="minorHAnsi" w:hAnsi="Arial" w:cs="Arial"/>
                <w:sz w:val="22"/>
                <w:szCs w:val="22"/>
                <w:lang w:eastAsia="en-US"/>
              </w:rPr>
              <w:t>questions;</w:t>
            </w:r>
            <w:proofErr w:type="gramEnd"/>
            <w:r w:rsidRPr="00BF46A2">
              <w:rPr>
                <w:rFonts w:ascii="Arial" w:eastAsiaTheme="minorHAnsi" w:hAnsi="Arial" w:cs="Arial"/>
                <w:sz w:val="22"/>
                <w:szCs w:val="22"/>
                <w:lang w:eastAsia="en-US"/>
              </w:rPr>
              <w:t xml:space="preserve"> </w:t>
            </w:r>
          </w:p>
          <w:p w14:paraId="43C2C4BD" w14:textId="77777777" w:rsidR="000577F5" w:rsidRPr="00BF46A2" w:rsidRDefault="000577F5" w:rsidP="000577F5">
            <w:pPr>
              <w:numPr>
                <w:ilvl w:val="0"/>
                <w:numId w:val="1"/>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Apply robust methodological procedures to undertake a small-scale research project including analysis of data, critical reflection on findings and ethical </w:t>
            </w:r>
            <w:proofErr w:type="gramStart"/>
            <w:r w:rsidRPr="00BF46A2">
              <w:rPr>
                <w:rFonts w:ascii="Arial" w:eastAsiaTheme="minorHAnsi" w:hAnsi="Arial" w:cs="Arial"/>
                <w:sz w:val="22"/>
                <w:szCs w:val="22"/>
                <w:lang w:eastAsia="en-US"/>
              </w:rPr>
              <w:t>guidelines;</w:t>
            </w:r>
            <w:proofErr w:type="gramEnd"/>
            <w:r w:rsidRPr="00BF46A2">
              <w:rPr>
                <w:rFonts w:ascii="Arial" w:eastAsiaTheme="minorHAnsi" w:hAnsi="Arial" w:cs="Arial"/>
                <w:sz w:val="22"/>
                <w:szCs w:val="22"/>
                <w:lang w:eastAsia="en-US"/>
              </w:rPr>
              <w:t xml:space="preserve"> </w:t>
            </w:r>
          </w:p>
          <w:p w14:paraId="22026081" w14:textId="77777777" w:rsidR="000577F5" w:rsidRPr="00BF46A2" w:rsidRDefault="000577F5" w:rsidP="000577F5">
            <w:pPr>
              <w:numPr>
                <w:ilvl w:val="0"/>
                <w:numId w:val="1"/>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Critically reflect on all aspects of the research process.</w:t>
            </w:r>
          </w:p>
          <w:p w14:paraId="503CEBA3" w14:textId="77777777" w:rsidR="000577F5" w:rsidRPr="00A406E5" w:rsidRDefault="000577F5" w:rsidP="00445F41">
            <w:pPr>
              <w:ind w:left="360"/>
              <w:rPr>
                <w:rFonts w:ascii="Arial" w:hAnsi="Arial" w:cs="Arial"/>
                <w:sz w:val="22"/>
                <w:szCs w:val="22"/>
              </w:rPr>
            </w:pPr>
          </w:p>
          <w:p w14:paraId="4C289D96" w14:textId="77777777" w:rsidR="000577F5" w:rsidRPr="000E6739" w:rsidRDefault="000577F5" w:rsidP="00445F41">
            <w:pPr>
              <w:rPr>
                <w:rFonts w:ascii="Arial" w:eastAsiaTheme="minorHAnsi" w:hAnsi="Arial" w:cs="Arial"/>
                <w:b/>
                <w:bCs/>
                <w:sz w:val="22"/>
                <w:szCs w:val="22"/>
                <w:lang w:eastAsia="en-US"/>
              </w:rPr>
            </w:pPr>
          </w:p>
          <w:p w14:paraId="4D32675F" w14:textId="77777777" w:rsidR="000577F5" w:rsidRPr="00A406E5" w:rsidRDefault="000577F5" w:rsidP="00445F41">
            <w:pPr>
              <w:ind w:left="360"/>
              <w:rPr>
                <w:rFonts w:ascii="Arial" w:hAnsi="Arial" w:cs="Arial"/>
                <w:sz w:val="22"/>
                <w:szCs w:val="22"/>
              </w:rPr>
            </w:pPr>
          </w:p>
          <w:p w14:paraId="21B48639" w14:textId="77777777" w:rsidR="000577F5" w:rsidRPr="00A406E5" w:rsidRDefault="000577F5" w:rsidP="00445F41">
            <w:pPr>
              <w:ind w:left="360"/>
              <w:rPr>
                <w:rFonts w:ascii="Arial" w:hAnsi="Arial" w:cs="Arial"/>
                <w:sz w:val="22"/>
                <w:szCs w:val="22"/>
              </w:rPr>
            </w:pPr>
          </w:p>
          <w:p w14:paraId="258E02F7" w14:textId="77777777" w:rsidR="000577F5" w:rsidRPr="00A406E5" w:rsidRDefault="000577F5" w:rsidP="00445F41">
            <w:pPr>
              <w:rPr>
                <w:rFonts w:ascii="Arial" w:hAnsi="Arial" w:cs="Arial"/>
                <w:sz w:val="22"/>
                <w:szCs w:val="22"/>
              </w:rPr>
            </w:pPr>
          </w:p>
          <w:p w14:paraId="5414716E" w14:textId="77777777" w:rsidR="000577F5" w:rsidRPr="00A406E5" w:rsidRDefault="000577F5" w:rsidP="00445F41">
            <w:pPr>
              <w:rPr>
                <w:rFonts w:ascii="Arial" w:hAnsi="Arial" w:cs="Arial"/>
                <w:sz w:val="22"/>
                <w:szCs w:val="22"/>
              </w:rPr>
            </w:pPr>
          </w:p>
        </w:tc>
      </w:tr>
    </w:tbl>
    <w:p w14:paraId="135E3720" w14:textId="77777777" w:rsidR="008658F4" w:rsidRDefault="008658F4"/>
    <w:p w14:paraId="7357ED56" w14:textId="77777777" w:rsidR="000577F5" w:rsidRDefault="000577F5"/>
    <w:p w14:paraId="13F5C288" w14:textId="77777777" w:rsidR="00F87F4B" w:rsidRPr="00F74CEF" w:rsidRDefault="00F87F4B" w:rsidP="00F87F4B">
      <w:pPr>
        <w:pStyle w:val="NormalWeb"/>
        <w:spacing w:line="276" w:lineRule="auto"/>
        <w:rPr>
          <w:rFonts w:ascii="Calibri" w:hAnsi="Calibri" w:cs="Calibri"/>
          <w:b/>
          <w:bCs/>
          <w:color w:val="000000"/>
          <w:u w:val="single"/>
        </w:rPr>
      </w:pPr>
      <w:r w:rsidRPr="00F74CEF">
        <w:rPr>
          <w:rFonts w:ascii="Calibri" w:hAnsi="Calibri" w:cs="Calibri"/>
          <w:b/>
          <w:bCs/>
          <w:color w:val="000000"/>
          <w:u w:val="single"/>
        </w:rPr>
        <w:t>Introduction</w:t>
      </w:r>
    </w:p>
    <w:p w14:paraId="56349254"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This reflective paper provides a detailed examination of my independent research project, undertaken as part of my postgraduate studies in sport and exercise nutrition. The research focused on whether individuals under-fuel for their workouts and how this may influence perceived exercise performance. Through a structured, quantitative design, the project aimed to uncover patterns of nutritional behaviour in recreational exercisers, investigate adherence to recommended fuelling strategies, and understand potential correlations between pre-exercise dietary intake and subjective perceptions of energy and fatigue. This reflection is structured around three guiding questions</w:t>
      </w:r>
      <w:r>
        <w:rPr>
          <w:rFonts w:ascii="Calibri" w:hAnsi="Calibri" w:cs="Calibri"/>
          <w:color w:val="000000"/>
        </w:rPr>
        <w:t>:</w:t>
      </w:r>
      <w:r w:rsidRPr="00F74CEF">
        <w:rPr>
          <w:rFonts w:ascii="Calibri" w:hAnsi="Calibri" w:cs="Calibri"/>
          <w:color w:val="000000"/>
        </w:rPr>
        <w:t xml:space="preserve"> whether the research design was appropriate for answering the research question, the experience of conducting research and the implications of this work for future study and professional practice.</w:t>
      </w:r>
    </w:p>
    <w:p w14:paraId="39DE7FD3" w14:textId="01837C8F"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The broader context of this research lies in the increasing concern over Relative Energy Deficiency in Sport (RED-S) and the rising prevalence of dietary trends that may inadvertently promote under-fuelling. Under-fuelling can significantly impair performance, recovery, and long-term health outcomes, even among recreational athletes. Despite growing public interest in nutrition, a gap remains between evidence-based recommendations and real-world practice. Studies have highlighted that a significant proportion of active individuals unknowingly consume insufficient calories, particularly carbohydrates, relative to their training demands (Heikura et al., 201</w:t>
      </w:r>
      <w:r w:rsidR="004B1878">
        <w:rPr>
          <w:rFonts w:ascii="Calibri" w:hAnsi="Calibri" w:cs="Calibri"/>
          <w:color w:val="000000"/>
        </w:rPr>
        <w:t>8</w:t>
      </w:r>
      <w:r w:rsidRPr="00F74CEF">
        <w:rPr>
          <w:rFonts w:ascii="Calibri" w:hAnsi="Calibri" w:cs="Calibri"/>
          <w:color w:val="000000"/>
        </w:rPr>
        <w:t>). This can result in decreased training capacity, impaired mood, hormonal disturbances, and longer recovery times. A recent UK-based survey by the Sport and Exercise Nutrition Register (</w:t>
      </w:r>
      <w:proofErr w:type="spellStart"/>
      <w:r w:rsidRPr="00F74CEF">
        <w:rPr>
          <w:rFonts w:ascii="Calibri" w:hAnsi="Calibri" w:cs="Calibri"/>
          <w:color w:val="000000"/>
        </w:rPr>
        <w:t>SENr</w:t>
      </w:r>
      <w:proofErr w:type="spellEnd"/>
      <w:r w:rsidRPr="00F74CEF">
        <w:rPr>
          <w:rFonts w:ascii="Calibri" w:hAnsi="Calibri" w:cs="Calibri"/>
          <w:color w:val="000000"/>
        </w:rPr>
        <w:t xml:space="preserve">, 2022) reported that over 40% of recreational athletes exhibited signs of low energy availability without realising it, illustrating the widespread nature of the issue. My interest in this topic </w:t>
      </w:r>
      <w:r w:rsidRPr="00F74CEF">
        <w:rPr>
          <w:rFonts w:ascii="Calibri" w:hAnsi="Calibri" w:cs="Calibri"/>
          <w:color w:val="000000"/>
        </w:rPr>
        <w:lastRenderedPageBreak/>
        <w:t>emerged from observing this disconnect within gym settings, where individuals often train rigorously but pay limited attention to fuelling strategies. This project, while limited in scale, sought to contribute to filling that gap. It also provided me with an opportunity to develop skills in research design, ethical decision-making, data analysis, and reflective thinking—skills that are essential in both academic and applied sport settings.</w:t>
      </w:r>
    </w:p>
    <w:p w14:paraId="27DA9D4B" w14:textId="77777777" w:rsidR="00F87F4B" w:rsidRPr="00F74CEF" w:rsidRDefault="00F87F4B" w:rsidP="00F87F4B">
      <w:pPr>
        <w:pStyle w:val="NormalWeb"/>
        <w:spacing w:line="276" w:lineRule="auto"/>
        <w:rPr>
          <w:rFonts w:ascii="Calibri" w:hAnsi="Calibri" w:cs="Calibri"/>
          <w:b/>
          <w:bCs/>
          <w:color w:val="000000"/>
          <w:u w:val="single"/>
        </w:rPr>
      </w:pPr>
      <w:r w:rsidRPr="00F74CEF">
        <w:rPr>
          <w:rFonts w:ascii="Calibri" w:hAnsi="Calibri" w:cs="Calibri"/>
          <w:b/>
          <w:bCs/>
          <w:color w:val="000000"/>
          <w:u w:val="single"/>
        </w:rPr>
        <w:t>Alignment of the Study</w:t>
      </w:r>
    </w:p>
    <w:p w14:paraId="08D0FF58"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The core research question</w:t>
      </w:r>
      <w:r>
        <w:rPr>
          <w:rFonts w:ascii="Calibri" w:hAnsi="Calibri" w:cs="Calibri"/>
          <w:color w:val="000000"/>
        </w:rPr>
        <w:t xml:space="preserve">, </w:t>
      </w:r>
      <w:r w:rsidRPr="00F74CEF">
        <w:rPr>
          <w:rFonts w:ascii="Calibri" w:hAnsi="Calibri" w:cs="Calibri"/>
          <w:color w:val="000000"/>
        </w:rPr>
        <w:t>"To what extent are individuals under-fuelling for their workouts, and what impact does this have on perceived exercise performance?"</w:t>
      </w:r>
      <w:r>
        <w:rPr>
          <w:rFonts w:ascii="Calibri" w:hAnsi="Calibri" w:cs="Calibri"/>
          <w:color w:val="000000"/>
        </w:rPr>
        <w:t xml:space="preserve"> </w:t>
      </w:r>
      <w:r w:rsidRPr="00F74CEF">
        <w:rPr>
          <w:rFonts w:ascii="Calibri" w:hAnsi="Calibri" w:cs="Calibri"/>
          <w:color w:val="000000"/>
        </w:rPr>
        <w:t>required a research design that could identify both the prevalence of under-fuelling behaviours and their perceived consequences. To answer this question effectively, I selected a quantitative, cross-sectional research design using a structured online questionnaire distributed via Microsoft Forms. This approach allowed me to gather a large volume of data efficiently and to quantify relationships between pre-exercise nutritional intake and subjective performance outcomes.</w:t>
      </w:r>
    </w:p>
    <w:p w14:paraId="54E0962E"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 xml:space="preserve">The decision to adopt a positivist epistemological stance was grounded in the aim to </w:t>
      </w:r>
      <w:r>
        <w:rPr>
          <w:rFonts w:ascii="Calibri" w:hAnsi="Calibri" w:cs="Calibri"/>
          <w:color w:val="000000"/>
        </w:rPr>
        <w:t>measure fuelling behaviours and perceptions using standardised instruments objectively</w:t>
      </w:r>
      <w:r w:rsidRPr="00F74CEF">
        <w:rPr>
          <w:rFonts w:ascii="Calibri" w:hAnsi="Calibri" w:cs="Calibri"/>
          <w:color w:val="000000"/>
        </w:rPr>
        <w:t xml:space="preserve">. A realist ontology further supported this approach, </w:t>
      </w:r>
      <w:r>
        <w:rPr>
          <w:rFonts w:ascii="Calibri" w:hAnsi="Calibri" w:cs="Calibri"/>
          <w:color w:val="000000"/>
        </w:rPr>
        <w:t>assuming</w:t>
      </w:r>
      <w:r w:rsidRPr="00F74CEF">
        <w:rPr>
          <w:rFonts w:ascii="Calibri" w:hAnsi="Calibri" w:cs="Calibri"/>
          <w:color w:val="000000"/>
        </w:rPr>
        <w:t xml:space="preserve"> that nutritional adequacy and performance perceptions are measurable and can be systematically investigated. These philosophical underpinnings justified the use of quantitative methods and structured data collection tools.</w:t>
      </w:r>
    </w:p>
    <w:p w14:paraId="46EE39ED"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The questionnaire consisted of four core domains</w:t>
      </w:r>
      <w:r>
        <w:rPr>
          <w:rFonts w:ascii="Calibri" w:hAnsi="Calibri" w:cs="Calibri"/>
          <w:color w:val="000000"/>
        </w:rPr>
        <w:t>:</w:t>
      </w:r>
      <w:r w:rsidRPr="00F74CEF">
        <w:rPr>
          <w:rFonts w:ascii="Calibri" w:hAnsi="Calibri" w:cs="Calibri"/>
          <w:color w:val="000000"/>
        </w:rPr>
        <w:t xml:space="preserve"> demographic and training information, pre-exercise nutrition habits</w:t>
      </w:r>
      <w:r>
        <w:rPr>
          <w:rFonts w:ascii="Calibri" w:hAnsi="Calibri" w:cs="Calibri"/>
          <w:color w:val="000000"/>
        </w:rPr>
        <w:t xml:space="preserve">, </w:t>
      </w:r>
      <w:r w:rsidRPr="00F74CEF">
        <w:rPr>
          <w:rFonts w:ascii="Calibri" w:hAnsi="Calibri" w:cs="Calibri"/>
          <w:color w:val="000000"/>
        </w:rPr>
        <w:t>including macronutrient and calorie intake, perceived exercise performance (energy levels, fatigue, endurance), and nutritional knowledge. The inclusion of these domains was intentional and strategic. It enabled triangulation within the data, allowing for multiple factors to be considered in relation to fuelling behaviours and their impact. By structuring the questionnaire to collect both objective (e.g., estimated carbohydrate intake) and subjective (e.g., perceived fatigue) data, I was able to examine the interplay between dietary behaviour and performance outcomes.</w:t>
      </w:r>
    </w:p>
    <w:p w14:paraId="3C31236C"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One of the most valuable aspects of the design was its accessibility. Using Microsoft Forms enabled a wide and diverse sample of recreational exercisers to participate. Convenience sampling, while a limitation in terms of generalisability, was appropriate for the study’s scope and timeframe. Recruitment through social media platforms</w:t>
      </w:r>
      <w:r>
        <w:rPr>
          <w:rFonts w:ascii="Calibri" w:hAnsi="Calibri" w:cs="Calibri"/>
          <w:color w:val="000000"/>
        </w:rPr>
        <w:t xml:space="preserve"> </w:t>
      </w:r>
      <w:r w:rsidRPr="00F74CEF">
        <w:rPr>
          <w:rFonts w:ascii="Calibri" w:hAnsi="Calibri" w:cs="Calibri"/>
          <w:color w:val="000000"/>
        </w:rPr>
        <w:t>made the process efficient, though it may have introduced bias toward more health-conscious individuals. Nevertheless, the approach enabled me to gather a dataset sufficient for descriptive and correlational analyses.</w:t>
      </w:r>
    </w:p>
    <w:p w14:paraId="4428B668"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lastRenderedPageBreak/>
        <w:t>Data analysis was carried out using SPSS, employing descriptive statistics, Pearson’s correlations, and basic inferential testing where appropriate. These methods aligned with the research aims and allowed for the identification of trends, such as the frequency of pre-exercise fuelling and its relationship to perceived energy availability. While the study could not draw causal conclusions due to its cross-sectional nature, it effectively captured associations that could inform future research.</w:t>
      </w:r>
    </w:p>
    <w:p w14:paraId="68EA9B41" w14:textId="1FBA742C"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The research design was also informed by a review of relevant literature. Studies by Burke et al. (201</w:t>
      </w:r>
      <w:r w:rsidR="004B1878">
        <w:rPr>
          <w:rFonts w:ascii="Calibri" w:hAnsi="Calibri" w:cs="Calibri"/>
          <w:color w:val="000000"/>
        </w:rPr>
        <w:t>3</w:t>
      </w:r>
      <w:r w:rsidRPr="00F74CEF">
        <w:rPr>
          <w:rFonts w:ascii="Calibri" w:hAnsi="Calibri" w:cs="Calibri"/>
          <w:color w:val="000000"/>
        </w:rPr>
        <w:t>) and Stellingwerff et al. (20</w:t>
      </w:r>
      <w:r w:rsidR="004B1878">
        <w:rPr>
          <w:rFonts w:ascii="Calibri" w:hAnsi="Calibri" w:cs="Calibri"/>
          <w:color w:val="000000"/>
        </w:rPr>
        <w:t>18</w:t>
      </w:r>
      <w:r w:rsidRPr="00F74CEF">
        <w:rPr>
          <w:rFonts w:ascii="Calibri" w:hAnsi="Calibri" w:cs="Calibri"/>
          <w:color w:val="000000"/>
        </w:rPr>
        <w:t>) underscored the importance of carbohydrate availability before exercise. This reinforced the decision to include a question estimating pre-exercise carbohydrate intake. Other studies, such as Thomas et al. (2016), identified sociocultural and logistical barriers to optimal fuelling. These insights shaped the questionnaire’s inclusion of questions on meal timing, food source (homemade or purchased), and access to nutritional information.</w:t>
      </w:r>
    </w:p>
    <w:p w14:paraId="0B5306E6"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Despite the strengths of the design, certain limitations were acknowledged. Self-reported dietary intake is inherently subject to recall bias, misreporting, and variability in nutritional knowledge. I attempted to mitigate this by providing intake ranges and an “unsure” option. Furthermore, the study did not include objective physiological markers (e.g., blood glucose, glycogen levels), which would have enhanced the validity of the findings. However, given the exploratory nature of the research and the constraints of time, cost, and access, the methodology was fit for purpose.</w:t>
      </w:r>
    </w:p>
    <w:p w14:paraId="0B3C69D1"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Overall, I believe the research design was well-aligned with the research question and epistemological approach. It enabled me to collect meaningful data, apply appropriate analysis, and draw conclusions that, while limited in scope, have relevance for recreational athletes and practitioners alike.</w:t>
      </w:r>
    </w:p>
    <w:p w14:paraId="27B43C9C" w14:textId="77777777" w:rsidR="00F87F4B" w:rsidRPr="00F74CEF" w:rsidRDefault="00F87F4B" w:rsidP="00F87F4B">
      <w:pPr>
        <w:pStyle w:val="NormalWeb"/>
        <w:spacing w:line="276" w:lineRule="auto"/>
        <w:rPr>
          <w:rFonts w:ascii="Calibri" w:hAnsi="Calibri" w:cs="Calibri"/>
          <w:b/>
          <w:bCs/>
          <w:color w:val="000000"/>
          <w:u w:val="single"/>
        </w:rPr>
      </w:pPr>
      <w:r w:rsidRPr="00F74CEF">
        <w:rPr>
          <w:rFonts w:ascii="Calibri" w:hAnsi="Calibri" w:cs="Calibri"/>
          <w:b/>
          <w:bCs/>
          <w:color w:val="000000"/>
          <w:u w:val="single"/>
        </w:rPr>
        <w:t>The Experience of Conducting Research</w:t>
      </w:r>
    </w:p>
    <w:p w14:paraId="488603AA"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Conducting this research independently was both a challenging and transformative experience. It required me to take ownership of the entire process</w:t>
      </w:r>
      <w:r>
        <w:rPr>
          <w:rFonts w:ascii="Calibri" w:hAnsi="Calibri" w:cs="Calibri"/>
          <w:color w:val="000000"/>
        </w:rPr>
        <w:t xml:space="preserve">, </w:t>
      </w:r>
      <w:r w:rsidRPr="00F74CEF">
        <w:rPr>
          <w:rFonts w:ascii="Calibri" w:hAnsi="Calibri" w:cs="Calibri"/>
          <w:color w:val="000000"/>
        </w:rPr>
        <w:t>from ethical approval and participant recruitment to data analysis and interpretation. This autonomy not only strengthened my research skills but also deepened my appreciation for the complexities involved in human-centred research.</w:t>
      </w:r>
    </w:p>
    <w:p w14:paraId="5847662D"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One of the most significant challenges I encountered was designing a questionnaire that was both comprehensive and user-friendly. The initial draft of the survey was too long and contained overly technical language. Pilot testing with peers provided critical feedback, leading me to simplify terminology, streamline response options, and improve the logical flow of questions. This iterative process taught me the importance of clear communication and the value of pilot testing in enhancing instrument reliability and validity.</w:t>
      </w:r>
    </w:p>
    <w:p w14:paraId="4627A8E2"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lastRenderedPageBreak/>
        <w:t>Unexpectedly, I also encountered technical issues during early testing phases. A formatting error caused confusion with the Likert-scale responses, which I later resolved through more consistent spacing and layout alignment. This reminded me that research tools not only need to be methodologically sound but also functionally intuitive.</w:t>
      </w:r>
    </w:p>
    <w:p w14:paraId="7A86CC73"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Ethical considerations played a central role throughout the project. Although the research posed minimal risk to participants, I was acutely aware of my responsibility to ensure informed consent, protect anonymity, and respect participants’ autonomy. The information sheet provided prior to the questionnaire explained the study’s purpose, the voluntary nature of participation, and the option to withdraw at any time. No identifying data were collected, and all responses were stored securely in compliance with data protection regulations.</w:t>
      </w:r>
    </w:p>
    <w:p w14:paraId="205E5CA1"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Applying for ethical approval was a critical learning experience. The review process encouraged me to think deeply about potential risks, including the psychological discomfort participants might feel when reflecting on their eating habits or performance issues.</w:t>
      </w:r>
    </w:p>
    <w:p w14:paraId="5F1441E9"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Time management was another area of growth. Balancing this project alongside academic and personal commitments required careful planning. I created a detailed timeline, allowing flexibility for unexpected delays in recruitment or analysis. Even with this preparation, challenges arose, such as a slower-than-expected response rate and the need to extend data collection. These experiences taught me the importance of adaptability and the need to build contingency time into research schedules.</w:t>
      </w:r>
    </w:p>
    <w:p w14:paraId="2731750B"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One memorable moment was the day I reviewed the first complete dataset. The sense of achievement was accompanied by the realisation of my duty to analyse and present the findings with integrity. I was surprised by some trends, including how many participants skipped meals entirely or consumed only caffeine before exercise. These insights challenged my assumptions and demonstrated the value of empirical data.</w:t>
      </w:r>
    </w:p>
    <w:p w14:paraId="2F63E1F7"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Analysing the data presented its own set of challenges. Initially, I was overwhelmed by the volume of responses and the complexity of SPSS software. However, with practice and guidance, I gained confidence in using statistical tools and interpreting results. I learned to look beyond p-values and to consider the practical significance of findings. For example, even when statistical significance was not achieved, patterns in the data (such as consistently low carbohydrate intake among certain demographics) still offered valuable insights.</w:t>
      </w:r>
    </w:p>
    <w:p w14:paraId="25E098B3"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Reflecting on the overall experience, I now see research not just as a technical exercise but as a dynamic, iterative process that requires critical thinking, empathy, and ethical mindfulness. I have developed a greater respect for the role of reflexivity in research</w:t>
      </w:r>
      <w:r>
        <w:rPr>
          <w:rFonts w:ascii="Calibri" w:hAnsi="Calibri" w:cs="Calibri"/>
          <w:color w:val="000000"/>
        </w:rPr>
        <w:t xml:space="preserve">, </w:t>
      </w:r>
      <w:r w:rsidRPr="00F74CEF">
        <w:rPr>
          <w:rFonts w:ascii="Calibri" w:hAnsi="Calibri" w:cs="Calibri"/>
          <w:color w:val="000000"/>
        </w:rPr>
        <w:t xml:space="preserve">the </w:t>
      </w:r>
      <w:r w:rsidRPr="00F74CEF">
        <w:rPr>
          <w:rFonts w:ascii="Calibri" w:hAnsi="Calibri" w:cs="Calibri"/>
          <w:color w:val="000000"/>
        </w:rPr>
        <w:lastRenderedPageBreak/>
        <w:t>ability to question my own assumptions, acknowledge limitations, and remain open to learning throughout the process.</w:t>
      </w:r>
    </w:p>
    <w:p w14:paraId="344EC7F2" w14:textId="77777777" w:rsidR="00F87F4B" w:rsidRPr="00F74CEF" w:rsidRDefault="00F87F4B" w:rsidP="00F87F4B">
      <w:pPr>
        <w:pStyle w:val="NormalWeb"/>
        <w:spacing w:line="276" w:lineRule="auto"/>
        <w:rPr>
          <w:rFonts w:ascii="Calibri" w:hAnsi="Calibri" w:cs="Calibri"/>
          <w:b/>
          <w:bCs/>
          <w:color w:val="000000"/>
          <w:u w:val="single"/>
        </w:rPr>
      </w:pPr>
      <w:r w:rsidRPr="00F74CEF">
        <w:rPr>
          <w:rFonts w:ascii="Calibri" w:hAnsi="Calibri" w:cs="Calibri"/>
          <w:b/>
          <w:bCs/>
          <w:color w:val="000000"/>
          <w:u w:val="single"/>
        </w:rPr>
        <w:t>The Implications for Future Study and Practice</w:t>
      </w:r>
    </w:p>
    <w:p w14:paraId="4D595C3D"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This research project has had significant implications for how I approach both academic study and professional practice in sport and exercise nutrition. Firstly, it reinforced the value of evidence-based practice. Despite a wealth of scientific literature on optimal pre-exercise nutrition, many recreational exercisers still fail to meet recommended fuelling guidelines. This disconnect suggests a gap not only in knowledge but also in how nutritional advice is communicated and applied in real-world settings.</w:t>
      </w:r>
    </w:p>
    <w:p w14:paraId="78347B61"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In my future studies, I intend to explore this gap further through more applied and interdisciplinary approaches. For instance, incorporating psychological theories of behaviour change (e.g., the Theory of Planned Behaviour or Self-Determination Theory) may provide deeper insight into why individuals fail to implement known nutritional strategies. Qualitative research, such as interviews or focus groups, could be used alongside quantitative methods to capture the nuanced factors influencing fuelling choices. I am particularly interested in investigating how social media, peer influence, and fitness culture shape dietary behaviour.</w:t>
      </w:r>
    </w:p>
    <w:p w14:paraId="106E35AC"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In professional settings, particularly within sports teams or fitness coaching environments, this study has highlighted the need for ongoing education and personalised support. Simply providing athletes or clients with fuelling guidelines is not enough. Effective nutrition support must be contextualised, practical, and tailored to the individual’s goals, preferences, and constraints. For example, in a rugby club environment, I could envisage delivering weekly nutrition workshops that correspond with the team’s training cycle. These sessions might cover carbohydrate periodisation, hydration strategies, or recovery nutrition and would be accompanied by one-to-one consultations.</w:t>
      </w:r>
    </w:p>
    <w:p w14:paraId="6F0DBD81"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Additionally, a case study from a sports club environment might involve the implementation of a team-wide breakfast initiative for early-morning training days. Players would be provided with fuelling options based on their position-specific needs, such as high-carbohydrate options for backs and protein-rich options for forwards</w:t>
      </w:r>
      <w:r>
        <w:rPr>
          <w:rFonts w:ascii="Calibri" w:hAnsi="Calibri" w:cs="Calibri"/>
          <w:color w:val="000000"/>
        </w:rPr>
        <w:t>,</w:t>
      </w:r>
      <w:r w:rsidRPr="00F74CEF">
        <w:rPr>
          <w:rFonts w:ascii="Calibri" w:hAnsi="Calibri" w:cs="Calibri"/>
          <w:color w:val="000000"/>
        </w:rPr>
        <w:t xml:space="preserve"> prioritising recovery. Attendance and meal logs could be used to monitor uptake and adjust offerings accordingly. This practical intervention, though simple, could significantly reduce the likelihood of under-fuelling and create a stronger food culture within the team. For example, in a rugby club setting, I might work with strength and conditioning coaches to develop fuelling stations or meal prep workshops that cater to players with different body composition goals and dietary restrictions. These approaches make nutrition education both engaging and actionable.</w:t>
      </w:r>
    </w:p>
    <w:p w14:paraId="7D2BFCA3"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lastRenderedPageBreak/>
        <w:t>One hypothetical example could involve creating a pre-match fuelling protocol for a semi-professional football team. This would include team briefings, individualised snack boxes based on player position and role, and collaboration with club chefs to align match-day menus with evidence-based nutrition. Monitoring adherence through self-reports and feedback would allow for continuous improvement.</w:t>
      </w:r>
    </w:p>
    <w:p w14:paraId="1B88064F"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Furthermore, the experience has shaped how I intend to contribute to multidisciplinary teams. In professional football or rugby environments, nutritionists often work alongside strength and conditioning coaches, physiotherapists, and psychologists. This project has deepened my appreciation for how interconnected these roles are. For example, inadequate fuelling can compromise training adaptations and increase injury risk, which in turn impacts an athlete’s mental well-being. As a future practitioner, I hope to foster collaboration across disciplines to deliver holistic, athlete-centred support.</w:t>
      </w:r>
    </w:p>
    <w:p w14:paraId="4C66B960"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 xml:space="preserve">Another practical implication lies in the use of technology to support nutritional behaviour change. Given the accessibility and convenience of digital platforms, I see potential in developing apps or online modules that provide reminders, tracking tools, and tailored advice to help individuals meet their fuelling needs. The use of gamification, personalised feedback, and </w:t>
      </w:r>
      <w:proofErr w:type="gramStart"/>
      <w:r w:rsidRPr="00F74CEF">
        <w:rPr>
          <w:rFonts w:ascii="Calibri" w:hAnsi="Calibri" w:cs="Calibri"/>
          <w:color w:val="000000"/>
        </w:rPr>
        <w:t>goal-setting</w:t>
      </w:r>
      <w:proofErr w:type="gramEnd"/>
      <w:r w:rsidRPr="00F74CEF">
        <w:rPr>
          <w:rFonts w:ascii="Calibri" w:hAnsi="Calibri" w:cs="Calibri"/>
          <w:color w:val="000000"/>
        </w:rPr>
        <w:t xml:space="preserve"> could be powerful strategies to enhance adherence.</w:t>
      </w:r>
    </w:p>
    <w:p w14:paraId="1BE265F4"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Finally, this project has instilled in me a long-term commitment to reflective practice. The process of writing this paper has shown me the importance of stepping back, evaluating my experiences, and integrating what I’ve learned into future actions. Whether through journaling, peer discussion, or continued professional development, I intend to make reflection a regular part of my academic and professional journey.</w:t>
      </w:r>
    </w:p>
    <w:p w14:paraId="576DFF75" w14:textId="77777777" w:rsidR="00F87F4B" w:rsidRPr="00F74CEF" w:rsidRDefault="00F87F4B" w:rsidP="00F87F4B">
      <w:pPr>
        <w:pStyle w:val="NormalWeb"/>
        <w:spacing w:line="276" w:lineRule="auto"/>
        <w:rPr>
          <w:rFonts w:ascii="Calibri" w:hAnsi="Calibri" w:cs="Calibri"/>
          <w:b/>
          <w:bCs/>
          <w:color w:val="000000"/>
          <w:u w:val="single"/>
        </w:rPr>
      </w:pPr>
      <w:r w:rsidRPr="00F74CEF">
        <w:rPr>
          <w:rFonts w:ascii="Calibri" w:hAnsi="Calibri" w:cs="Calibri"/>
          <w:b/>
          <w:bCs/>
          <w:color w:val="000000"/>
          <w:u w:val="single"/>
        </w:rPr>
        <w:t>Conclusion</w:t>
      </w:r>
    </w:p>
    <w:p w14:paraId="31EDFFB9"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This reflective paper has explored the alignment of my independent research study with its objectives, the lessons learned from conducting the research, and its implications for my future academic and professional practice. The project provided an opportunity to examine a relevant and under-researched topic in recreational sport</w:t>
      </w:r>
      <w:r>
        <w:rPr>
          <w:rFonts w:ascii="Calibri" w:hAnsi="Calibri" w:cs="Calibri"/>
          <w:color w:val="000000"/>
        </w:rPr>
        <w:t xml:space="preserve">, </w:t>
      </w:r>
      <w:r w:rsidRPr="00F74CEF">
        <w:rPr>
          <w:rFonts w:ascii="Calibri" w:hAnsi="Calibri" w:cs="Calibri"/>
          <w:color w:val="000000"/>
        </w:rPr>
        <w:t>under-fuelling before exercise</w:t>
      </w:r>
      <w:r>
        <w:rPr>
          <w:rFonts w:ascii="Calibri" w:hAnsi="Calibri" w:cs="Calibri"/>
          <w:color w:val="000000"/>
        </w:rPr>
        <w:t xml:space="preserve">, </w:t>
      </w:r>
      <w:r w:rsidRPr="00F74CEF">
        <w:rPr>
          <w:rFonts w:ascii="Calibri" w:hAnsi="Calibri" w:cs="Calibri"/>
          <w:color w:val="000000"/>
        </w:rPr>
        <w:t>and to engage deeply with the challenges of designing, conducting, and analysing human-centred research.</w:t>
      </w:r>
    </w:p>
    <w:p w14:paraId="12783C58"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The experience reinforced my belief in the importance of research that is both methodologically sound and practically relevant. It has equipped me with the skills to carry out future research with greater confidence and critical awareness, and it has shaped my vision of what effective, person-centred nutrition support should look like. Most importantly, it has reaffirmed my passion for the field of sport and exercise nutrition and my commitment to bridging the gap between theory and practice in the service of athletes and active individuals alike.</w:t>
      </w:r>
    </w:p>
    <w:p w14:paraId="29AFB12B" w14:textId="6660FCA9"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lastRenderedPageBreak/>
        <w:t>Beyond academic and professional skills, this project has also prompted a shift in my personal values and long-term goals. I have developed a greater sense of responsibility for how I communicate nutritional advice and how I engage with individuals from diverse backgrounds. I want to be the type of practitioner who listens first, explains clearly, and adapts support to fit the needs of each athlete or client. This people-first mindset, combined with scientific rigour, is something I now see as central to my identity as a future nutritionist. The experience has also reinforced my belief in continuous learning</w:t>
      </w:r>
      <w:r w:rsidR="00E61519">
        <w:rPr>
          <w:rFonts w:ascii="Calibri" w:hAnsi="Calibri" w:cs="Calibri"/>
          <w:color w:val="000000"/>
        </w:rPr>
        <w:t xml:space="preserve">, </w:t>
      </w:r>
      <w:r w:rsidRPr="00F74CEF">
        <w:rPr>
          <w:rFonts w:ascii="Calibri" w:hAnsi="Calibri" w:cs="Calibri"/>
          <w:color w:val="000000"/>
        </w:rPr>
        <w:t>not only from new research but also from practice, mistakes, and honest self-reflection. These values will serve as my compass in a career that I hope remains grounded in empathy, evidence, and the constant pursuit of improvement.</w:t>
      </w:r>
    </w:p>
    <w:p w14:paraId="542C971C" w14:textId="77777777"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Looking forward, this experience has also shaped my long-term professional values. I aspire to be a practitioner who not only provides evidence-based advice but also supports clients through genuine understanding, empathy, and a collaborative mindset. I aim to continue developing both my technical and interpersonal skills, and to contribute meaningfully to an environment where nutrition is not just about performance, but about long-term health, confidence, and sustainability.</w:t>
      </w:r>
    </w:p>
    <w:p w14:paraId="4DADFADE" w14:textId="2FB2E9A9" w:rsidR="00F87F4B" w:rsidRPr="00F74CEF" w:rsidRDefault="00F87F4B" w:rsidP="00F87F4B">
      <w:pPr>
        <w:pStyle w:val="NormalWeb"/>
        <w:spacing w:line="276" w:lineRule="auto"/>
        <w:rPr>
          <w:rFonts w:ascii="Calibri" w:hAnsi="Calibri" w:cs="Calibri"/>
          <w:color w:val="000000"/>
        </w:rPr>
      </w:pPr>
      <w:r w:rsidRPr="00F74CEF">
        <w:rPr>
          <w:rFonts w:ascii="Calibri" w:hAnsi="Calibri" w:cs="Calibri"/>
          <w:color w:val="000000"/>
        </w:rPr>
        <w:t>Finally, I believe this project has laid a foundation for future academic work. In my dissertation, I hope to explore nutrition interventions in more depth</w:t>
      </w:r>
      <w:r w:rsidR="00E61519">
        <w:rPr>
          <w:rFonts w:ascii="Calibri" w:hAnsi="Calibri" w:cs="Calibri"/>
          <w:color w:val="000000"/>
        </w:rPr>
        <w:t xml:space="preserve">, </w:t>
      </w:r>
      <w:r w:rsidRPr="00F74CEF">
        <w:rPr>
          <w:rFonts w:ascii="Calibri" w:hAnsi="Calibri" w:cs="Calibri"/>
          <w:color w:val="000000"/>
        </w:rPr>
        <w:t>perhaps through a pilot programme or educational tool. I am also interested in research collaboration with sports organisations, which would allow me to test and refine applied strategies. These ambitions are underpinned by the confidence and insight gained through this independent study, which has been one of the most meaningful learning experiences of my academic journey so far.</w:t>
      </w:r>
    </w:p>
    <w:p w14:paraId="461AB2E4" w14:textId="77777777" w:rsidR="004B1878" w:rsidRDefault="004B1878" w:rsidP="00F87F4B">
      <w:pPr>
        <w:spacing w:before="100" w:beforeAutospacing="1" w:after="100" w:afterAutospacing="1" w:line="276" w:lineRule="auto"/>
        <w:rPr>
          <w:rFonts w:ascii="Calibri" w:hAnsi="Calibri" w:cs="Calibri"/>
          <w:b/>
          <w:bCs/>
          <w:color w:val="000000"/>
          <w:sz w:val="24"/>
          <w:szCs w:val="24"/>
          <w:u w:val="single"/>
        </w:rPr>
      </w:pPr>
      <w:r>
        <w:rPr>
          <w:rFonts w:ascii="Calibri" w:hAnsi="Calibri" w:cs="Calibri"/>
          <w:b/>
          <w:bCs/>
          <w:color w:val="000000"/>
          <w:sz w:val="24"/>
          <w:szCs w:val="24"/>
          <w:u w:val="single"/>
        </w:rPr>
        <w:t>References</w:t>
      </w:r>
    </w:p>
    <w:p w14:paraId="2CADE5DC" w14:textId="77777777" w:rsidR="004B1878" w:rsidRPr="003600D1" w:rsidRDefault="004B1878" w:rsidP="004B1878">
      <w:pPr>
        <w:pStyle w:val="ListParagraph"/>
        <w:numPr>
          <w:ilvl w:val="0"/>
          <w:numId w:val="2"/>
        </w:numPr>
        <w:spacing w:before="100" w:beforeAutospacing="1" w:after="100" w:afterAutospacing="1" w:line="276" w:lineRule="auto"/>
        <w:rPr>
          <w:rFonts w:ascii="Calibri" w:hAnsi="Calibri" w:cs="Calibri"/>
          <w:color w:val="222222"/>
          <w:shd w:val="clear" w:color="auto" w:fill="FFFFFF"/>
        </w:rPr>
      </w:pPr>
      <w:r w:rsidRPr="003600D1">
        <w:rPr>
          <w:rFonts w:ascii="Calibri" w:hAnsi="Calibri" w:cs="Calibri"/>
          <w:color w:val="222222"/>
          <w:shd w:val="clear" w:color="auto" w:fill="FFFFFF"/>
        </w:rPr>
        <w:t xml:space="preserve">Burke, L.M., Hawley, J.A., Wong, S.H. and </w:t>
      </w:r>
      <w:proofErr w:type="spellStart"/>
      <w:r w:rsidRPr="003600D1">
        <w:rPr>
          <w:rFonts w:ascii="Calibri" w:hAnsi="Calibri" w:cs="Calibri"/>
          <w:color w:val="222222"/>
          <w:shd w:val="clear" w:color="auto" w:fill="FFFFFF"/>
        </w:rPr>
        <w:t>Jeukendrup</w:t>
      </w:r>
      <w:proofErr w:type="spellEnd"/>
      <w:r w:rsidRPr="003600D1">
        <w:rPr>
          <w:rFonts w:ascii="Calibri" w:hAnsi="Calibri" w:cs="Calibri"/>
          <w:color w:val="222222"/>
          <w:shd w:val="clear" w:color="auto" w:fill="FFFFFF"/>
        </w:rPr>
        <w:t>, A.E., 2013. Carbohydrates for training and competition.</w:t>
      </w:r>
      <w:r w:rsidRPr="003600D1">
        <w:rPr>
          <w:rStyle w:val="apple-converted-space"/>
          <w:rFonts w:ascii="Calibri" w:eastAsiaTheme="majorEastAsia" w:hAnsi="Calibri" w:cs="Calibri"/>
          <w:color w:val="222222"/>
          <w:shd w:val="clear" w:color="auto" w:fill="FFFFFF"/>
        </w:rPr>
        <w:t> </w:t>
      </w:r>
      <w:r w:rsidRPr="003600D1">
        <w:rPr>
          <w:rFonts w:ascii="Calibri" w:hAnsi="Calibri" w:cs="Calibri"/>
          <w:color w:val="222222"/>
        </w:rPr>
        <w:t>Food, Nutrition and Sports Performance III</w:t>
      </w:r>
      <w:r w:rsidRPr="003600D1">
        <w:rPr>
          <w:rFonts w:ascii="Calibri" w:hAnsi="Calibri" w:cs="Calibri"/>
          <w:color w:val="222222"/>
          <w:shd w:val="clear" w:color="auto" w:fill="FFFFFF"/>
        </w:rPr>
        <w:t>, pp.17-27.</w:t>
      </w:r>
    </w:p>
    <w:p w14:paraId="2657E82A" w14:textId="77777777" w:rsidR="004B1878" w:rsidRPr="003600D1" w:rsidRDefault="004B1878" w:rsidP="004B1878">
      <w:pPr>
        <w:pStyle w:val="ListParagraph"/>
        <w:numPr>
          <w:ilvl w:val="0"/>
          <w:numId w:val="2"/>
        </w:numPr>
        <w:spacing w:before="100" w:beforeAutospacing="1" w:after="100" w:afterAutospacing="1" w:line="276" w:lineRule="auto"/>
        <w:rPr>
          <w:rFonts w:ascii="Calibri" w:hAnsi="Calibri" w:cs="Calibri"/>
          <w:color w:val="222222"/>
          <w:shd w:val="clear" w:color="auto" w:fill="FFFFFF"/>
        </w:rPr>
      </w:pPr>
      <w:r w:rsidRPr="003600D1">
        <w:rPr>
          <w:rFonts w:ascii="Calibri" w:hAnsi="Calibri" w:cs="Calibri"/>
          <w:color w:val="222222"/>
          <w:shd w:val="clear" w:color="auto" w:fill="FFFFFF"/>
        </w:rPr>
        <w:t>Heikura, I.A., Uusitalo, A.L., Stellingwerff, T., Bergland, D., Mero, A.A. and Burke, L.M., 2018. Low energy availability is difficult to assess but outcomes have large impact on bone injury rates in elite distance athletes.</w:t>
      </w:r>
      <w:r w:rsidRPr="003600D1">
        <w:rPr>
          <w:rStyle w:val="apple-converted-space"/>
          <w:rFonts w:ascii="Calibri" w:eastAsiaTheme="majorEastAsia" w:hAnsi="Calibri" w:cs="Calibri"/>
          <w:color w:val="222222"/>
          <w:shd w:val="clear" w:color="auto" w:fill="FFFFFF"/>
        </w:rPr>
        <w:t> </w:t>
      </w:r>
      <w:r w:rsidRPr="003600D1">
        <w:rPr>
          <w:rFonts w:ascii="Calibri" w:hAnsi="Calibri" w:cs="Calibri"/>
          <w:color w:val="222222"/>
        </w:rPr>
        <w:t>International journal of sport nutrition and exercise metabolism</w:t>
      </w:r>
      <w:r w:rsidRPr="003600D1">
        <w:rPr>
          <w:rFonts w:ascii="Calibri" w:hAnsi="Calibri" w:cs="Calibri"/>
          <w:color w:val="222222"/>
          <w:shd w:val="clear" w:color="auto" w:fill="FFFFFF"/>
        </w:rPr>
        <w:t>,</w:t>
      </w:r>
      <w:r w:rsidRPr="003600D1">
        <w:rPr>
          <w:rStyle w:val="apple-converted-space"/>
          <w:rFonts w:ascii="Calibri" w:eastAsiaTheme="majorEastAsia" w:hAnsi="Calibri" w:cs="Calibri"/>
          <w:color w:val="222222"/>
          <w:shd w:val="clear" w:color="auto" w:fill="FFFFFF"/>
        </w:rPr>
        <w:t> </w:t>
      </w:r>
      <w:r w:rsidRPr="003600D1">
        <w:rPr>
          <w:rFonts w:ascii="Calibri" w:hAnsi="Calibri" w:cs="Calibri"/>
          <w:color w:val="222222"/>
        </w:rPr>
        <w:t>28</w:t>
      </w:r>
      <w:r w:rsidRPr="003600D1">
        <w:rPr>
          <w:rFonts w:ascii="Calibri" w:hAnsi="Calibri" w:cs="Calibri"/>
          <w:color w:val="222222"/>
          <w:shd w:val="clear" w:color="auto" w:fill="FFFFFF"/>
        </w:rPr>
        <w:t>(4), pp.403-411.</w:t>
      </w:r>
    </w:p>
    <w:p w14:paraId="1572526D" w14:textId="77777777" w:rsidR="004B1878" w:rsidRPr="003600D1" w:rsidRDefault="004B1878" w:rsidP="004B1878">
      <w:pPr>
        <w:pStyle w:val="ListParagraph"/>
        <w:numPr>
          <w:ilvl w:val="0"/>
          <w:numId w:val="2"/>
        </w:numPr>
        <w:spacing w:before="100" w:beforeAutospacing="1" w:after="100" w:afterAutospacing="1" w:line="276" w:lineRule="auto"/>
        <w:rPr>
          <w:rFonts w:ascii="Calibri" w:hAnsi="Calibri" w:cs="Calibri"/>
          <w:color w:val="222222"/>
          <w:shd w:val="clear" w:color="auto" w:fill="FFFFFF"/>
        </w:rPr>
      </w:pPr>
      <w:r w:rsidRPr="003600D1">
        <w:rPr>
          <w:rFonts w:ascii="Calibri" w:hAnsi="Calibri" w:cs="Calibri"/>
          <w:color w:val="222222"/>
          <w:shd w:val="clear" w:color="auto" w:fill="FFFFFF"/>
        </w:rPr>
        <w:t>Mountjoy, M., Sundgot-Borgen, J., Burke, L., Carter, S., Constantini, N., Lebrun, C., Meyer, N., Sherman, R., Steffen, K., Budgett, R. and Ljungqvist, A., 2014. The IOC consensus statement: beyond the female athlete triad—relative energy deficiency in sport (RED-S).</w:t>
      </w:r>
      <w:r w:rsidRPr="003600D1">
        <w:rPr>
          <w:rStyle w:val="apple-converted-space"/>
          <w:rFonts w:ascii="Calibri" w:eastAsiaTheme="majorEastAsia" w:hAnsi="Calibri" w:cs="Calibri"/>
          <w:color w:val="222222"/>
          <w:shd w:val="clear" w:color="auto" w:fill="FFFFFF"/>
        </w:rPr>
        <w:t> </w:t>
      </w:r>
      <w:r w:rsidRPr="003600D1">
        <w:rPr>
          <w:rFonts w:ascii="Calibri" w:hAnsi="Calibri" w:cs="Calibri"/>
          <w:color w:val="222222"/>
        </w:rPr>
        <w:t>British journal of sports medicine</w:t>
      </w:r>
      <w:r w:rsidRPr="003600D1">
        <w:rPr>
          <w:rFonts w:ascii="Calibri" w:hAnsi="Calibri" w:cs="Calibri"/>
          <w:color w:val="222222"/>
          <w:shd w:val="clear" w:color="auto" w:fill="FFFFFF"/>
        </w:rPr>
        <w:t>,</w:t>
      </w:r>
      <w:r w:rsidRPr="003600D1">
        <w:rPr>
          <w:rStyle w:val="apple-converted-space"/>
          <w:rFonts w:ascii="Calibri" w:eastAsiaTheme="majorEastAsia" w:hAnsi="Calibri" w:cs="Calibri"/>
          <w:color w:val="222222"/>
          <w:shd w:val="clear" w:color="auto" w:fill="FFFFFF"/>
        </w:rPr>
        <w:t> </w:t>
      </w:r>
      <w:r w:rsidRPr="003600D1">
        <w:rPr>
          <w:rFonts w:ascii="Calibri" w:hAnsi="Calibri" w:cs="Calibri"/>
          <w:color w:val="222222"/>
        </w:rPr>
        <w:t>48</w:t>
      </w:r>
      <w:r w:rsidRPr="003600D1">
        <w:rPr>
          <w:rFonts w:ascii="Calibri" w:hAnsi="Calibri" w:cs="Calibri"/>
          <w:color w:val="222222"/>
          <w:shd w:val="clear" w:color="auto" w:fill="FFFFFF"/>
        </w:rPr>
        <w:t>(7), pp.491-497.</w:t>
      </w:r>
    </w:p>
    <w:p w14:paraId="5DD0D7CB" w14:textId="77777777" w:rsidR="004B1878" w:rsidRPr="003600D1" w:rsidRDefault="004B1878" w:rsidP="004B1878">
      <w:pPr>
        <w:pStyle w:val="NormalWeb"/>
        <w:numPr>
          <w:ilvl w:val="0"/>
          <w:numId w:val="2"/>
        </w:numPr>
        <w:rPr>
          <w:rFonts w:ascii="Calibri" w:hAnsi="Calibri" w:cs="Calibri"/>
          <w:color w:val="000000"/>
          <w:sz w:val="20"/>
          <w:szCs w:val="20"/>
        </w:rPr>
      </w:pPr>
      <w:r w:rsidRPr="003600D1">
        <w:rPr>
          <w:rFonts w:ascii="Calibri" w:hAnsi="Calibri" w:cs="Calibri"/>
          <w:color w:val="000000"/>
          <w:sz w:val="20"/>
          <w:szCs w:val="20"/>
        </w:rPr>
        <w:t>Sport and Exercise Nutrition Register (</w:t>
      </w:r>
      <w:proofErr w:type="spellStart"/>
      <w:r w:rsidRPr="003600D1">
        <w:rPr>
          <w:rFonts w:ascii="Calibri" w:hAnsi="Calibri" w:cs="Calibri"/>
          <w:color w:val="000000"/>
          <w:sz w:val="20"/>
          <w:szCs w:val="20"/>
        </w:rPr>
        <w:t>SENr</w:t>
      </w:r>
      <w:proofErr w:type="spellEnd"/>
      <w:r w:rsidRPr="003600D1">
        <w:rPr>
          <w:rFonts w:ascii="Calibri" w:hAnsi="Calibri" w:cs="Calibri"/>
          <w:color w:val="000000"/>
          <w:sz w:val="20"/>
          <w:szCs w:val="20"/>
        </w:rPr>
        <w:t xml:space="preserve">). (2022). </w:t>
      </w:r>
      <w:proofErr w:type="spellStart"/>
      <w:r w:rsidRPr="003600D1">
        <w:rPr>
          <w:rFonts w:ascii="Calibri" w:hAnsi="Calibri" w:cs="Calibri"/>
          <w:color w:val="000000"/>
          <w:sz w:val="20"/>
          <w:szCs w:val="20"/>
        </w:rPr>
        <w:t>SENr</w:t>
      </w:r>
      <w:proofErr w:type="spellEnd"/>
      <w:r w:rsidRPr="003600D1">
        <w:rPr>
          <w:rFonts w:ascii="Calibri" w:hAnsi="Calibri" w:cs="Calibri"/>
          <w:color w:val="000000"/>
          <w:sz w:val="20"/>
          <w:szCs w:val="20"/>
        </w:rPr>
        <w:t xml:space="preserve"> survey highlights energy availability concerns among recreational athletes. Retrieved from</w:t>
      </w:r>
      <w:r w:rsidRPr="003600D1">
        <w:rPr>
          <w:rStyle w:val="apple-converted-space"/>
          <w:rFonts w:ascii="Calibri" w:eastAsiaTheme="majorEastAsia" w:hAnsi="Calibri" w:cs="Calibri"/>
          <w:color w:val="000000"/>
          <w:sz w:val="20"/>
          <w:szCs w:val="20"/>
        </w:rPr>
        <w:t> </w:t>
      </w:r>
      <w:hyperlink r:id="rId7" w:history="1">
        <w:r w:rsidRPr="003600D1">
          <w:rPr>
            <w:rStyle w:val="Hyperlink"/>
            <w:rFonts w:ascii="Calibri" w:hAnsi="Calibri" w:cs="Calibri"/>
            <w:sz w:val="20"/>
            <w:szCs w:val="20"/>
          </w:rPr>
          <w:t>https://www.bda.uk.com</w:t>
        </w:r>
      </w:hyperlink>
    </w:p>
    <w:p w14:paraId="2FF3696E" w14:textId="77777777" w:rsidR="004B1878" w:rsidRPr="003600D1" w:rsidRDefault="004B1878" w:rsidP="004B1878">
      <w:pPr>
        <w:pStyle w:val="NormalWeb"/>
        <w:numPr>
          <w:ilvl w:val="0"/>
          <w:numId w:val="2"/>
        </w:numPr>
        <w:rPr>
          <w:rFonts w:ascii="Calibri" w:hAnsi="Calibri" w:cs="Calibri"/>
          <w:color w:val="222222"/>
          <w:sz w:val="20"/>
          <w:szCs w:val="20"/>
          <w:shd w:val="clear" w:color="auto" w:fill="FFFFFF"/>
        </w:rPr>
      </w:pPr>
      <w:r w:rsidRPr="003600D1">
        <w:rPr>
          <w:rFonts w:ascii="Calibri" w:hAnsi="Calibri" w:cs="Calibri"/>
          <w:color w:val="222222"/>
          <w:sz w:val="20"/>
          <w:szCs w:val="20"/>
          <w:shd w:val="clear" w:color="auto" w:fill="FFFFFF"/>
        </w:rPr>
        <w:t>Stellingwerff, T., Morton, J.P. and Burke, L.M., 2019. A framework for periodized nutrition for athletics.</w:t>
      </w:r>
      <w:r w:rsidRPr="003600D1">
        <w:rPr>
          <w:rStyle w:val="apple-converted-space"/>
          <w:rFonts w:ascii="Calibri" w:eastAsiaTheme="majorEastAsia" w:hAnsi="Calibri" w:cs="Calibri"/>
          <w:color w:val="222222"/>
          <w:sz w:val="20"/>
          <w:szCs w:val="20"/>
          <w:shd w:val="clear" w:color="auto" w:fill="FFFFFF"/>
        </w:rPr>
        <w:t> </w:t>
      </w:r>
      <w:r w:rsidRPr="003600D1">
        <w:rPr>
          <w:rFonts w:ascii="Calibri" w:hAnsi="Calibri" w:cs="Calibri"/>
          <w:color w:val="222222"/>
          <w:sz w:val="20"/>
          <w:szCs w:val="20"/>
        </w:rPr>
        <w:t>International Journal of Sport Nutrition and Exercise Metabolism</w:t>
      </w:r>
      <w:r w:rsidRPr="003600D1">
        <w:rPr>
          <w:rFonts w:ascii="Calibri" w:hAnsi="Calibri" w:cs="Calibri"/>
          <w:color w:val="222222"/>
          <w:sz w:val="20"/>
          <w:szCs w:val="20"/>
          <w:shd w:val="clear" w:color="auto" w:fill="FFFFFF"/>
        </w:rPr>
        <w:t>,</w:t>
      </w:r>
      <w:r w:rsidRPr="003600D1">
        <w:rPr>
          <w:rStyle w:val="apple-converted-space"/>
          <w:rFonts w:ascii="Calibri" w:eastAsiaTheme="majorEastAsia" w:hAnsi="Calibri" w:cs="Calibri"/>
          <w:color w:val="222222"/>
          <w:sz w:val="20"/>
          <w:szCs w:val="20"/>
          <w:shd w:val="clear" w:color="auto" w:fill="FFFFFF"/>
        </w:rPr>
        <w:t> </w:t>
      </w:r>
      <w:r w:rsidRPr="003600D1">
        <w:rPr>
          <w:rFonts w:ascii="Calibri" w:hAnsi="Calibri" w:cs="Calibri"/>
          <w:color w:val="222222"/>
          <w:sz w:val="20"/>
          <w:szCs w:val="20"/>
        </w:rPr>
        <w:t>29</w:t>
      </w:r>
      <w:r w:rsidRPr="003600D1">
        <w:rPr>
          <w:rFonts w:ascii="Calibri" w:hAnsi="Calibri" w:cs="Calibri"/>
          <w:color w:val="222222"/>
          <w:sz w:val="20"/>
          <w:szCs w:val="20"/>
          <w:shd w:val="clear" w:color="auto" w:fill="FFFFFF"/>
        </w:rPr>
        <w:t>(2), pp.141-151.</w:t>
      </w:r>
    </w:p>
    <w:p w14:paraId="17D7B790" w14:textId="2DCD1A69" w:rsidR="000577F5" w:rsidRPr="0016284C" w:rsidRDefault="004B1878" w:rsidP="0016284C">
      <w:pPr>
        <w:pStyle w:val="NormalWeb"/>
        <w:numPr>
          <w:ilvl w:val="0"/>
          <w:numId w:val="2"/>
        </w:numPr>
        <w:rPr>
          <w:rFonts w:ascii="Calibri" w:hAnsi="Calibri" w:cs="Calibri"/>
          <w:color w:val="000000"/>
          <w:sz w:val="20"/>
          <w:szCs w:val="20"/>
        </w:rPr>
      </w:pPr>
      <w:r w:rsidRPr="003600D1">
        <w:rPr>
          <w:rFonts w:ascii="Calibri" w:hAnsi="Calibri" w:cs="Calibri"/>
          <w:color w:val="222222"/>
          <w:sz w:val="20"/>
          <w:szCs w:val="20"/>
          <w:shd w:val="clear" w:color="auto" w:fill="FFFFFF"/>
        </w:rPr>
        <w:t>Thomas, D.T., Erdman, K.A. and Burke, L.M., 2016. Position of the Academy of Nutrition and Dietetics, Dietitians of Canada, and the American College of Sports Medicine: nutrition and athletic performance.</w:t>
      </w:r>
      <w:r w:rsidRPr="003600D1">
        <w:rPr>
          <w:rStyle w:val="apple-converted-space"/>
          <w:rFonts w:ascii="Calibri" w:eastAsiaTheme="majorEastAsia" w:hAnsi="Calibri" w:cs="Calibri"/>
          <w:color w:val="222222"/>
          <w:sz w:val="20"/>
          <w:szCs w:val="20"/>
          <w:shd w:val="clear" w:color="auto" w:fill="FFFFFF"/>
        </w:rPr>
        <w:t> </w:t>
      </w:r>
      <w:r w:rsidRPr="003600D1">
        <w:rPr>
          <w:rFonts w:ascii="Calibri" w:hAnsi="Calibri" w:cs="Calibri"/>
          <w:color w:val="222222"/>
          <w:sz w:val="20"/>
          <w:szCs w:val="20"/>
        </w:rPr>
        <w:t>Journal of the Academy of Nutrition and Dietetics</w:t>
      </w:r>
      <w:r w:rsidRPr="003600D1">
        <w:rPr>
          <w:rFonts w:ascii="Calibri" w:hAnsi="Calibri" w:cs="Calibri"/>
          <w:color w:val="222222"/>
          <w:sz w:val="20"/>
          <w:szCs w:val="20"/>
          <w:shd w:val="clear" w:color="auto" w:fill="FFFFFF"/>
        </w:rPr>
        <w:t>,</w:t>
      </w:r>
      <w:r w:rsidRPr="003600D1">
        <w:rPr>
          <w:rStyle w:val="apple-converted-space"/>
          <w:rFonts w:ascii="Calibri" w:eastAsiaTheme="majorEastAsia" w:hAnsi="Calibri" w:cs="Calibri"/>
          <w:color w:val="222222"/>
          <w:sz w:val="20"/>
          <w:szCs w:val="20"/>
          <w:shd w:val="clear" w:color="auto" w:fill="FFFFFF"/>
        </w:rPr>
        <w:t> </w:t>
      </w:r>
      <w:r w:rsidRPr="003600D1">
        <w:rPr>
          <w:rFonts w:ascii="Calibri" w:hAnsi="Calibri" w:cs="Calibri"/>
          <w:color w:val="222222"/>
          <w:sz w:val="20"/>
          <w:szCs w:val="20"/>
        </w:rPr>
        <w:t>116</w:t>
      </w:r>
      <w:r w:rsidRPr="003600D1">
        <w:rPr>
          <w:rFonts w:ascii="Calibri" w:hAnsi="Calibri" w:cs="Calibri"/>
          <w:color w:val="222222"/>
          <w:sz w:val="20"/>
          <w:szCs w:val="20"/>
          <w:shd w:val="clear" w:color="auto" w:fill="FFFFFF"/>
        </w:rPr>
        <w:t>(3), pp.501-528</w:t>
      </w:r>
    </w:p>
    <w:sectPr w:rsidR="000577F5" w:rsidRPr="0016284C" w:rsidSect="00B30A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D0CDA"/>
    <w:multiLevelType w:val="hybridMultilevel"/>
    <w:tmpl w:val="6FA0D26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B3071B"/>
    <w:multiLevelType w:val="hybridMultilevel"/>
    <w:tmpl w:val="974E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680658">
    <w:abstractNumId w:val="0"/>
  </w:num>
  <w:num w:numId="2" w16cid:durableId="1813477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F5"/>
    <w:rsid w:val="00012531"/>
    <w:rsid w:val="000577F5"/>
    <w:rsid w:val="0016284C"/>
    <w:rsid w:val="00196FDD"/>
    <w:rsid w:val="003600D1"/>
    <w:rsid w:val="003D5C31"/>
    <w:rsid w:val="00456C94"/>
    <w:rsid w:val="004B1878"/>
    <w:rsid w:val="004C2037"/>
    <w:rsid w:val="00774ABC"/>
    <w:rsid w:val="008658F4"/>
    <w:rsid w:val="008F30DE"/>
    <w:rsid w:val="00B30AC1"/>
    <w:rsid w:val="00DA12F8"/>
    <w:rsid w:val="00E61519"/>
    <w:rsid w:val="00F87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80C5F2"/>
  <w15:chartTrackingRefBased/>
  <w15:docId w15:val="{5373008D-EBEE-F644-AE80-A9F647ABF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F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57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57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057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F5"/>
    <w:rPr>
      <w:rFonts w:eastAsiaTheme="majorEastAsia" w:cstheme="majorBidi"/>
      <w:color w:val="272727" w:themeColor="text1" w:themeTint="D8"/>
    </w:rPr>
  </w:style>
  <w:style w:type="paragraph" w:styleId="Title">
    <w:name w:val="Title"/>
    <w:basedOn w:val="Normal"/>
    <w:next w:val="Normal"/>
    <w:link w:val="TitleChar"/>
    <w:uiPriority w:val="10"/>
    <w:qFormat/>
    <w:rsid w:val="000577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F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77F5"/>
    <w:rPr>
      <w:i/>
      <w:iCs/>
      <w:color w:val="404040" w:themeColor="text1" w:themeTint="BF"/>
    </w:rPr>
  </w:style>
  <w:style w:type="paragraph" w:styleId="ListParagraph">
    <w:name w:val="List Paragraph"/>
    <w:basedOn w:val="Normal"/>
    <w:uiPriority w:val="34"/>
    <w:qFormat/>
    <w:rsid w:val="000577F5"/>
    <w:pPr>
      <w:ind w:left="720"/>
      <w:contextualSpacing/>
    </w:pPr>
  </w:style>
  <w:style w:type="character" w:styleId="IntenseEmphasis">
    <w:name w:val="Intense Emphasis"/>
    <w:basedOn w:val="DefaultParagraphFont"/>
    <w:uiPriority w:val="21"/>
    <w:qFormat/>
    <w:rsid w:val="000577F5"/>
    <w:rPr>
      <w:i/>
      <w:iCs/>
      <w:color w:val="0F4761" w:themeColor="accent1" w:themeShade="BF"/>
    </w:rPr>
  </w:style>
  <w:style w:type="paragraph" w:styleId="IntenseQuote">
    <w:name w:val="Intense Quote"/>
    <w:basedOn w:val="Normal"/>
    <w:next w:val="Normal"/>
    <w:link w:val="IntenseQuoteChar"/>
    <w:uiPriority w:val="30"/>
    <w:qFormat/>
    <w:rsid w:val="00057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F5"/>
    <w:rPr>
      <w:i/>
      <w:iCs/>
      <w:color w:val="0F4761" w:themeColor="accent1" w:themeShade="BF"/>
    </w:rPr>
  </w:style>
  <w:style w:type="character" w:styleId="IntenseReference">
    <w:name w:val="Intense Reference"/>
    <w:basedOn w:val="DefaultParagraphFont"/>
    <w:uiPriority w:val="32"/>
    <w:qFormat/>
    <w:rsid w:val="000577F5"/>
    <w:rPr>
      <w:b/>
      <w:bCs/>
      <w:smallCaps/>
      <w:color w:val="0F4761" w:themeColor="accent1" w:themeShade="BF"/>
      <w:spacing w:val="5"/>
    </w:rPr>
  </w:style>
  <w:style w:type="paragraph" w:styleId="Header">
    <w:name w:val="header"/>
    <w:basedOn w:val="Normal"/>
    <w:link w:val="HeaderChar"/>
    <w:rsid w:val="000577F5"/>
    <w:pPr>
      <w:tabs>
        <w:tab w:val="center" w:pos="4153"/>
        <w:tab w:val="right" w:pos="8306"/>
      </w:tabs>
    </w:pPr>
  </w:style>
  <w:style w:type="character" w:customStyle="1" w:styleId="HeaderChar">
    <w:name w:val="Header Char"/>
    <w:basedOn w:val="DefaultParagraphFont"/>
    <w:link w:val="Header"/>
    <w:rsid w:val="000577F5"/>
    <w:rPr>
      <w:rFonts w:ascii="Times New Roman" w:eastAsia="Times New Roman" w:hAnsi="Times New Roman" w:cs="Times New Roman"/>
      <w:sz w:val="20"/>
      <w:szCs w:val="20"/>
      <w:lang w:eastAsia="en-GB"/>
    </w:rPr>
  </w:style>
  <w:style w:type="paragraph" w:customStyle="1" w:styleId="paragraph">
    <w:name w:val="paragraph"/>
    <w:basedOn w:val="Normal"/>
    <w:rsid w:val="000577F5"/>
    <w:pPr>
      <w:spacing w:before="100" w:beforeAutospacing="1" w:after="100" w:afterAutospacing="1"/>
    </w:pPr>
    <w:rPr>
      <w:sz w:val="24"/>
      <w:szCs w:val="24"/>
      <w:lang w:eastAsia="en-US"/>
    </w:rPr>
  </w:style>
  <w:style w:type="character" w:customStyle="1" w:styleId="normaltextrun">
    <w:name w:val="normaltextrun"/>
    <w:basedOn w:val="DefaultParagraphFont"/>
    <w:rsid w:val="000577F5"/>
  </w:style>
  <w:style w:type="character" w:customStyle="1" w:styleId="eop">
    <w:name w:val="eop"/>
    <w:basedOn w:val="DefaultParagraphFont"/>
    <w:rsid w:val="000577F5"/>
  </w:style>
  <w:style w:type="character" w:customStyle="1" w:styleId="apple-converted-space">
    <w:name w:val="apple-converted-space"/>
    <w:basedOn w:val="DefaultParagraphFont"/>
    <w:rsid w:val="000577F5"/>
  </w:style>
  <w:style w:type="character" w:styleId="Strong">
    <w:name w:val="Strong"/>
    <w:basedOn w:val="DefaultParagraphFont"/>
    <w:uiPriority w:val="22"/>
    <w:qFormat/>
    <w:rsid w:val="000577F5"/>
    <w:rPr>
      <w:b/>
      <w:bCs/>
    </w:rPr>
  </w:style>
  <w:style w:type="paragraph" w:styleId="NormalWeb">
    <w:name w:val="Normal (Web)"/>
    <w:basedOn w:val="Normal"/>
    <w:uiPriority w:val="99"/>
    <w:unhideWhenUsed/>
    <w:rsid w:val="00F87F4B"/>
    <w:pPr>
      <w:spacing w:before="100" w:beforeAutospacing="1" w:after="100" w:afterAutospacing="1"/>
    </w:pPr>
    <w:rPr>
      <w:sz w:val="24"/>
      <w:szCs w:val="24"/>
    </w:rPr>
  </w:style>
  <w:style w:type="character" w:styleId="Hyperlink">
    <w:name w:val="Hyperlink"/>
    <w:basedOn w:val="DefaultParagraphFont"/>
    <w:uiPriority w:val="99"/>
    <w:unhideWhenUsed/>
    <w:rsid w:val="004B1878"/>
    <w:rPr>
      <w:color w:val="467886" w:themeColor="hyperlink"/>
      <w:u w:val="single"/>
    </w:rPr>
  </w:style>
  <w:style w:type="character" w:styleId="UnresolvedMention">
    <w:name w:val="Unresolved Mention"/>
    <w:basedOn w:val="DefaultParagraphFont"/>
    <w:uiPriority w:val="99"/>
    <w:semiHidden/>
    <w:unhideWhenUsed/>
    <w:rsid w:val="004B1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7945763">
      <w:bodyDiv w:val="1"/>
      <w:marLeft w:val="0"/>
      <w:marRight w:val="0"/>
      <w:marTop w:val="0"/>
      <w:marBottom w:val="0"/>
      <w:divBdr>
        <w:top w:val="none" w:sz="0" w:space="0" w:color="auto"/>
        <w:left w:val="none" w:sz="0" w:space="0" w:color="auto"/>
        <w:bottom w:val="none" w:sz="0" w:space="0" w:color="auto"/>
        <w:right w:val="none" w:sz="0" w:space="0" w:color="auto"/>
      </w:divBdr>
    </w:div>
    <w:div w:id="909924455">
      <w:bodyDiv w:val="1"/>
      <w:marLeft w:val="0"/>
      <w:marRight w:val="0"/>
      <w:marTop w:val="0"/>
      <w:marBottom w:val="0"/>
      <w:divBdr>
        <w:top w:val="none" w:sz="0" w:space="0" w:color="auto"/>
        <w:left w:val="none" w:sz="0" w:space="0" w:color="auto"/>
        <w:bottom w:val="none" w:sz="0" w:space="0" w:color="auto"/>
        <w:right w:val="none" w:sz="0" w:space="0" w:color="auto"/>
      </w:divBdr>
    </w:div>
    <w:div w:id="1118261178">
      <w:bodyDiv w:val="1"/>
      <w:marLeft w:val="0"/>
      <w:marRight w:val="0"/>
      <w:marTop w:val="0"/>
      <w:marBottom w:val="0"/>
      <w:divBdr>
        <w:top w:val="none" w:sz="0" w:space="0" w:color="auto"/>
        <w:left w:val="none" w:sz="0" w:space="0" w:color="auto"/>
        <w:bottom w:val="none" w:sz="0" w:space="0" w:color="auto"/>
        <w:right w:val="none" w:sz="0" w:space="0" w:color="auto"/>
      </w:divBdr>
    </w:div>
    <w:div w:id="1177815799">
      <w:bodyDiv w:val="1"/>
      <w:marLeft w:val="0"/>
      <w:marRight w:val="0"/>
      <w:marTop w:val="0"/>
      <w:marBottom w:val="0"/>
      <w:divBdr>
        <w:top w:val="none" w:sz="0" w:space="0" w:color="auto"/>
        <w:left w:val="none" w:sz="0" w:space="0" w:color="auto"/>
        <w:bottom w:val="none" w:sz="0" w:space="0" w:color="auto"/>
        <w:right w:val="none" w:sz="0" w:space="0" w:color="auto"/>
      </w:divBdr>
    </w:div>
    <w:div w:id="1328629626">
      <w:bodyDiv w:val="1"/>
      <w:marLeft w:val="0"/>
      <w:marRight w:val="0"/>
      <w:marTop w:val="0"/>
      <w:marBottom w:val="0"/>
      <w:divBdr>
        <w:top w:val="none" w:sz="0" w:space="0" w:color="auto"/>
        <w:left w:val="none" w:sz="0" w:space="0" w:color="auto"/>
        <w:bottom w:val="none" w:sz="0" w:space="0" w:color="auto"/>
        <w:right w:val="none" w:sz="0" w:space="0" w:color="auto"/>
      </w:divBdr>
    </w:div>
    <w:div w:id="1536888979">
      <w:bodyDiv w:val="1"/>
      <w:marLeft w:val="0"/>
      <w:marRight w:val="0"/>
      <w:marTop w:val="0"/>
      <w:marBottom w:val="0"/>
      <w:divBdr>
        <w:top w:val="none" w:sz="0" w:space="0" w:color="auto"/>
        <w:left w:val="none" w:sz="0" w:space="0" w:color="auto"/>
        <w:bottom w:val="none" w:sz="0" w:space="0" w:color="auto"/>
        <w:right w:val="none" w:sz="0" w:space="0" w:color="auto"/>
      </w:divBdr>
    </w:div>
    <w:div w:id="1735659640">
      <w:bodyDiv w:val="1"/>
      <w:marLeft w:val="0"/>
      <w:marRight w:val="0"/>
      <w:marTop w:val="0"/>
      <w:marBottom w:val="0"/>
      <w:divBdr>
        <w:top w:val="none" w:sz="0" w:space="0" w:color="auto"/>
        <w:left w:val="none" w:sz="0" w:space="0" w:color="auto"/>
        <w:bottom w:val="none" w:sz="0" w:space="0" w:color="auto"/>
        <w:right w:val="none" w:sz="0" w:space="0" w:color="auto"/>
      </w:divBdr>
    </w:div>
    <w:div w:id="177585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da.u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9</Pages>
  <Words>3232</Words>
  <Characters>18424</Characters>
  <Application>Microsoft Office Word</Application>
  <DocSecurity>0</DocSecurity>
  <Lines>153</Lines>
  <Paragraphs>43</Paragraphs>
  <ScaleCrop>false</ScaleCrop>
  <Company/>
  <LinksUpToDate>false</LinksUpToDate>
  <CharactersWithSpaces>21613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Goble (2304524)</dc:creator>
  <cp:keywords/>
  <dc:description/>
  <cp:lastModifiedBy>Oliver Goble (2304524)</cp:lastModifiedBy>
  <cp:revision>7</cp:revision>
  <dcterms:created xsi:type="dcterms:W3CDTF">2025-04-21T13:00:00Z</dcterms:created>
  <dcterms:modified xsi:type="dcterms:W3CDTF">2025-05-09T19:41:00Z</dcterms:modified>
</cp:coreProperties>
</file>