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3508D" w:rsidRPr="00416B5F" w:rsidRDefault="00416B5F" w:rsidP="00416B5F">
      <w:pPr>
        <w:pStyle w:val="Heading1"/>
        <w:spacing w:line="360" w:lineRule="auto"/>
        <w:rPr>
          <w:rFonts w:ascii="Arial" w:hAnsi="Arial" w:cs="Arial"/>
          <w:b/>
          <w:color w:val="auto"/>
        </w:rPr>
      </w:pPr>
      <w:r w:rsidRPr="00416B5F">
        <w:rPr>
          <w:rFonts w:ascii="Arial" w:hAnsi="Arial" w:cs="Arial"/>
          <w:b/>
          <w:color w:val="auto"/>
        </w:rPr>
        <w:t>Hybrid Work</w:t>
      </w:r>
    </w:p>
    <w:p w:rsidR="0023508D" w:rsidRPr="00416B5F" w:rsidRDefault="00B10CE5" w:rsidP="00416B5F">
      <w:pPr>
        <w:autoSpaceDE w:val="0"/>
        <w:autoSpaceDN w:val="0"/>
        <w:adjustRightInd w:val="0"/>
        <w:spacing w:after="0" w:line="360" w:lineRule="auto"/>
        <w:jc w:val="both"/>
        <w:rPr>
          <w:rFonts w:ascii="Arial" w:hAnsi="Arial" w:cs="Arial"/>
          <w:kern w:val="24"/>
          <w:sz w:val="24"/>
          <w:szCs w:val="24"/>
        </w:rPr>
      </w:pPr>
      <w:r w:rsidRPr="00416B5F">
        <w:rPr>
          <w:rFonts w:ascii="Arial" w:hAnsi="Arial" w:cs="Arial"/>
          <w:kern w:val="24"/>
          <w:sz w:val="24"/>
          <w:szCs w:val="24"/>
        </w:rPr>
        <w:t xml:space="preserve">The prevalence of hybrid work arrangements, which integrate both office-based and remote </w:t>
      </w:r>
      <w:proofErr w:type="spellStart"/>
      <w:r w:rsidRPr="00416B5F">
        <w:rPr>
          <w:rFonts w:ascii="Arial" w:hAnsi="Arial" w:cs="Arial"/>
          <w:kern w:val="24"/>
          <w:sz w:val="24"/>
          <w:szCs w:val="24"/>
        </w:rPr>
        <w:t>labour</w:t>
      </w:r>
      <w:proofErr w:type="spellEnd"/>
      <w:r w:rsidRPr="00416B5F">
        <w:rPr>
          <w:rFonts w:ascii="Arial" w:hAnsi="Arial" w:cs="Arial"/>
          <w:kern w:val="24"/>
          <w:sz w:val="24"/>
          <w:szCs w:val="24"/>
        </w:rPr>
        <w:t xml:space="preserve">, is increasing. According to </w:t>
      </w:r>
      <w:proofErr w:type="spellStart"/>
      <w:r w:rsidRPr="00416B5F">
        <w:rPr>
          <w:rFonts w:ascii="Arial" w:hAnsi="Arial" w:cs="Arial"/>
          <w:kern w:val="24"/>
          <w:sz w:val="24"/>
          <w:szCs w:val="24"/>
        </w:rPr>
        <w:t>Sampat</w:t>
      </w:r>
      <w:proofErr w:type="spellEnd"/>
      <w:r w:rsidRPr="00416B5F">
        <w:rPr>
          <w:rFonts w:ascii="Arial" w:hAnsi="Arial" w:cs="Arial"/>
          <w:kern w:val="24"/>
          <w:sz w:val="24"/>
          <w:szCs w:val="24"/>
        </w:rPr>
        <w:t xml:space="preserve"> et al. (2022), these approaches facilitate team goal attainment through the promotion of adaptation, constructive digital communication, and work-life balance. </w:t>
      </w:r>
      <w:r w:rsidR="00593358" w:rsidRPr="00416B5F">
        <w:rPr>
          <w:rFonts w:ascii="Arial" w:hAnsi="Arial" w:cs="Arial"/>
          <w:kern w:val="24"/>
          <w:sz w:val="24"/>
          <w:szCs w:val="24"/>
        </w:rPr>
        <w:t xml:space="preserve">This study </w:t>
      </w:r>
      <w:proofErr w:type="spellStart"/>
      <w:r w:rsidR="00593358" w:rsidRPr="00416B5F">
        <w:rPr>
          <w:rFonts w:ascii="Arial" w:hAnsi="Arial" w:cs="Arial"/>
          <w:kern w:val="24"/>
          <w:sz w:val="24"/>
          <w:szCs w:val="24"/>
        </w:rPr>
        <w:t>optimises</w:t>
      </w:r>
      <w:proofErr w:type="spellEnd"/>
      <w:r w:rsidR="00593358" w:rsidRPr="00416B5F">
        <w:rPr>
          <w:rFonts w:ascii="Arial" w:hAnsi="Arial" w:cs="Arial"/>
          <w:kern w:val="24"/>
          <w:sz w:val="24"/>
          <w:szCs w:val="24"/>
        </w:rPr>
        <w:t xml:space="preserve"> composite workplace team cooperation using Tuckman's group development and Belbin's team roles. Tuckman divides team evolution into five phases. Includes forming, surging, norming, acting, and adjourning. Administrators and team leaders can better understand their team's processes by following this strategy. Aquino et al. (2022) claim Tuckman's approaches may help abnormal and tangible team members</w:t>
      </w:r>
      <w:r w:rsidRPr="00416B5F">
        <w:rPr>
          <w:rFonts w:ascii="Arial" w:hAnsi="Arial" w:cs="Arial"/>
          <w:kern w:val="24"/>
          <w:sz w:val="24"/>
          <w:szCs w:val="24"/>
        </w:rPr>
        <w:t xml:space="preserve">. The concept proposed by Belbin is critical to team performance, particularly in the context of learning. Innovation and teamwork are enhanced when all members are knowledgeable and competent in their respective roles. Assert and Bittner (2020) present and assess concepts that have been developed for the hybrid work paradigm. The following concepts are also discussed and evaluated. Their unique ideas revolve around technologically advanced instruments that facilitate collaboration, enable candid discussions, and establish clear responsibilities. These are crucial for the success of mixed-work paradigm </w:t>
      </w:r>
      <w:proofErr w:type="spellStart"/>
      <w:r w:rsidRPr="00416B5F">
        <w:rPr>
          <w:rFonts w:ascii="Arial" w:hAnsi="Arial" w:cs="Arial"/>
          <w:kern w:val="24"/>
          <w:sz w:val="24"/>
          <w:szCs w:val="24"/>
        </w:rPr>
        <w:t>organisations</w:t>
      </w:r>
      <w:proofErr w:type="spellEnd"/>
      <w:r w:rsidR="0023508D" w:rsidRPr="00416B5F">
        <w:rPr>
          <w:rFonts w:ascii="Arial" w:hAnsi="Arial" w:cs="Arial"/>
          <w:kern w:val="24"/>
          <w:sz w:val="24"/>
          <w:szCs w:val="24"/>
        </w:rPr>
        <w:t>.</w:t>
      </w:r>
    </w:p>
    <w:p w:rsidR="0023508D" w:rsidRPr="00416B5F" w:rsidRDefault="00416B5F" w:rsidP="00416B5F">
      <w:pPr>
        <w:pStyle w:val="Heading1"/>
        <w:spacing w:line="360" w:lineRule="auto"/>
        <w:rPr>
          <w:rFonts w:ascii="Arial" w:hAnsi="Arial" w:cs="Arial"/>
          <w:b/>
          <w:color w:val="auto"/>
        </w:rPr>
      </w:pPr>
      <w:r w:rsidRPr="00416B5F">
        <w:rPr>
          <w:rFonts w:ascii="Arial" w:hAnsi="Arial" w:cs="Arial"/>
          <w:b/>
          <w:color w:val="auto"/>
        </w:rPr>
        <w:t>Building High Performance Team</w:t>
      </w:r>
    </w:p>
    <w:p w:rsidR="0023508D" w:rsidRPr="00416B5F" w:rsidRDefault="00E9158F" w:rsidP="00416B5F">
      <w:pPr>
        <w:autoSpaceDE w:val="0"/>
        <w:autoSpaceDN w:val="0"/>
        <w:adjustRightInd w:val="0"/>
        <w:spacing w:after="0" w:line="360" w:lineRule="auto"/>
        <w:jc w:val="both"/>
        <w:rPr>
          <w:rFonts w:ascii="Arial" w:hAnsi="Arial" w:cs="Arial"/>
          <w:sz w:val="24"/>
          <w:szCs w:val="24"/>
        </w:rPr>
      </w:pPr>
      <w:r w:rsidRPr="00416B5F">
        <w:rPr>
          <w:rFonts w:ascii="Arial" w:hAnsi="Arial" w:cs="Arial"/>
          <w:kern w:val="24"/>
          <w:sz w:val="24"/>
          <w:szCs w:val="24"/>
        </w:rPr>
        <w:t xml:space="preserve">Team dynamics and workflow efficiency may be enhanced in remote or hybrid work situations by </w:t>
      </w:r>
      <w:proofErr w:type="spellStart"/>
      <w:r w:rsidRPr="00416B5F">
        <w:rPr>
          <w:rFonts w:ascii="Arial" w:hAnsi="Arial" w:cs="Arial"/>
          <w:kern w:val="24"/>
          <w:sz w:val="24"/>
          <w:szCs w:val="24"/>
        </w:rPr>
        <w:t>utilising</w:t>
      </w:r>
      <w:proofErr w:type="spellEnd"/>
      <w:r w:rsidRPr="00416B5F">
        <w:rPr>
          <w:rFonts w:ascii="Arial" w:hAnsi="Arial" w:cs="Arial"/>
          <w:kern w:val="24"/>
          <w:sz w:val="24"/>
          <w:szCs w:val="24"/>
        </w:rPr>
        <w:t xml:space="preserve"> Tuckman's phases of group growth and Belbin's team roles. Teams must go through the Norming and Storming phases according to Tuckman's theory before they can achieve closure and peak performance (Richter et al., 2021). The paradigm ends with Adjourning; it starts with Forming</w:t>
      </w:r>
      <w:r w:rsidR="00671CAB" w:rsidRPr="00416B5F">
        <w:rPr>
          <w:rFonts w:ascii="Arial" w:hAnsi="Arial" w:cs="Arial"/>
          <w:kern w:val="24"/>
          <w:sz w:val="24"/>
          <w:szCs w:val="24"/>
        </w:rPr>
        <w:t xml:space="preserve">. This is essential for team success. Belbin's technique suggests that distributing team positions like implementers, influencers, and specialists improves team relations. Flores </w:t>
      </w:r>
      <w:proofErr w:type="spellStart"/>
      <w:r w:rsidR="00671CAB" w:rsidRPr="00416B5F">
        <w:rPr>
          <w:rFonts w:ascii="Arial" w:hAnsi="Arial" w:cs="Arial"/>
          <w:kern w:val="24"/>
          <w:sz w:val="24"/>
          <w:szCs w:val="24"/>
        </w:rPr>
        <w:t>Ureba</w:t>
      </w:r>
      <w:proofErr w:type="spellEnd"/>
      <w:r w:rsidR="00671CAB" w:rsidRPr="00416B5F">
        <w:rPr>
          <w:rFonts w:ascii="Arial" w:hAnsi="Arial" w:cs="Arial"/>
          <w:kern w:val="24"/>
          <w:sz w:val="24"/>
          <w:szCs w:val="24"/>
        </w:rPr>
        <w:t xml:space="preserve"> and colleagues (2022) say this method boosts </w:t>
      </w:r>
      <w:proofErr w:type="spellStart"/>
      <w:r w:rsidR="00671CAB" w:rsidRPr="00416B5F">
        <w:rPr>
          <w:rFonts w:ascii="Arial" w:hAnsi="Arial" w:cs="Arial"/>
          <w:kern w:val="24"/>
          <w:sz w:val="24"/>
          <w:szCs w:val="24"/>
        </w:rPr>
        <w:t>organisation</w:t>
      </w:r>
      <w:proofErr w:type="spellEnd"/>
      <w:r w:rsidR="00671CAB" w:rsidRPr="00416B5F">
        <w:rPr>
          <w:rFonts w:ascii="Arial" w:hAnsi="Arial" w:cs="Arial"/>
          <w:kern w:val="24"/>
          <w:sz w:val="24"/>
          <w:szCs w:val="24"/>
        </w:rPr>
        <w:t xml:space="preserve"> efficiency and competency. O'Brien (2019) states that hybrid teams can improve communication, trust-building, and adaptability by combining real and virtual work locations. Teams should understand Tuckman and Belbin's hybrid work </w:t>
      </w:r>
      <w:r w:rsidR="00671CAB" w:rsidRPr="00416B5F">
        <w:rPr>
          <w:rFonts w:ascii="Arial" w:hAnsi="Arial" w:cs="Arial"/>
          <w:kern w:val="24"/>
          <w:sz w:val="24"/>
          <w:szCs w:val="24"/>
        </w:rPr>
        <w:lastRenderedPageBreak/>
        <w:t>management ideas, according to O'Brien (2019). This understanding simplifies conflict resolution, group formation, and performance improvement</w:t>
      </w:r>
      <w:r w:rsidR="0023508D" w:rsidRPr="00416B5F">
        <w:rPr>
          <w:rFonts w:ascii="Arial" w:hAnsi="Arial" w:cs="Arial"/>
          <w:kern w:val="24"/>
          <w:sz w:val="24"/>
          <w:szCs w:val="24"/>
        </w:rPr>
        <w:t xml:space="preserve">. </w:t>
      </w:r>
    </w:p>
    <w:p w:rsidR="0023508D" w:rsidRPr="00416B5F" w:rsidRDefault="00416B5F" w:rsidP="00416B5F">
      <w:pPr>
        <w:pStyle w:val="Heading1"/>
        <w:spacing w:line="360" w:lineRule="auto"/>
        <w:rPr>
          <w:rFonts w:ascii="Arial" w:hAnsi="Arial" w:cs="Arial"/>
          <w:b/>
          <w:color w:val="auto"/>
          <w:sz w:val="24"/>
          <w:szCs w:val="24"/>
        </w:rPr>
      </w:pPr>
      <w:r w:rsidRPr="00416B5F">
        <w:rPr>
          <w:rFonts w:ascii="Arial" w:hAnsi="Arial" w:cs="Arial"/>
          <w:b/>
          <w:color w:val="auto"/>
          <w:sz w:val="24"/>
          <w:szCs w:val="24"/>
        </w:rPr>
        <w:t>Effective Teamwork Building Blocks</w:t>
      </w:r>
    </w:p>
    <w:p w:rsidR="0023508D" w:rsidRPr="00416B5F" w:rsidRDefault="00671CAB" w:rsidP="00416B5F">
      <w:pPr>
        <w:autoSpaceDE w:val="0"/>
        <w:autoSpaceDN w:val="0"/>
        <w:adjustRightInd w:val="0"/>
        <w:spacing w:after="0" w:line="360" w:lineRule="auto"/>
        <w:jc w:val="both"/>
        <w:rPr>
          <w:rFonts w:ascii="Arial" w:hAnsi="Arial" w:cs="Arial"/>
          <w:kern w:val="24"/>
          <w:sz w:val="24"/>
          <w:szCs w:val="24"/>
        </w:rPr>
      </w:pPr>
      <w:r w:rsidRPr="00416B5F">
        <w:rPr>
          <w:rFonts w:ascii="Arial" w:hAnsi="Arial" w:cs="Arial"/>
          <w:kern w:val="24"/>
          <w:sz w:val="24"/>
          <w:szCs w:val="24"/>
        </w:rPr>
        <w:t xml:space="preserve">Many believe that hybrid work settings, which allow employees to work from home or in the office, promote employee engagement, teamwork, and compassion. </w:t>
      </w:r>
      <w:proofErr w:type="spellStart"/>
      <w:r w:rsidRPr="00416B5F">
        <w:rPr>
          <w:rFonts w:ascii="Arial" w:hAnsi="Arial" w:cs="Arial"/>
          <w:kern w:val="24"/>
          <w:sz w:val="24"/>
          <w:szCs w:val="24"/>
        </w:rPr>
        <w:t>Kuczmarski</w:t>
      </w:r>
      <w:proofErr w:type="spellEnd"/>
      <w:r w:rsidRPr="00416B5F">
        <w:rPr>
          <w:rFonts w:ascii="Arial" w:hAnsi="Arial" w:cs="Arial"/>
          <w:kern w:val="24"/>
          <w:sz w:val="24"/>
          <w:szCs w:val="24"/>
        </w:rPr>
        <w:t xml:space="preserve"> and </w:t>
      </w:r>
      <w:proofErr w:type="spellStart"/>
      <w:r w:rsidRPr="00416B5F">
        <w:rPr>
          <w:rFonts w:ascii="Arial" w:hAnsi="Arial" w:cs="Arial"/>
          <w:kern w:val="24"/>
          <w:sz w:val="24"/>
          <w:szCs w:val="24"/>
        </w:rPr>
        <w:t>Kuczmarski</w:t>
      </w:r>
      <w:proofErr w:type="spellEnd"/>
      <w:r w:rsidRPr="00416B5F">
        <w:rPr>
          <w:rFonts w:ascii="Arial" w:hAnsi="Arial" w:cs="Arial"/>
          <w:kern w:val="24"/>
          <w:sz w:val="24"/>
          <w:szCs w:val="24"/>
        </w:rPr>
        <w:t xml:space="preserve"> (2018) suggest "online applause," a mechanism that lets friends publicly applaud each other, works. This online strategy improves employee involvement and morale, making the workplace healthier. Better electronic communication technologies can also strengthen hybrid work relationships. The team may collaborate from anywhere. Try Belbin's "reciprocal team obligations." Balanced task distribution boosts output, teamwork, and happiness. According to Flores </w:t>
      </w:r>
      <w:proofErr w:type="spellStart"/>
      <w:r w:rsidRPr="00416B5F">
        <w:rPr>
          <w:rFonts w:ascii="Arial" w:hAnsi="Arial" w:cs="Arial"/>
          <w:kern w:val="24"/>
          <w:sz w:val="24"/>
          <w:szCs w:val="24"/>
        </w:rPr>
        <w:t>Ureba</w:t>
      </w:r>
      <w:proofErr w:type="spellEnd"/>
      <w:r w:rsidRPr="00416B5F">
        <w:rPr>
          <w:rFonts w:ascii="Arial" w:hAnsi="Arial" w:cs="Arial"/>
          <w:kern w:val="24"/>
          <w:sz w:val="24"/>
          <w:szCs w:val="24"/>
        </w:rPr>
        <w:t xml:space="preserve"> et al. (2022), overseers and implementers enable hybrid teams split tasks and meet monthly online. This structured strategy keeps team members linked and focused, speeding up project output and completion. </w:t>
      </w:r>
      <w:proofErr w:type="spellStart"/>
      <w:r w:rsidRPr="00416B5F">
        <w:rPr>
          <w:rFonts w:ascii="Arial" w:hAnsi="Arial" w:cs="Arial"/>
          <w:kern w:val="24"/>
          <w:sz w:val="24"/>
          <w:szCs w:val="24"/>
        </w:rPr>
        <w:t>Kahlow</w:t>
      </w:r>
      <w:proofErr w:type="spellEnd"/>
      <w:r w:rsidRPr="00416B5F">
        <w:rPr>
          <w:rFonts w:ascii="Arial" w:hAnsi="Arial" w:cs="Arial"/>
          <w:kern w:val="24"/>
          <w:sz w:val="24"/>
          <w:szCs w:val="24"/>
        </w:rPr>
        <w:t xml:space="preserve"> et al. (2020) </w:t>
      </w:r>
      <w:proofErr w:type="spellStart"/>
      <w:r w:rsidRPr="00416B5F">
        <w:rPr>
          <w:rFonts w:ascii="Arial" w:hAnsi="Arial" w:cs="Arial"/>
          <w:kern w:val="24"/>
          <w:sz w:val="24"/>
          <w:szCs w:val="24"/>
        </w:rPr>
        <w:t>emphasise</w:t>
      </w:r>
      <w:proofErr w:type="spellEnd"/>
      <w:r w:rsidRPr="00416B5F">
        <w:rPr>
          <w:rFonts w:ascii="Arial" w:hAnsi="Arial" w:cs="Arial"/>
          <w:kern w:val="24"/>
          <w:sz w:val="24"/>
          <w:szCs w:val="24"/>
        </w:rPr>
        <w:t xml:space="preserve"> task sharing and digital problem-solving in hybrid work situations. Hybrid models must be flexible, accountable, honest about task distribution, have strong leadership, and hold regular virtual meetings to discuss problems to thrive and keep team members satisfied. To succeed in mixed work, reward people, let them participate freely, and collaborate. Hybrid approaches can improve workplace productivity and employee satisfaction</w:t>
      </w:r>
      <w:r w:rsidR="0023508D" w:rsidRPr="00416B5F">
        <w:rPr>
          <w:rFonts w:ascii="Arial" w:hAnsi="Arial" w:cs="Arial"/>
          <w:kern w:val="24"/>
          <w:sz w:val="24"/>
          <w:szCs w:val="24"/>
        </w:rPr>
        <w:t>.</w:t>
      </w:r>
    </w:p>
    <w:p w:rsidR="0023508D" w:rsidRPr="00416B5F" w:rsidRDefault="00416B5F" w:rsidP="00416B5F">
      <w:pPr>
        <w:pStyle w:val="Heading1"/>
        <w:spacing w:line="360" w:lineRule="auto"/>
        <w:rPr>
          <w:rFonts w:ascii="Arial" w:hAnsi="Arial" w:cs="Arial"/>
          <w:b/>
          <w:color w:val="auto"/>
          <w:sz w:val="24"/>
          <w:szCs w:val="24"/>
        </w:rPr>
      </w:pPr>
      <w:r w:rsidRPr="00416B5F">
        <w:rPr>
          <w:rFonts w:ascii="Arial" w:hAnsi="Arial" w:cs="Arial"/>
          <w:b/>
          <w:color w:val="auto"/>
          <w:sz w:val="24"/>
          <w:szCs w:val="24"/>
        </w:rPr>
        <w:t>Hybrid Workplace Leadership Strategies</w:t>
      </w:r>
    </w:p>
    <w:p w:rsidR="0023508D" w:rsidRPr="00416B5F" w:rsidRDefault="0023508D" w:rsidP="00416B5F">
      <w:pPr>
        <w:autoSpaceDE w:val="0"/>
        <w:autoSpaceDN w:val="0"/>
        <w:adjustRightInd w:val="0"/>
        <w:spacing w:after="0" w:line="360" w:lineRule="auto"/>
        <w:jc w:val="both"/>
        <w:rPr>
          <w:rFonts w:ascii="Arial" w:hAnsi="Arial" w:cs="Arial"/>
          <w:sz w:val="24"/>
          <w:szCs w:val="24"/>
        </w:rPr>
      </w:pPr>
      <w:r w:rsidRPr="00416B5F">
        <w:rPr>
          <w:rFonts w:ascii="Arial" w:hAnsi="Arial" w:cs="Arial"/>
          <w:sz w:val="24"/>
          <w:szCs w:val="24"/>
        </w:rPr>
        <w:t>Hybrid team leaders need to manage remote teams effectively by organizing agility, responding to unusual events, and communicating strategically. Leadership theories suggest paradoxical frameworks and impediments to help leaders adapt to hybridity. Adaptive practices, including tasks and relationships, can improve team performance (</w:t>
      </w:r>
      <w:proofErr w:type="spellStart"/>
      <w:r w:rsidRPr="00416B5F">
        <w:rPr>
          <w:rFonts w:ascii="Arial" w:hAnsi="Arial" w:cs="Arial"/>
          <w:sz w:val="24"/>
          <w:szCs w:val="24"/>
        </w:rPr>
        <w:t>Sedrine</w:t>
      </w:r>
      <w:proofErr w:type="spellEnd"/>
      <w:r w:rsidRPr="00416B5F">
        <w:rPr>
          <w:rFonts w:ascii="Arial" w:hAnsi="Arial" w:cs="Arial"/>
          <w:sz w:val="24"/>
          <w:szCs w:val="24"/>
        </w:rPr>
        <w:t xml:space="preserve"> et al., 2020). Leaders should be adaptable, build trust, and communicate effectively through media-rich channels. Organizational assistance can help manage virtual teams more successfully, allowing leaders to focus on dispute resolution and trust-building training.</w:t>
      </w:r>
    </w:p>
    <w:p w:rsidR="0023508D" w:rsidRPr="00416B5F" w:rsidRDefault="00416B5F" w:rsidP="00416B5F">
      <w:pPr>
        <w:pStyle w:val="Heading1"/>
        <w:spacing w:line="360" w:lineRule="auto"/>
        <w:rPr>
          <w:rFonts w:ascii="Arial" w:hAnsi="Arial" w:cs="Arial"/>
          <w:b/>
          <w:color w:val="auto"/>
          <w:sz w:val="24"/>
          <w:szCs w:val="24"/>
        </w:rPr>
      </w:pPr>
      <w:r w:rsidRPr="00416B5F">
        <w:rPr>
          <w:rFonts w:ascii="Arial" w:hAnsi="Arial" w:cs="Arial"/>
          <w:b/>
          <w:color w:val="auto"/>
          <w:sz w:val="24"/>
          <w:szCs w:val="24"/>
        </w:rPr>
        <w:lastRenderedPageBreak/>
        <w:t xml:space="preserve">Addressing Hybrid Workplace Challenges  </w:t>
      </w:r>
    </w:p>
    <w:p w:rsidR="0023508D" w:rsidRPr="00416B5F" w:rsidRDefault="0023508D" w:rsidP="00416B5F">
      <w:pPr>
        <w:autoSpaceDE w:val="0"/>
        <w:autoSpaceDN w:val="0"/>
        <w:adjustRightInd w:val="0"/>
        <w:spacing w:after="0" w:line="360" w:lineRule="auto"/>
        <w:jc w:val="both"/>
        <w:rPr>
          <w:rFonts w:ascii="Arial" w:hAnsi="Arial" w:cs="Arial"/>
          <w:kern w:val="24"/>
          <w:sz w:val="24"/>
          <w:szCs w:val="24"/>
        </w:rPr>
      </w:pPr>
      <w:r w:rsidRPr="00416B5F">
        <w:rPr>
          <w:rFonts w:ascii="Arial" w:hAnsi="Arial" w:cs="Arial"/>
          <w:sz w:val="24"/>
          <w:szCs w:val="24"/>
        </w:rPr>
        <w:t>Hybrid teams face challenges in collaboration and remote issues. To achieve digital success, teams can use Tuckman's phases of group growth and Belbin's team duties (Santos and Ralph, 2022). New XR technology enhances hybrid meetings, creating new opportunities for human communication. To eliminate bias and increase productivity, create a culture that values diverse work styles and fosters both online and in-person interactions (</w:t>
      </w:r>
      <w:proofErr w:type="spellStart"/>
      <w:r w:rsidRPr="00416B5F">
        <w:rPr>
          <w:rFonts w:ascii="Arial" w:hAnsi="Arial" w:cs="Arial"/>
          <w:sz w:val="24"/>
          <w:szCs w:val="24"/>
        </w:rPr>
        <w:t>McMurtrie</w:t>
      </w:r>
      <w:proofErr w:type="spellEnd"/>
      <w:r w:rsidRPr="00416B5F">
        <w:rPr>
          <w:rFonts w:ascii="Arial" w:hAnsi="Arial" w:cs="Arial"/>
          <w:sz w:val="24"/>
          <w:szCs w:val="24"/>
        </w:rPr>
        <w:t xml:space="preserve"> and </w:t>
      </w:r>
      <w:proofErr w:type="spellStart"/>
      <w:r w:rsidRPr="00416B5F">
        <w:rPr>
          <w:rFonts w:ascii="Arial" w:hAnsi="Arial" w:cs="Arial"/>
          <w:sz w:val="24"/>
          <w:szCs w:val="24"/>
        </w:rPr>
        <w:t>Ostrikov</w:t>
      </w:r>
      <w:proofErr w:type="spellEnd"/>
      <w:r w:rsidRPr="00416B5F">
        <w:rPr>
          <w:rFonts w:ascii="Arial" w:hAnsi="Arial" w:cs="Arial"/>
          <w:sz w:val="24"/>
          <w:szCs w:val="24"/>
        </w:rPr>
        <w:t>, 2021). This strategy allows team members to cooperate effectively regardless of location, demonstrating the diversity of group project members</w:t>
      </w:r>
      <w:r w:rsidRPr="00416B5F">
        <w:rPr>
          <w:rFonts w:ascii="Arial" w:hAnsi="Arial" w:cs="Arial"/>
          <w:kern w:val="24"/>
          <w:sz w:val="24"/>
          <w:szCs w:val="24"/>
        </w:rPr>
        <w:t>.</w:t>
      </w:r>
    </w:p>
    <w:p w:rsidR="00416B5F" w:rsidRPr="00416B5F" w:rsidRDefault="00416B5F" w:rsidP="00416B5F">
      <w:pPr>
        <w:pStyle w:val="Heading1"/>
        <w:spacing w:line="360" w:lineRule="auto"/>
        <w:rPr>
          <w:rFonts w:ascii="Arial" w:hAnsi="Arial" w:cs="Arial"/>
          <w:b/>
          <w:color w:val="auto"/>
        </w:rPr>
      </w:pPr>
      <w:r w:rsidRPr="00416B5F">
        <w:rPr>
          <w:rFonts w:ascii="Arial" w:hAnsi="Arial" w:cs="Arial"/>
          <w:b/>
          <w:color w:val="auto"/>
        </w:rPr>
        <w:t>References</w:t>
      </w:r>
    </w:p>
    <w:p w:rsidR="00000000" w:rsidRPr="00416B5F" w:rsidRDefault="002F5B99" w:rsidP="00416B5F">
      <w:pPr>
        <w:numPr>
          <w:ilvl w:val="0"/>
          <w:numId w:val="1"/>
        </w:numPr>
        <w:spacing w:line="360" w:lineRule="auto"/>
        <w:jc w:val="both"/>
        <w:rPr>
          <w:rFonts w:ascii="Arial" w:hAnsi="Arial" w:cs="Arial"/>
          <w:sz w:val="24"/>
          <w:szCs w:val="24"/>
        </w:rPr>
      </w:pPr>
      <w:r w:rsidRPr="00416B5F">
        <w:rPr>
          <w:rFonts w:ascii="Arial" w:hAnsi="Arial" w:cs="Arial"/>
          <w:sz w:val="24"/>
          <w:szCs w:val="24"/>
        </w:rPr>
        <w:t xml:space="preserve">Aquino, J.F., </w:t>
      </w:r>
      <w:proofErr w:type="spellStart"/>
      <w:r w:rsidRPr="00416B5F">
        <w:rPr>
          <w:rFonts w:ascii="Arial" w:hAnsi="Arial" w:cs="Arial"/>
          <w:sz w:val="24"/>
          <w:szCs w:val="24"/>
        </w:rPr>
        <w:t>Riss</w:t>
      </w:r>
      <w:proofErr w:type="spellEnd"/>
      <w:r w:rsidRPr="00416B5F">
        <w:rPr>
          <w:rFonts w:ascii="Arial" w:hAnsi="Arial" w:cs="Arial"/>
          <w:sz w:val="24"/>
          <w:szCs w:val="24"/>
        </w:rPr>
        <w:t xml:space="preserve">, R.R., </w:t>
      </w:r>
      <w:proofErr w:type="spellStart"/>
      <w:r w:rsidRPr="00416B5F">
        <w:rPr>
          <w:rFonts w:ascii="Arial" w:hAnsi="Arial" w:cs="Arial"/>
          <w:sz w:val="24"/>
          <w:szCs w:val="24"/>
        </w:rPr>
        <w:t>Multerer</w:t>
      </w:r>
      <w:proofErr w:type="spellEnd"/>
      <w:r w:rsidRPr="00416B5F">
        <w:rPr>
          <w:rFonts w:ascii="Arial" w:hAnsi="Arial" w:cs="Arial"/>
          <w:sz w:val="24"/>
          <w:szCs w:val="24"/>
        </w:rPr>
        <w:t xml:space="preserve">, S.M., Mogilner, L.N. and Turner, T.L., 2022. A step-by-step guide for mentors to facilitate team building and communication </w:t>
      </w:r>
      <w:r w:rsidRPr="00416B5F">
        <w:rPr>
          <w:rFonts w:ascii="Arial" w:hAnsi="Arial" w:cs="Arial"/>
          <w:sz w:val="24"/>
          <w:szCs w:val="24"/>
        </w:rPr>
        <w:t>in virtual teams. Medical Education Online, 27(1), p.2094529.</w:t>
      </w:r>
    </w:p>
    <w:p w:rsidR="00000000" w:rsidRPr="00416B5F" w:rsidRDefault="002F5B99" w:rsidP="00416B5F">
      <w:pPr>
        <w:numPr>
          <w:ilvl w:val="0"/>
          <w:numId w:val="1"/>
        </w:numPr>
        <w:spacing w:line="360" w:lineRule="auto"/>
        <w:jc w:val="both"/>
        <w:rPr>
          <w:rFonts w:ascii="Arial" w:hAnsi="Arial" w:cs="Arial"/>
          <w:sz w:val="24"/>
          <w:szCs w:val="24"/>
        </w:rPr>
      </w:pPr>
      <w:r w:rsidRPr="00416B5F">
        <w:rPr>
          <w:rFonts w:ascii="Arial" w:hAnsi="Arial" w:cs="Arial"/>
          <w:sz w:val="24"/>
          <w:szCs w:val="24"/>
        </w:rPr>
        <w:t xml:space="preserve">Ben </w:t>
      </w:r>
      <w:proofErr w:type="spellStart"/>
      <w:r w:rsidRPr="00416B5F">
        <w:rPr>
          <w:rFonts w:ascii="Arial" w:hAnsi="Arial" w:cs="Arial"/>
          <w:sz w:val="24"/>
          <w:szCs w:val="24"/>
        </w:rPr>
        <w:t>Sedrine</w:t>
      </w:r>
      <w:proofErr w:type="spellEnd"/>
      <w:r w:rsidRPr="00416B5F">
        <w:rPr>
          <w:rFonts w:ascii="Arial" w:hAnsi="Arial" w:cs="Arial"/>
          <w:sz w:val="24"/>
          <w:szCs w:val="24"/>
        </w:rPr>
        <w:t xml:space="preserve">, S., </w:t>
      </w:r>
      <w:proofErr w:type="spellStart"/>
      <w:r w:rsidRPr="00416B5F">
        <w:rPr>
          <w:rFonts w:ascii="Arial" w:hAnsi="Arial" w:cs="Arial"/>
          <w:sz w:val="24"/>
          <w:szCs w:val="24"/>
        </w:rPr>
        <w:t>Bouderbala</w:t>
      </w:r>
      <w:proofErr w:type="spellEnd"/>
      <w:r w:rsidRPr="00416B5F">
        <w:rPr>
          <w:rFonts w:ascii="Arial" w:hAnsi="Arial" w:cs="Arial"/>
          <w:sz w:val="24"/>
          <w:szCs w:val="24"/>
        </w:rPr>
        <w:t xml:space="preserve">, A. and </w:t>
      </w:r>
      <w:proofErr w:type="spellStart"/>
      <w:r w:rsidRPr="00416B5F">
        <w:rPr>
          <w:rFonts w:ascii="Arial" w:hAnsi="Arial" w:cs="Arial"/>
          <w:sz w:val="24"/>
          <w:szCs w:val="24"/>
        </w:rPr>
        <w:t>Nasraoui</w:t>
      </w:r>
      <w:proofErr w:type="spellEnd"/>
      <w:r w:rsidRPr="00416B5F">
        <w:rPr>
          <w:rFonts w:ascii="Arial" w:hAnsi="Arial" w:cs="Arial"/>
          <w:sz w:val="24"/>
          <w:szCs w:val="24"/>
        </w:rPr>
        <w:t>, H., 2021. Leadership style effect on virtual team effici</w:t>
      </w:r>
      <w:r w:rsidRPr="00416B5F">
        <w:rPr>
          <w:rFonts w:ascii="Arial" w:hAnsi="Arial" w:cs="Arial"/>
          <w:sz w:val="24"/>
          <w:szCs w:val="24"/>
        </w:rPr>
        <w:t xml:space="preserve">ency: trust, operational cohesion and media richness roles. Journal of Management Development, 40(5), pp.365-388. </w:t>
      </w:r>
    </w:p>
    <w:p w:rsidR="00000000" w:rsidRPr="00416B5F" w:rsidRDefault="002F5B99" w:rsidP="00416B5F">
      <w:pPr>
        <w:numPr>
          <w:ilvl w:val="0"/>
          <w:numId w:val="1"/>
        </w:numPr>
        <w:spacing w:line="360" w:lineRule="auto"/>
        <w:jc w:val="both"/>
        <w:rPr>
          <w:rFonts w:ascii="Arial" w:hAnsi="Arial" w:cs="Arial"/>
          <w:sz w:val="24"/>
          <w:szCs w:val="24"/>
        </w:rPr>
      </w:pPr>
      <w:r w:rsidRPr="00416B5F">
        <w:rPr>
          <w:rFonts w:ascii="Arial" w:hAnsi="Arial" w:cs="Arial"/>
          <w:sz w:val="24"/>
          <w:szCs w:val="24"/>
        </w:rPr>
        <w:t>de Souza Santos, R.E. and Ralph, P., 2022, May. A</w:t>
      </w:r>
      <w:r w:rsidRPr="00416B5F">
        <w:rPr>
          <w:rFonts w:ascii="Arial" w:hAnsi="Arial" w:cs="Arial"/>
          <w:sz w:val="24"/>
          <w:szCs w:val="24"/>
        </w:rPr>
        <w:t xml:space="preserve"> grounded theory of coordination in remote-first and hybrid software teams. In Proceedings of the 44th International Conference on Software Engineering (pp. 25-35).</w:t>
      </w:r>
    </w:p>
    <w:p w:rsidR="00000000" w:rsidRPr="00416B5F" w:rsidRDefault="002F5B99" w:rsidP="00416B5F">
      <w:pPr>
        <w:numPr>
          <w:ilvl w:val="0"/>
          <w:numId w:val="1"/>
        </w:numPr>
        <w:spacing w:line="360" w:lineRule="auto"/>
        <w:jc w:val="both"/>
        <w:rPr>
          <w:rFonts w:ascii="Arial" w:hAnsi="Arial" w:cs="Arial"/>
          <w:sz w:val="24"/>
          <w:szCs w:val="24"/>
        </w:rPr>
      </w:pPr>
      <w:r w:rsidRPr="00416B5F">
        <w:rPr>
          <w:rFonts w:ascii="Arial" w:hAnsi="Arial" w:cs="Arial"/>
          <w:sz w:val="24"/>
          <w:szCs w:val="24"/>
        </w:rPr>
        <w:t xml:space="preserve">Flores </w:t>
      </w:r>
      <w:proofErr w:type="spellStart"/>
      <w:r w:rsidRPr="00416B5F">
        <w:rPr>
          <w:rFonts w:ascii="Arial" w:hAnsi="Arial" w:cs="Arial"/>
          <w:sz w:val="24"/>
          <w:szCs w:val="24"/>
        </w:rPr>
        <w:t>Ureba</w:t>
      </w:r>
      <w:proofErr w:type="spellEnd"/>
      <w:r w:rsidRPr="00416B5F">
        <w:rPr>
          <w:rFonts w:ascii="Arial" w:hAnsi="Arial" w:cs="Arial"/>
          <w:sz w:val="24"/>
          <w:szCs w:val="24"/>
        </w:rPr>
        <w:t xml:space="preserve">, S., Simón de Blas, C., </w:t>
      </w:r>
      <w:proofErr w:type="spellStart"/>
      <w:r w:rsidRPr="00416B5F">
        <w:rPr>
          <w:rFonts w:ascii="Arial" w:hAnsi="Arial" w:cs="Arial"/>
          <w:sz w:val="24"/>
          <w:szCs w:val="24"/>
        </w:rPr>
        <w:t>Borrás-Gené</w:t>
      </w:r>
      <w:proofErr w:type="spellEnd"/>
      <w:r w:rsidRPr="00416B5F">
        <w:rPr>
          <w:rFonts w:ascii="Arial" w:hAnsi="Arial" w:cs="Arial"/>
          <w:sz w:val="24"/>
          <w:szCs w:val="24"/>
        </w:rPr>
        <w:t xml:space="preserve">, O. and </w:t>
      </w:r>
      <w:proofErr w:type="spellStart"/>
      <w:r w:rsidRPr="00416B5F">
        <w:rPr>
          <w:rFonts w:ascii="Arial" w:hAnsi="Arial" w:cs="Arial"/>
          <w:sz w:val="24"/>
          <w:szCs w:val="24"/>
        </w:rPr>
        <w:t>Macías-Guillén</w:t>
      </w:r>
      <w:proofErr w:type="spellEnd"/>
      <w:r w:rsidRPr="00416B5F">
        <w:rPr>
          <w:rFonts w:ascii="Arial" w:hAnsi="Arial" w:cs="Arial"/>
          <w:sz w:val="24"/>
          <w:szCs w:val="24"/>
        </w:rPr>
        <w:t>, A., 2022. Analyzing the Influence of Belbin’s Roles on the Quality of Collaborative Learning for the Study of Business Fundamentals. Education Sciences, 12(9), p.594.</w:t>
      </w:r>
    </w:p>
    <w:p w:rsidR="00000000" w:rsidRPr="00416B5F" w:rsidRDefault="002F5B99" w:rsidP="00416B5F">
      <w:pPr>
        <w:numPr>
          <w:ilvl w:val="0"/>
          <w:numId w:val="1"/>
        </w:numPr>
        <w:spacing w:line="360" w:lineRule="auto"/>
        <w:jc w:val="both"/>
        <w:rPr>
          <w:rFonts w:ascii="Arial" w:hAnsi="Arial" w:cs="Arial"/>
          <w:sz w:val="24"/>
          <w:szCs w:val="24"/>
        </w:rPr>
      </w:pPr>
      <w:proofErr w:type="spellStart"/>
      <w:r w:rsidRPr="00416B5F">
        <w:rPr>
          <w:rFonts w:ascii="Arial" w:hAnsi="Arial" w:cs="Arial"/>
          <w:sz w:val="24"/>
          <w:szCs w:val="24"/>
        </w:rPr>
        <w:t>Kahlow</w:t>
      </w:r>
      <w:proofErr w:type="spellEnd"/>
      <w:r w:rsidRPr="00416B5F">
        <w:rPr>
          <w:rFonts w:ascii="Arial" w:hAnsi="Arial" w:cs="Arial"/>
          <w:sz w:val="24"/>
          <w:szCs w:val="24"/>
        </w:rPr>
        <w:t xml:space="preserve">, J., </w:t>
      </w:r>
      <w:proofErr w:type="spellStart"/>
      <w:r w:rsidRPr="00416B5F">
        <w:rPr>
          <w:rFonts w:ascii="Arial" w:hAnsi="Arial" w:cs="Arial"/>
          <w:sz w:val="24"/>
          <w:szCs w:val="24"/>
        </w:rPr>
        <w:t>Klecka</w:t>
      </w:r>
      <w:proofErr w:type="spellEnd"/>
      <w:r w:rsidRPr="00416B5F">
        <w:rPr>
          <w:rFonts w:ascii="Arial" w:hAnsi="Arial" w:cs="Arial"/>
          <w:sz w:val="24"/>
          <w:szCs w:val="24"/>
        </w:rPr>
        <w:t>, H. and Ruppel, E., 2020. What the differences in conflict between online and face-to-face work groups mean for hybrid groups: A state-of-the-art review. Review</w:t>
      </w:r>
      <w:r w:rsidRPr="00416B5F">
        <w:rPr>
          <w:rFonts w:ascii="Arial" w:hAnsi="Arial" w:cs="Arial"/>
          <w:sz w:val="24"/>
          <w:szCs w:val="24"/>
        </w:rPr>
        <w:t xml:space="preserve"> of Communication Research, 8, pp.51-77.</w:t>
      </w:r>
    </w:p>
    <w:p w:rsidR="00000000" w:rsidRPr="00416B5F" w:rsidRDefault="002F5B99" w:rsidP="00416B5F">
      <w:pPr>
        <w:numPr>
          <w:ilvl w:val="0"/>
          <w:numId w:val="1"/>
        </w:numPr>
        <w:spacing w:line="360" w:lineRule="auto"/>
        <w:jc w:val="both"/>
        <w:rPr>
          <w:rFonts w:ascii="Arial" w:hAnsi="Arial" w:cs="Arial"/>
          <w:sz w:val="24"/>
          <w:szCs w:val="24"/>
        </w:rPr>
      </w:pPr>
      <w:proofErr w:type="spellStart"/>
      <w:r w:rsidRPr="00416B5F">
        <w:rPr>
          <w:rFonts w:ascii="Arial" w:hAnsi="Arial" w:cs="Arial"/>
          <w:sz w:val="24"/>
          <w:szCs w:val="24"/>
        </w:rPr>
        <w:t>Kuczmarski</w:t>
      </w:r>
      <w:proofErr w:type="spellEnd"/>
      <w:r w:rsidRPr="00416B5F">
        <w:rPr>
          <w:rFonts w:ascii="Arial" w:hAnsi="Arial" w:cs="Arial"/>
          <w:sz w:val="24"/>
          <w:szCs w:val="24"/>
        </w:rPr>
        <w:t xml:space="preserve">, S. and </w:t>
      </w:r>
      <w:proofErr w:type="spellStart"/>
      <w:r w:rsidRPr="00416B5F">
        <w:rPr>
          <w:rFonts w:ascii="Arial" w:hAnsi="Arial" w:cs="Arial"/>
          <w:sz w:val="24"/>
          <w:szCs w:val="24"/>
        </w:rPr>
        <w:t>Kuczmarski</w:t>
      </w:r>
      <w:proofErr w:type="spellEnd"/>
      <w:r w:rsidRPr="00416B5F">
        <w:rPr>
          <w:rFonts w:ascii="Arial" w:hAnsi="Arial" w:cs="Arial"/>
          <w:sz w:val="24"/>
          <w:szCs w:val="24"/>
        </w:rPr>
        <w:t>, T., 2018. How rewards fuel or fail innovation. Strategic HR Review, 18(1), pp.8-12.</w:t>
      </w:r>
    </w:p>
    <w:p w:rsidR="00000000" w:rsidRPr="00416B5F" w:rsidRDefault="002F5B99" w:rsidP="00416B5F">
      <w:pPr>
        <w:numPr>
          <w:ilvl w:val="0"/>
          <w:numId w:val="1"/>
        </w:numPr>
        <w:spacing w:line="360" w:lineRule="auto"/>
        <w:jc w:val="both"/>
        <w:rPr>
          <w:rFonts w:ascii="Arial" w:hAnsi="Arial" w:cs="Arial"/>
          <w:sz w:val="24"/>
          <w:szCs w:val="24"/>
        </w:rPr>
      </w:pPr>
      <w:proofErr w:type="spellStart"/>
      <w:r w:rsidRPr="00416B5F">
        <w:rPr>
          <w:rFonts w:ascii="Arial" w:hAnsi="Arial" w:cs="Arial"/>
          <w:sz w:val="24"/>
          <w:szCs w:val="24"/>
        </w:rPr>
        <w:lastRenderedPageBreak/>
        <w:t>McMurtrie</w:t>
      </w:r>
      <w:proofErr w:type="spellEnd"/>
      <w:r w:rsidRPr="00416B5F">
        <w:rPr>
          <w:rFonts w:ascii="Arial" w:hAnsi="Arial" w:cs="Arial"/>
          <w:sz w:val="24"/>
          <w:szCs w:val="24"/>
        </w:rPr>
        <w:t xml:space="preserve">, J.C. and </w:t>
      </w:r>
      <w:proofErr w:type="spellStart"/>
      <w:r w:rsidRPr="00416B5F">
        <w:rPr>
          <w:rFonts w:ascii="Arial" w:hAnsi="Arial" w:cs="Arial"/>
          <w:sz w:val="24"/>
          <w:szCs w:val="24"/>
        </w:rPr>
        <w:t>Ostrikov</w:t>
      </w:r>
      <w:proofErr w:type="spellEnd"/>
      <w:r w:rsidRPr="00416B5F">
        <w:rPr>
          <w:rFonts w:ascii="Arial" w:hAnsi="Arial" w:cs="Arial"/>
          <w:sz w:val="24"/>
          <w:szCs w:val="24"/>
        </w:rPr>
        <w:t xml:space="preserve">, K., 2021. Hybrid participation options to mitigate discrimination and </w:t>
      </w:r>
      <w:proofErr w:type="spellStart"/>
      <w:r w:rsidRPr="00416B5F">
        <w:rPr>
          <w:rFonts w:ascii="Arial" w:hAnsi="Arial" w:cs="Arial"/>
          <w:sz w:val="24"/>
          <w:szCs w:val="24"/>
        </w:rPr>
        <w:t>maximise</w:t>
      </w:r>
      <w:proofErr w:type="spellEnd"/>
      <w:r w:rsidRPr="00416B5F">
        <w:rPr>
          <w:rFonts w:ascii="Arial" w:hAnsi="Arial" w:cs="Arial"/>
          <w:sz w:val="24"/>
          <w:szCs w:val="24"/>
        </w:rPr>
        <w:t xml:space="preserve"> productivity in post-COVID higher education and research workpl</w:t>
      </w:r>
      <w:r w:rsidRPr="00416B5F">
        <w:rPr>
          <w:rFonts w:ascii="Arial" w:hAnsi="Arial" w:cs="Arial"/>
          <w:sz w:val="24"/>
          <w:szCs w:val="24"/>
        </w:rPr>
        <w:t>aces. Physical and Engineering Sciences in Medicine, 44(2), pp.339-339.</w:t>
      </w:r>
    </w:p>
    <w:p w:rsidR="00000000" w:rsidRPr="00416B5F" w:rsidRDefault="002F5B99" w:rsidP="00416B5F">
      <w:pPr>
        <w:numPr>
          <w:ilvl w:val="0"/>
          <w:numId w:val="1"/>
        </w:numPr>
        <w:spacing w:line="360" w:lineRule="auto"/>
        <w:jc w:val="both"/>
        <w:rPr>
          <w:rFonts w:ascii="Arial" w:hAnsi="Arial" w:cs="Arial"/>
          <w:sz w:val="24"/>
          <w:szCs w:val="24"/>
        </w:rPr>
      </w:pPr>
      <w:r w:rsidRPr="00416B5F">
        <w:rPr>
          <w:rFonts w:ascii="Arial" w:hAnsi="Arial" w:cs="Arial"/>
          <w:sz w:val="24"/>
          <w:szCs w:val="24"/>
        </w:rPr>
        <w:t>O'Brien, J., 2019. Forming powerful MBA teams using Lego architecture. Journal of Applied Le</w:t>
      </w:r>
      <w:r w:rsidRPr="00416B5F">
        <w:rPr>
          <w:rFonts w:ascii="Arial" w:hAnsi="Arial" w:cs="Arial"/>
          <w:sz w:val="24"/>
          <w:szCs w:val="24"/>
        </w:rPr>
        <w:t>arning and Teaching, 2(1), pp.79-82.</w:t>
      </w:r>
    </w:p>
    <w:p w:rsidR="00000000" w:rsidRPr="00416B5F" w:rsidRDefault="002F5B99" w:rsidP="00416B5F">
      <w:pPr>
        <w:numPr>
          <w:ilvl w:val="0"/>
          <w:numId w:val="1"/>
        </w:numPr>
        <w:spacing w:line="360" w:lineRule="auto"/>
        <w:jc w:val="both"/>
        <w:rPr>
          <w:rFonts w:ascii="Arial" w:hAnsi="Arial" w:cs="Arial"/>
          <w:sz w:val="24"/>
          <w:szCs w:val="24"/>
        </w:rPr>
      </w:pPr>
      <w:r w:rsidRPr="00416B5F">
        <w:rPr>
          <w:rFonts w:ascii="Arial" w:hAnsi="Arial" w:cs="Arial"/>
          <w:sz w:val="24"/>
          <w:szCs w:val="24"/>
        </w:rPr>
        <w:t>Poser, M. and Bittner, E.A., 2020. Hybrid Teamwork: Consideration of Teamwork Concepts to Reach Naturalistic Interaction betwee</w:t>
      </w:r>
      <w:r w:rsidRPr="00416B5F">
        <w:rPr>
          <w:rFonts w:ascii="Arial" w:hAnsi="Arial" w:cs="Arial"/>
          <w:sz w:val="24"/>
          <w:szCs w:val="24"/>
        </w:rPr>
        <w:t xml:space="preserve">n Humans and Conversational Agents. In </w:t>
      </w:r>
      <w:proofErr w:type="spellStart"/>
      <w:r w:rsidRPr="00416B5F">
        <w:rPr>
          <w:rFonts w:ascii="Arial" w:hAnsi="Arial" w:cs="Arial"/>
          <w:sz w:val="24"/>
          <w:szCs w:val="24"/>
        </w:rPr>
        <w:t>Wirtschaftsinformatik</w:t>
      </w:r>
      <w:proofErr w:type="spellEnd"/>
      <w:r w:rsidRPr="00416B5F">
        <w:rPr>
          <w:rFonts w:ascii="Arial" w:hAnsi="Arial" w:cs="Arial"/>
          <w:sz w:val="24"/>
          <w:szCs w:val="24"/>
        </w:rPr>
        <w:t xml:space="preserve"> (</w:t>
      </w:r>
      <w:proofErr w:type="spellStart"/>
      <w:r w:rsidRPr="00416B5F">
        <w:rPr>
          <w:rFonts w:ascii="Arial" w:hAnsi="Arial" w:cs="Arial"/>
          <w:sz w:val="24"/>
          <w:szCs w:val="24"/>
        </w:rPr>
        <w:t>Zentrale</w:t>
      </w:r>
      <w:proofErr w:type="spellEnd"/>
      <w:r w:rsidRPr="00416B5F">
        <w:rPr>
          <w:rFonts w:ascii="Arial" w:hAnsi="Arial" w:cs="Arial"/>
          <w:sz w:val="24"/>
          <w:szCs w:val="24"/>
        </w:rPr>
        <w:t xml:space="preserve"> Tracks) (pp. 83-98).</w:t>
      </w:r>
    </w:p>
    <w:p w:rsidR="00000000" w:rsidRPr="00416B5F" w:rsidRDefault="002F5B99" w:rsidP="00416B5F">
      <w:pPr>
        <w:numPr>
          <w:ilvl w:val="0"/>
          <w:numId w:val="1"/>
        </w:numPr>
        <w:spacing w:line="360" w:lineRule="auto"/>
        <w:jc w:val="both"/>
        <w:rPr>
          <w:rFonts w:ascii="Arial" w:hAnsi="Arial" w:cs="Arial"/>
          <w:sz w:val="24"/>
          <w:szCs w:val="24"/>
        </w:rPr>
      </w:pPr>
      <w:r w:rsidRPr="00416B5F">
        <w:rPr>
          <w:rFonts w:ascii="Arial" w:hAnsi="Arial" w:cs="Arial"/>
          <w:sz w:val="24"/>
          <w:szCs w:val="24"/>
        </w:rPr>
        <w:t xml:space="preserve">Richter, U.M., </w:t>
      </w:r>
      <w:proofErr w:type="spellStart"/>
      <w:r w:rsidRPr="00416B5F">
        <w:rPr>
          <w:rFonts w:ascii="Arial" w:hAnsi="Arial" w:cs="Arial"/>
          <w:sz w:val="24"/>
          <w:szCs w:val="24"/>
        </w:rPr>
        <w:t>Veerabhatla</w:t>
      </w:r>
      <w:proofErr w:type="spellEnd"/>
      <w:r w:rsidRPr="00416B5F">
        <w:rPr>
          <w:rFonts w:ascii="Arial" w:hAnsi="Arial" w:cs="Arial"/>
          <w:sz w:val="24"/>
          <w:szCs w:val="24"/>
        </w:rPr>
        <w:t xml:space="preserve">, S. and </w:t>
      </w:r>
      <w:proofErr w:type="spellStart"/>
      <w:r w:rsidRPr="00416B5F">
        <w:rPr>
          <w:rFonts w:ascii="Arial" w:hAnsi="Arial" w:cs="Arial"/>
          <w:sz w:val="24"/>
          <w:szCs w:val="24"/>
        </w:rPr>
        <w:t>Zasiekina</w:t>
      </w:r>
      <w:proofErr w:type="spellEnd"/>
      <w:r w:rsidRPr="00416B5F">
        <w:rPr>
          <w:rFonts w:ascii="Arial" w:hAnsi="Arial" w:cs="Arial"/>
          <w:sz w:val="24"/>
          <w:szCs w:val="24"/>
        </w:rPr>
        <w:t>, L., 2021. Managing and fac</w:t>
      </w:r>
      <w:r w:rsidRPr="00416B5F">
        <w:rPr>
          <w:rFonts w:ascii="Arial" w:hAnsi="Arial" w:cs="Arial"/>
          <w:sz w:val="24"/>
          <w:szCs w:val="24"/>
        </w:rPr>
        <w:t>ilitating student learning in teams in higher education. In Cases on Active Blended Learning in Higher Education (pp. 149-171). IGI Global.</w:t>
      </w:r>
    </w:p>
    <w:p w:rsidR="00000000" w:rsidRPr="00416B5F" w:rsidRDefault="002F5B99" w:rsidP="00416B5F">
      <w:pPr>
        <w:numPr>
          <w:ilvl w:val="0"/>
          <w:numId w:val="1"/>
        </w:numPr>
        <w:spacing w:line="360" w:lineRule="auto"/>
        <w:jc w:val="both"/>
        <w:rPr>
          <w:rFonts w:ascii="Arial" w:hAnsi="Arial" w:cs="Arial"/>
          <w:sz w:val="24"/>
          <w:szCs w:val="24"/>
        </w:rPr>
      </w:pPr>
      <w:proofErr w:type="spellStart"/>
      <w:r w:rsidRPr="00416B5F">
        <w:rPr>
          <w:rFonts w:ascii="Arial" w:hAnsi="Arial" w:cs="Arial"/>
          <w:sz w:val="24"/>
          <w:szCs w:val="24"/>
        </w:rPr>
        <w:t>Sampat</w:t>
      </w:r>
      <w:proofErr w:type="spellEnd"/>
      <w:r w:rsidRPr="00416B5F">
        <w:rPr>
          <w:rFonts w:ascii="Arial" w:hAnsi="Arial" w:cs="Arial"/>
          <w:sz w:val="24"/>
          <w:szCs w:val="24"/>
        </w:rPr>
        <w:t xml:space="preserve">, B., Raj, S., </w:t>
      </w:r>
      <w:proofErr w:type="spellStart"/>
      <w:r w:rsidRPr="00416B5F">
        <w:rPr>
          <w:rFonts w:ascii="Arial" w:hAnsi="Arial" w:cs="Arial"/>
          <w:sz w:val="24"/>
          <w:szCs w:val="24"/>
        </w:rPr>
        <w:t>Beh</w:t>
      </w:r>
      <w:r w:rsidRPr="00416B5F">
        <w:rPr>
          <w:rFonts w:ascii="Arial" w:hAnsi="Arial" w:cs="Arial"/>
          <w:sz w:val="24"/>
          <w:szCs w:val="24"/>
        </w:rPr>
        <w:t>l</w:t>
      </w:r>
      <w:proofErr w:type="spellEnd"/>
      <w:r w:rsidRPr="00416B5F">
        <w:rPr>
          <w:rFonts w:ascii="Arial" w:hAnsi="Arial" w:cs="Arial"/>
          <w:sz w:val="24"/>
          <w:szCs w:val="24"/>
        </w:rPr>
        <w:t xml:space="preserve">, A. and </w:t>
      </w:r>
      <w:proofErr w:type="spellStart"/>
      <w:r w:rsidRPr="00416B5F">
        <w:rPr>
          <w:rFonts w:ascii="Arial" w:hAnsi="Arial" w:cs="Arial"/>
          <w:sz w:val="24"/>
          <w:szCs w:val="24"/>
        </w:rPr>
        <w:t>Schoebel</w:t>
      </w:r>
      <w:proofErr w:type="spellEnd"/>
      <w:r w:rsidRPr="00416B5F">
        <w:rPr>
          <w:rFonts w:ascii="Arial" w:hAnsi="Arial" w:cs="Arial"/>
          <w:sz w:val="24"/>
          <w:szCs w:val="24"/>
        </w:rPr>
        <w:t>, S., 2022. An empirical analysis of facilitators and barriers to the hybrid work model: a cross-cultural and multi-theoretical approach. Personnel review, 51(8), pp.1990-</w:t>
      </w:r>
      <w:proofErr w:type="gramStart"/>
      <w:r w:rsidRPr="00416B5F">
        <w:rPr>
          <w:rFonts w:ascii="Arial" w:hAnsi="Arial" w:cs="Arial"/>
          <w:sz w:val="24"/>
          <w:szCs w:val="24"/>
        </w:rPr>
        <w:t>2020..</w:t>
      </w:r>
      <w:proofErr w:type="gramEnd"/>
    </w:p>
    <w:p w:rsidR="00416B5F" w:rsidRPr="00416B5F" w:rsidRDefault="00416B5F" w:rsidP="00416B5F">
      <w:pPr>
        <w:spacing w:line="360" w:lineRule="auto"/>
        <w:jc w:val="both"/>
        <w:rPr>
          <w:rFonts w:ascii="Arial" w:hAnsi="Arial" w:cs="Arial"/>
          <w:sz w:val="24"/>
          <w:szCs w:val="24"/>
        </w:rPr>
      </w:pPr>
    </w:p>
    <w:p w:rsidR="0023508D" w:rsidRPr="00416B5F" w:rsidRDefault="0023508D" w:rsidP="00416B5F">
      <w:pPr>
        <w:spacing w:line="360" w:lineRule="auto"/>
        <w:jc w:val="both"/>
        <w:rPr>
          <w:rFonts w:ascii="Arial" w:hAnsi="Arial" w:cs="Arial"/>
          <w:sz w:val="24"/>
          <w:szCs w:val="24"/>
        </w:rPr>
      </w:pPr>
      <w:bookmarkStart w:id="0" w:name="_GoBack"/>
      <w:bookmarkEnd w:id="0"/>
    </w:p>
    <w:sectPr w:rsidR="0023508D" w:rsidRPr="00416B5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F5B99" w:rsidRDefault="002F5B99" w:rsidP="00B1203D">
      <w:pPr>
        <w:spacing w:after="0" w:line="240" w:lineRule="auto"/>
      </w:pPr>
      <w:r>
        <w:separator/>
      </w:r>
    </w:p>
  </w:endnote>
  <w:endnote w:type="continuationSeparator" w:id="0">
    <w:p w:rsidR="002F5B99" w:rsidRDefault="002F5B99" w:rsidP="00B120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F5B99" w:rsidRDefault="002F5B99" w:rsidP="00B1203D">
      <w:pPr>
        <w:spacing w:after="0" w:line="240" w:lineRule="auto"/>
      </w:pPr>
      <w:r>
        <w:separator/>
      </w:r>
    </w:p>
  </w:footnote>
  <w:footnote w:type="continuationSeparator" w:id="0">
    <w:p w:rsidR="002F5B99" w:rsidRDefault="002F5B99" w:rsidP="00B120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A473D8"/>
    <w:multiLevelType w:val="hybridMultilevel"/>
    <w:tmpl w:val="CCAC7C1A"/>
    <w:lvl w:ilvl="0" w:tplc="6BB47626">
      <w:start w:val="1"/>
      <w:numFmt w:val="bullet"/>
      <w:lvlText w:val="•"/>
      <w:lvlJc w:val="left"/>
      <w:pPr>
        <w:tabs>
          <w:tab w:val="num" w:pos="720"/>
        </w:tabs>
        <w:ind w:left="720" w:hanging="360"/>
      </w:pPr>
      <w:rPr>
        <w:rFonts w:ascii="Arial" w:hAnsi="Arial" w:hint="default"/>
      </w:rPr>
    </w:lvl>
    <w:lvl w:ilvl="1" w:tplc="2B64FD76" w:tentative="1">
      <w:start w:val="1"/>
      <w:numFmt w:val="bullet"/>
      <w:lvlText w:val="•"/>
      <w:lvlJc w:val="left"/>
      <w:pPr>
        <w:tabs>
          <w:tab w:val="num" w:pos="1440"/>
        </w:tabs>
        <w:ind w:left="1440" w:hanging="360"/>
      </w:pPr>
      <w:rPr>
        <w:rFonts w:ascii="Arial" w:hAnsi="Arial" w:hint="default"/>
      </w:rPr>
    </w:lvl>
    <w:lvl w:ilvl="2" w:tplc="33165FAA" w:tentative="1">
      <w:start w:val="1"/>
      <w:numFmt w:val="bullet"/>
      <w:lvlText w:val="•"/>
      <w:lvlJc w:val="left"/>
      <w:pPr>
        <w:tabs>
          <w:tab w:val="num" w:pos="2160"/>
        </w:tabs>
        <w:ind w:left="2160" w:hanging="360"/>
      </w:pPr>
      <w:rPr>
        <w:rFonts w:ascii="Arial" w:hAnsi="Arial" w:hint="default"/>
      </w:rPr>
    </w:lvl>
    <w:lvl w:ilvl="3" w:tplc="917EFCDE" w:tentative="1">
      <w:start w:val="1"/>
      <w:numFmt w:val="bullet"/>
      <w:lvlText w:val="•"/>
      <w:lvlJc w:val="left"/>
      <w:pPr>
        <w:tabs>
          <w:tab w:val="num" w:pos="2880"/>
        </w:tabs>
        <w:ind w:left="2880" w:hanging="360"/>
      </w:pPr>
      <w:rPr>
        <w:rFonts w:ascii="Arial" w:hAnsi="Arial" w:hint="default"/>
      </w:rPr>
    </w:lvl>
    <w:lvl w:ilvl="4" w:tplc="533C7C2E" w:tentative="1">
      <w:start w:val="1"/>
      <w:numFmt w:val="bullet"/>
      <w:lvlText w:val="•"/>
      <w:lvlJc w:val="left"/>
      <w:pPr>
        <w:tabs>
          <w:tab w:val="num" w:pos="3600"/>
        </w:tabs>
        <w:ind w:left="3600" w:hanging="360"/>
      </w:pPr>
      <w:rPr>
        <w:rFonts w:ascii="Arial" w:hAnsi="Arial" w:hint="default"/>
      </w:rPr>
    </w:lvl>
    <w:lvl w:ilvl="5" w:tplc="5FF6E9DE" w:tentative="1">
      <w:start w:val="1"/>
      <w:numFmt w:val="bullet"/>
      <w:lvlText w:val="•"/>
      <w:lvlJc w:val="left"/>
      <w:pPr>
        <w:tabs>
          <w:tab w:val="num" w:pos="4320"/>
        </w:tabs>
        <w:ind w:left="4320" w:hanging="360"/>
      </w:pPr>
      <w:rPr>
        <w:rFonts w:ascii="Arial" w:hAnsi="Arial" w:hint="default"/>
      </w:rPr>
    </w:lvl>
    <w:lvl w:ilvl="6" w:tplc="7C44AEC4" w:tentative="1">
      <w:start w:val="1"/>
      <w:numFmt w:val="bullet"/>
      <w:lvlText w:val="•"/>
      <w:lvlJc w:val="left"/>
      <w:pPr>
        <w:tabs>
          <w:tab w:val="num" w:pos="5040"/>
        </w:tabs>
        <w:ind w:left="5040" w:hanging="360"/>
      </w:pPr>
      <w:rPr>
        <w:rFonts w:ascii="Arial" w:hAnsi="Arial" w:hint="default"/>
      </w:rPr>
    </w:lvl>
    <w:lvl w:ilvl="7" w:tplc="1088B766" w:tentative="1">
      <w:start w:val="1"/>
      <w:numFmt w:val="bullet"/>
      <w:lvlText w:val="•"/>
      <w:lvlJc w:val="left"/>
      <w:pPr>
        <w:tabs>
          <w:tab w:val="num" w:pos="5760"/>
        </w:tabs>
        <w:ind w:left="5760" w:hanging="360"/>
      </w:pPr>
      <w:rPr>
        <w:rFonts w:ascii="Arial" w:hAnsi="Arial" w:hint="default"/>
      </w:rPr>
    </w:lvl>
    <w:lvl w:ilvl="8" w:tplc="65421212"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08D"/>
    <w:rsid w:val="00210CA8"/>
    <w:rsid w:val="0023508D"/>
    <w:rsid w:val="002A0714"/>
    <w:rsid w:val="002F5B99"/>
    <w:rsid w:val="00320FEE"/>
    <w:rsid w:val="00416B5F"/>
    <w:rsid w:val="004219D9"/>
    <w:rsid w:val="00593358"/>
    <w:rsid w:val="00671CAB"/>
    <w:rsid w:val="006C7129"/>
    <w:rsid w:val="00767ACC"/>
    <w:rsid w:val="00B10CE5"/>
    <w:rsid w:val="00B1203D"/>
    <w:rsid w:val="00D278B4"/>
    <w:rsid w:val="00E9158F"/>
    <w:rsid w:val="00FB62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F0B988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6B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20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203D"/>
  </w:style>
  <w:style w:type="paragraph" w:styleId="Footer">
    <w:name w:val="footer"/>
    <w:basedOn w:val="Normal"/>
    <w:link w:val="FooterChar"/>
    <w:uiPriority w:val="99"/>
    <w:unhideWhenUsed/>
    <w:rsid w:val="00B120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203D"/>
  </w:style>
  <w:style w:type="character" w:customStyle="1" w:styleId="Heading1Char">
    <w:name w:val="Heading 1 Char"/>
    <w:basedOn w:val="DefaultParagraphFont"/>
    <w:link w:val="Heading1"/>
    <w:uiPriority w:val="9"/>
    <w:rsid w:val="00416B5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0829867">
      <w:bodyDiv w:val="1"/>
      <w:marLeft w:val="0"/>
      <w:marRight w:val="0"/>
      <w:marTop w:val="0"/>
      <w:marBottom w:val="0"/>
      <w:divBdr>
        <w:top w:val="none" w:sz="0" w:space="0" w:color="auto"/>
        <w:left w:val="none" w:sz="0" w:space="0" w:color="auto"/>
        <w:bottom w:val="none" w:sz="0" w:space="0" w:color="auto"/>
        <w:right w:val="none" w:sz="0" w:space="0" w:color="auto"/>
      </w:divBdr>
      <w:divsChild>
        <w:div w:id="349452535">
          <w:marLeft w:val="274"/>
          <w:marRight w:val="0"/>
          <w:marTop w:val="0"/>
          <w:marBottom w:val="0"/>
          <w:divBdr>
            <w:top w:val="none" w:sz="0" w:space="0" w:color="auto"/>
            <w:left w:val="none" w:sz="0" w:space="0" w:color="auto"/>
            <w:bottom w:val="none" w:sz="0" w:space="0" w:color="auto"/>
            <w:right w:val="none" w:sz="0" w:space="0" w:color="auto"/>
          </w:divBdr>
        </w:div>
        <w:div w:id="472214628">
          <w:marLeft w:val="274"/>
          <w:marRight w:val="0"/>
          <w:marTop w:val="0"/>
          <w:marBottom w:val="0"/>
          <w:divBdr>
            <w:top w:val="none" w:sz="0" w:space="0" w:color="auto"/>
            <w:left w:val="none" w:sz="0" w:space="0" w:color="auto"/>
            <w:bottom w:val="none" w:sz="0" w:space="0" w:color="auto"/>
            <w:right w:val="none" w:sz="0" w:space="0" w:color="auto"/>
          </w:divBdr>
        </w:div>
        <w:div w:id="1262299148">
          <w:marLeft w:val="274"/>
          <w:marRight w:val="0"/>
          <w:marTop w:val="0"/>
          <w:marBottom w:val="0"/>
          <w:divBdr>
            <w:top w:val="none" w:sz="0" w:space="0" w:color="auto"/>
            <w:left w:val="none" w:sz="0" w:space="0" w:color="auto"/>
            <w:bottom w:val="none" w:sz="0" w:space="0" w:color="auto"/>
            <w:right w:val="none" w:sz="0" w:space="0" w:color="auto"/>
          </w:divBdr>
        </w:div>
        <w:div w:id="1008098800">
          <w:marLeft w:val="274"/>
          <w:marRight w:val="0"/>
          <w:marTop w:val="0"/>
          <w:marBottom w:val="0"/>
          <w:divBdr>
            <w:top w:val="none" w:sz="0" w:space="0" w:color="auto"/>
            <w:left w:val="none" w:sz="0" w:space="0" w:color="auto"/>
            <w:bottom w:val="none" w:sz="0" w:space="0" w:color="auto"/>
            <w:right w:val="none" w:sz="0" w:space="0" w:color="auto"/>
          </w:divBdr>
        </w:div>
        <w:div w:id="558784252">
          <w:marLeft w:val="274"/>
          <w:marRight w:val="0"/>
          <w:marTop w:val="0"/>
          <w:marBottom w:val="0"/>
          <w:divBdr>
            <w:top w:val="none" w:sz="0" w:space="0" w:color="auto"/>
            <w:left w:val="none" w:sz="0" w:space="0" w:color="auto"/>
            <w:bottom w:val="none" w:sz="0" w:space="0" w:color="auto"/>
            <w:right w:val="none" w:sz="0" w:space="0" w:color="auto"/>
          </w:divBdr>
        </w:div>
        <w:div w:id="27996872">
          <w:marLeft w:val="274"/>
          <w:marRight w:val="0"/>
          <w:marTop w:val="0"/>
          <w:marBottom w:val="0"/>
          <w:divBdr>
            <w:top w:val="none" w:sz="0" w:space="0" w:color="auto"/>
            <w:left w:val="none" w:sz="0" w:space="0" w:color="auto"/>
            <w:bottom w:val="none" w:sz="0" w:space="0" w:color="auto"/>
            <w:right w:val="none" w:sz="0" w:space="0" w:color="auto"/>
          </w:divBdr>
        </w:div>
        <w:div w:id="1942950357">
          <w:marLeft w:val="274"/>
          <w:marRight w:val="0"/>
          <w:marTop w:val="0"/>
          <w:marBottom w:val="0"/>
          <w:divBdr>
            <w:top w:val="none" w:sz="0" w:space="0" w:color="auto"/>
            <w:left w:val="none" w:sz="0" w:space="0" w:color="auto"/>
            <w:bottom w:val="none" w:sz="0" w:space="0" w:color="auto"/>
            <w:right w:val="none" w:sz="0" w:space="0" w:color="auto"/>
          </w:divBdr>
        </w:div>
        <w:div w:id="1989630668">
          <w:marLeft w:val="274"/>
          <w:marRight w:val="0"/>
          <w:marTop w:val="0"/>
          <w:marBottom w:val="0"/>
          <w:divBdr>
            <w:top w:val="none" w:sz="0" w:space="0" w:color="auto"/>
            <w:left w:val="none" w:sz="0" w:space="0" w:color="auto"/>
            <w:bottom w:val="none" w:sz="0" w:space="0" w:color="auto"/>
            <w:right w:val="none" w:sz="0" w:space="0" w:color="auto"/>
          </w:divBdr>
        </w:div>
        <w:div w:id="1407453859">
          <w:marLeft w:val="274"/>
          <w:marRight w:val="0"/>
          <w:marTop w:val="0"/>
          <w:marBottom w:val="0"/>
          <w:divBdr>
            <w:top w:val="none" w:sz="0" w:space="0" w:color="auto"/>
            <w:left w:val="none" w:sz="0" w:space="0" w:color="auto"/>
            <w:bottom w:val="none" w:sz="0" w:space="0" w:color="auto"/>
            <w:right w:val="none" w:sz="0" w:space="0" w:color="auto"/>
          </w:divBdr>
        </w:div>
        <w:div w:id="993950911">
          <w:marLeft w:val="274"/>
          <w:marRight w:val="0"/>
          <w:marTop w:val="0"/>
          <w:marBottom w:val="0"/>
          <w:divBdr>
            <w:top w:val="none" w:sz="0" w:space="0" w:color="auto"/>
            <w:left w:val="none" w:sz="0" w:space="0" w:color="auto"/>
            <w:bottom w:val="none" w:sz="0" w:space="0" w:color="auto"/>
            <w:right w:val="none" w:sz="0" w:space="0" w:color="auto"/>
          </w:divBdr>
        </w:div>
        <w:div w:id="1103768870">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98F1ABF8-DE55-44BC-9E31-FF85A6832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989</Words>
  <Characters>6292</Characters>
  <Application>Microsoft Office Word</Application>
  <DocSecurity>0</DocSecurity>
  <Lines>112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2024-02-20T10:11:00Z</dcterms:created>
  <dcterms:modified xsi:type="dcterms:W3CDTF">2024-02-20T10:11:00Z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2f96b1d20a7b0ac2de8c50854385378f77f9c1a9b0664024bf5d72409fdb84ec</vt:lpwstr>
  </property>
</Properties>
</file>