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829"/>
        <w:gridCol w:w="3829"/>
      </w:tblGrid>
      <w:tr w:rsidR="008D04DF" w14:paraId="067ACA39" w14:textId="77777777" w:rsidTr="008D04DF">
        <w:tblPrEx>
          <w:tblCellMar>
            <w:top w:w="0" w:type="dxa"/>
            <w:bottom w:w="0" w:type="dxa"/>
          </w:tblCellMar>
        </w:tblPrEx>
        <w:trPr>
          <w:trHeight w:val="4000"/>
        </w:trPr>
        <w:tc>
          <w:tcPr>
            <w:tcW w:w="1368" w:type="dxa"/>
          </w:tcPr>
          <w:p w14:paraId="4C98159A" w14:textId="47DA9246" w:rsidR="008D04DF" w:rsidRDefault="008D04DF">
            <w:r>
              <w:t>Slide 1</w:t>
            </w:r>
          </w:p>
        </w:tc>
        <w:tc>
          <w:tcPr>
            <w:tcW w:w="3829" w:type="dxa"/>
          </w:tcPr>
          <w:p w14:paraId="018188F2" w14:textId="49FEE65D" w:rsidR="008D04DF" w:rsidRDefault="008D04DF">
            <w:r>
              <w:object w:dxaOrig="7194" w:dyaOrig="4052" w14:anchorId="55BB41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9" type="#_x0000_t75" style="width:2in;height:81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109" DrawAspect="Content" ObjectID="_1701099146" r:id="rId5"/>
              </w:object>
            </w:r>
          </w:p>
        </w:tc>
        <w:tc>
          <w:tcPr>
            <w:tcW w:w="3829" w:type="dxa"/>
          </w:tcPr>
          <w:p w14:paraId="616F50C7" w14:textId="77777777" w:rsidR="008D04DF" w:rsidRDefault="008D04DF"/>
        </w:tc>
      </w:tr>
      <w:tr w:rsidR="008D04DF" w14:paraId="631A1D53" w14:textId="77777777" w:rsidTr="008D04DF">
        <w:tblPrEx>
          <w:tblCellMar>
            <w:top w:w="0" w:type="dxa"/>
            <w:bottom w:w="0" w:type="dxa"/>
          </w:tblCellMar>
        </w:tblPrEx>
        <w:trPr>
          <w:trHeight w:val="4000"/>
        </w:trPr>
        <w:tc>
          <w:tcPr>
            <w:tcW w:w="1368" w:type="dxa"/>
          </w:tcPr>
          <w:p w14:paraId="0BD8A538" w14:textId="4037BEBA" w:rsidR="008D04DF" w:rsidRDefault="008D04DF">
            <w:r>
              <w:t>Slide 2</w:t>
            </w:r>
          </w:p>
        </w:tc>
        <w:tc>
          <w:tcPr>
            <w:tcW w:w="3829" w:type="dxa"/>
          </w:tcPr>
          <w:p w14:paraId="114712B7" w14:textId="574576E4" w:rsidR="008D04DF" w:rsidRDefault="008D04DF">
            <w:r>
              <w:object w:dxaOrig="7194" w:dyaOrig="4052" w14:anchorId="012935FB">
                <v:shape id="_x0000_i1030" type="#_x0000_t75" style="width:2in;height:81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01099147" r:id="rId7"/>
              </w:object>
            </w:r>
          </w:p>
        </w:tc>
        <w:tc>
          <w:tcPr>
            <w:tcW w:w="3829" w:type="dxa"/>
          </w:tcPr>
          <w:p w14:paraId="6EA5A0E3" w14:textId="77777777" w:rsidR="008D04DF" w:rsidRDefault="008D04DF"/>
        </w:tc>
      </w:tr>
      <w:tr w:rsidR="008D04DF" w14:paraId="5139BBA2" w14:textId="77777777" w:rsidTr="008D04DF">
        <w:tblPrEx>
          <w:tblCellMar>
            <w:top w:w="0" w:type="dxa"/>
            <w:bottom w:w="0" w:type="dxa"/>
          </w:tblCellMar>
        </w:tblPrEx>
        <w:trPr>
          <w:trHeight w:val="4000"/>
        </w:trPr>
        <w:tc>
          <w:tcPr>
            <w:tcW w:w="1368" w:type="dxa"/>
          </w:tcPr>
          <w:p w14:paraId="6453D91F" w14:textId="36160D48" w:rsidR="008D04DF" w:rsidRDefault="008D04DF">
            <w:r>
              <w:t>Slide 3</w:t>
            </w:r>
          </w:p>
        </w:tc>
        <w:tc>
          <w:tcPr>
            <w:tcW w:w="3829" w:type="dxa"/>
          </w:tcPr>
          <w:p w14:paraId="7FBD5958" w14:textId="23309609" w:rsidR="008D04DF" w:rsidRDefault="008D04DF">
            <w:r>
              <w:object w:dxaOrig="7194" w:dyaOrig="4052" w14:anchorId="74071F70">
                <v:shape id="_x0000_i1035" type="#_x0000_t75" style="width:2in;height:81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01099148" r:id="rId9"/>
              </w:object>
            </w:r>
          </w:p>
        </w:tc>
        <w:tc>
          <w:tcPr>
            <w:tcW w:w="3829" w:type="dxa"/>
          </w:tcPr>
          <w:p w14:paraId="7DE3CE59" w14:textId="77777777" w:rsidR="008D04DF" w:rsidRDefault="008D04DF" w:rsidP="008D04DF">
            <w:pPr>
              <w:autoSpaceDE w:val="0"/>
              <w:autoSpaceDN w:val="0"/>
              <w:adjustRightInd w:val="0"/>
              <w:spacing w:after="0" w:line="240" w:lineRule="auto"/>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In this presentation I will discuss h</w:t>
            </w:r>
            <w:r>
              <w:rPr>
                <w:rFonts w:ascii="Times New Roman" w:eastAsia="Times New Roman" w:hAnsi="Times New Roman" w:cs="Times New Roman"/>
                <w:kern w:val="24"/>
                <w:sz w:val="24"/>
                <w:szCs w:val="24"/>
              </w:rPr>
              <w:t>ow I can use the DIKW and CRAAP frameworks to confirm or refute the work of Angela Duckworth.</w:t>
            </w:r>
          </w:p>
          <w:p w14:paraId="27701F93" w14:textId="77777777" w:rsidR="008D04DF" w:rsidRDefault="008D04DF" w:rsidP="008D04DF">
            <w:pPr>
              <w:autoSpaceDE w:val="0"/>
              <w:autoSpaceDN w:val="0"/>
              <w:adjustRightInd w:val="0"/>
              <w:spacing w:after="0" w:line="240" w:lineRule="auto"/>
              <w:rPr>
                <w:rFonts w:ascii="Times New Roman" w:eastAsia="Times New Roman" w:hAnsi="Times New Roman" w:cs="Times New Roman"/>
                <w:kern w:val="24"/>
                <w:sz w:val="24"/>
                <w:szCs w:val="24"/>
              </w:rPr>
            </w:pPr>
            <w:r>
              <w:rPr>
                <w:rFonts w:ascii="Times New Roman" w:eastAsia="Times New Roman" w:hAnsi="Times New Roman" w:cs="Times New Roman"/>
                <w:color w:val="000000"/>
                <w:kern w:val="24"/>
                <w:sz w:val="24"/>
                <w:szCs w:val="24"/>
              </w:rPr>
              <w:t xml:space="preserve">For over two decades, librarians have been at the forefront of helping their patrons and students Determine what information on the internet is trustworthy and what is likely to be biased or misleading. Academic librarians have developed curricula and taught students how to evaluate web sources for credibility, particularly as more formal </w:t>
            </w:r>
            <w:r>
              <w:rPr>
                <w:rFonts w:ascii="Times New Roman" w:eastAsia="Times New Roman" w:hAnsi="Times New Roman" w:cs="Times New Roman"/>
                <w:color w:val="000000"/>
                <w:kern w:val="24"/>
                <w:sz w:val="24"/>
                <w:szCs w:val="24"/>
              </w:rPr>
              <w:lastRenderedPageBreak/>
              <w:t>information literacy programs developed at the college and university level (and the attendant inclusion of information literacy in many general education programs). This has commonly been accomplished in many institutions by a "one-shot" session using a checklist, often a variation of the CRAAP Method (Currency, Reliability, Authority, Accuracy, and Purpose) devised over 15 years ago at California State University-Chico.</w:t>
            </w:r>
          </w:p>
          <w:p w14:paraId="13780BF8" w14:textId="77777777" w:rsidR="008D04DF" w:rsidRDefault="008D04DF" w:rsidP="008D04DF">
            <w:pPr>
              <w:autoSpaceDE w:val="0"/>
              <w:autoSpaceDN w:val="0"/>
              <w:adjustRightInd w:val="0"/>
              <w:spacing w:after="0" w:line="240" w:lineRule="auto"/>
              <w:rPr>
                <w:rFonts w:ascii="Calibri" w:hAnsi="Calibri" w:cs="Calibri"/>
                <w:kern w:val="24"/>
                <w:sz w:val="24"/>
                <w:szCs w:val="24"/>
              </w:rPr>
            </w:pPr>
          </w:p>
          <w:p w14:paraId="7F6FDA18" w14:textId="77777777" w:rsidR="008D04DF" w:rsidRDefault="008D04DF" w:rsidP="008D04DF">
            <w:pPr>
              <w:autoSpaceDE w:val="0"/>
              <w:autoSpaceDN w:val="0"/>
              <w:adjustRightInd w:val="0"/>
              <w:spacing w:after="0" w:line="240" w:lineRule="auto"/>
              <w:rPr>
                <w:rFonts w:ascii="Arial" w:hAnsi="Arial" w:cs="Arial"/>
                <w:sz w:val="24"/>
                <w:szCs w:val="24"/>
              </w:rPr>
            </w:pPr>
          </w:p>
          <w:p w14:paraId="1E197211" w14:textId="77777777" w:rsidR="008D04DF" w:rsidRDefault="008D04DF"/>
        </w:tc>
      </w:tr>
      <w:tr w:rsidR="008D04DF" w14:paraId="7741971A" w14:textId="77777777" w:rsidTr="008D04DF">
        <w:tblPrEx>
          <w:tblCellMar>
            <w:top w:w="0" w:type="dxa"/>
            <w:bottom w:w="0" w:type="dxa"/>
          </w:tblCellMar>
        </w:tblPrEx>
        <w:trPr>
          <w:trHeight w:val="4000"/>
        </w:trPr>
        <w:tc>
          <w:tcPr>
            <w:tcW w:w="1368" w:type="dxa"/>
          </w:tcPr>
          <w:p w14:paraId="35E41727" w14:textId="35D91144" w:rsidR="008D04DF" w:rsidRDefault="008D04DF">
            <w:r>
              <w:lastRenderedPageBreak/>
              <w:t>Slide 4</w:t>
            </w:r>
          </w:p>
        </w:tc>
        <w:tc>
          <w:tcPr>
            <w:tcW w:w="3829" w:type="dxa"/>
          </w:tcPr>
          <w:p w14:paraId="0A58FA0E" w14:textId="62F4BE99" w:rsidR="008D04DF" w:rsidRDefault="008D04DF">
            <w:r>
              <w:object w:dxaOrig="7194" w:dyaOrig="4052" w14:anchorId="311D7D5B">
                <v:shape id="_x0000_i1041" type="#_x0000_t75" style="width:2in;height:81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1" DrawAspect="Content" ObjectID="_1701099149" r:id="rId11"/>
              </w:object>
            </w:r>
          </w:p>
        </w:tc>
        <w:tc>
          <w:tcPr>
            <w:tcW w:w="3829" w:type="dxa"/>
          </w:tcPr>
          <w:p w14:paraId="0A5BBC57" w14:textId="028908FC" w:rsidR="008D04DF" w:rsidRDefault="008D04DF" w:rsidP="008D04DF">
            <w:pPr>
              <w:autoSpaceDE w:val="0"/>
              <w:autoSpaceDN w:val="0"/>
              <w:adjustRightInd w:val="0"/>
              <w:spacing w:after="0" w:line="240" w:lineRule="auto"/>
              <w:rPr>
                <w:rFonts w:ascii="Times New Roman" w:eastAsia="Times New Roman" w:hAnsi="Times New Roman" w:cs="Times New Roman"/>
                <w:kern w:val="24"/>
                <w:sz w:val="24"/>
                <w:szCs w:val="24"/>
              </w:rPr>
            </w:pPr>
            <w:r>
              <w:rPr>
                <w:rFonts w:ascii="Times New Roman" w:eastAsia="Times New Roman" w:hAnsi="Times New Roman" w:cs="Times New Roman"/>
                <w:color w:val="000000"/>
                <w:kern w:val="24"/>
                <w:sz w:val="24"/>
                <w:szCs w:val="24"/>
              </w:rPr>
              <w:t>The CRAAP method encourages users to conduct an in-depth analysis of a website's credibility, often by finding and analy</w:t>
            </w:r>
            <w:r w:rsidR="00170C20">
              <w:rPr>
                <w:rFonts w:ascii="Times New Roman" w:eastAsia="Times New Roman" w:hAnsi="Times New Roman" w:cs="Times New Roman"/>
                <w:color w:val="000000"/>
                <w:kern w:val="24"/>
                <w:sz w:val="24"/>
                <w:szCs w:val="24"/>
              </w:rPr>
              <w:t>s</w:t>
            </w:r>
            <w:r>
              <w:rPr>
                <w:rFonts w:ascii="Times New Roman" w:eastAsia="Times New Roman" w:hAnsi="Times New Roman" w:cs="Times New Roman"/>
                <w:color w:val="000000"/>
                <w:kern w:val="24"/>
                <w:sz w:val="24"/>
                <w:szCs w:val="24"/>
              </w:rPr>
              <w:t xml:space="preserve">ing the "About Us" section and thoroughly exploring the site to see if there are any named authors, what their credentials might be, and the publishing organization's stated purpose or mission. Other CRAAP considerations include how recently the site was updated, whether page links are functional and lead to other trustworthy sources of information, and whether the site is commercial, non-profit, or educational. Students concentrate on the site itself, doing a "deep dive" into what they discover at a certain URL. The CRAAP approach, as it is now implemented, does not expressly encourage users to leave the site in order to contextualize any content found there. It includes a list of questions to assist you in evaluating the material you obtain. You'll be </w:t>
            </w:r>
            <w:r>
              <w:rPr>
                <w:rFonts w:ascii="Times New Roman" w:eastAsia="Times New Roman" w:hAnsi="Times New Roman" w:cs="Times New Roman"/>
                <w:color w:val="000000"/>
                <w:kern w:val="24"/>
                <w:sz w:val="24"/>
                <w:szCs w:val="24"/>
              </w:rPr>
              <w:lastRenderedPageBreak/>
              <w:t>more confident in your ability to choose sources that will meet your assignment's requirements. Not all criteria apply to all resources in the same way at the same time.</w:t>
            </w:r>
          </w:p>
          <w:p w14:paraId="7C5504A8" w14:textId="77777777" w:rsidR="008D04DF" w:rsidRDefault="008D04DF" w:rsidP="008D04DF">
            <w:pPr>
              <w:autoSpaceDE w:val="0"/>
              <w:autoSpaceDN w:val="0"/>
              <w:adjustRightInd w:val="0"/>
              <w:spacing w:after="0" w:line="240" w:lineRule="auto"/>
              <w:rPr>
                <w:rFonts w:ascii="Calibri" w:hAnsi="Calibri" w:cs="Calibri"/>
                <w:kern w:val="24"/>
                <w:sz w:val="24"/>
                <w:szCs w:val="24"/>
              </w:rPr>
            </w:pPr>
          </w:p>
          <w:p w14:paraId="64A0A3EE" w14:textId="77777777" w:rsidR="008D04DF" w:rsidRDefault="008D04DF" w:rsidP="008D04DF">
            <w:pPr>
              <w:autoSpaceDE w:val="0"/>
              <w:autoSpaceDN w:val="0"/>
              <w:adjustRightInd w:val="0"/>
              <w:spacing w:after="0" w:line="240" w:lineRule="auto"/>
              <w:rPr>
                <w:rFonts w:ascii="Arial" w:hAnsi="Arial" w:cs="Arial"/>
                <w:sz w:val="24"/>
                <w:szCs w:val="24"/>
              </w:rPr>
            </w:pPr>
          </w:p>
          <w:p w14:paraId="127D981F" w14:textId="77777777" w:rsidR="008D04DF" w:rsidRDefault="008D04DF"/>
        </w:tc>
      </w:tr>
      <w:tr w:rsidR="008D04DF" w14:paraId="793B01C9" w14:textId="77777777" w:rsidTr="008D04DF">
        <w:tblPrEx>
          <w:tblCellMar>
            <w:top w:w="0" w:type="dxa"/>
            <w:bottom w:w="0" w:type="dxa"/>
          </w:tblCellMar>
        </w:tblPrEx>
        <w:trPr>
          <w:trHeight w:val="4000"/>
        </w:trPr>
        <w:tc>
          <w:tcPr>
            <w:tcW w:w="1368" w:type="dxa"/>
          </w:tcPr>
          <w:p w14:paraId="4B30D21C" w14:textId="69D29B85" w:rsidR="008D04DF" w:rsidRDefault="008D04DF">
            <w:r>
              <w:lastRenderedPageBreak/>
              <w:t>Slide 5</w:t>
            </w:r>
          </w:p>
        </w:tc>
        <w:tc>
          <w:tcPr>
            <w:tcW w:w="3829" w:type="dxa"/>
          </w:tcPr>
          <w:p w14:paraId="2AF94CB9" w14:textId="16327115" w:rsidR="008D04DF" w:rsidRDefault="008D04DF">
            <w:r>
              <w:object w:dxaOrig="7194" w:dyaOrig="4052" w14:anchorId="08FD2BDA">
                <v:shape id="_x0000_i1047" type="#_x0000_t75" style="width:2in;height:81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7" DrawAspect="Content" ObjectID="_1701099150" r:id="rId13"/>
              </w:object>
            </w:r>
          </w:p>
        </w:tc>
        <w:tc>
          <w:tcPr>
            <w:tcW w:w="3829" w:type="dxa"/>
          </w:tcPr>
          <w:p w14:paraId="18B093D0" w14:textId="77777777" w:rsidR="008D04DF" w:rsidRDefault="008D04DF" w:rsidP="008D04DF">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The DIKW (data</w:t>
            </w:r>
            <w:r>
              <w:rPr>
                <w:rFonts w:ascii="Calibri" w:eastAsia="Times New Roman" w:hAnsi="Times New Roman" w:cs="Calibri"/>
                <w:kern w:val="24"/>
                <w:sz w:val="24"/>
                <w:szCs w:val="24"/>
              </w:rPr>
              <w:t>–</w:t>
            </w:r>
            <w:r>
              <w:rPr>
                <w:rFonts w:ascii="Calibri" w:eastAsia="Times New Roman" w:hAnsi="Times New Roman" w:cs="Calibri"/>
                <w:kern w:val="24"/>
                <w:sz w:val="24"/>
                <w:szCs w:val="24"/>
              </w:rPr>
              <w:t>information</w:t>
            </w:r>
            <w:r>
              <w:rPr>
                <w:rFonts w:ascii="Calibri" w:eastAsia="Times New Roman" w:hAnsi="Times New Roman" w:cs="Calibri"/>
                <w:kern w:val="24"/>
                <w:sz w:val="24"/>
                <w:szCs w:val="24"/>
              </w:rPr>
              <w:t>–</w:t>
            </w:r>
            <w:r>
              <w:rPr>
                <w:rFonts w:ascii="Calibri" w:eastAsia="Times New Roman" w:hAnsi="Times New Roman" w:cs="Calibri"/>
                <w:kern w:val="24"/>
                <w:sz w:val="24"/>
                <w:szCs w:val="24"/>
              </w:rPr>
              <w:t>knowledge</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wisdom) hierarchy, also known as the 'Knowledge Hierarchy,' 'Information Hierarchy,' and 'Knowledge Pyramid,' is one of the most fundamental, generally recognized, and 'taken-for-granted' models in the information and knowledge literatures. In textbooks on information management, information systems, and knowledge management, it is frequently mentioned or utilized implicitly in definitions of data, information, and knowledge. The hierarchy is used to place data, information, knowledge, and wisdom in context with one another, as well as to identify and describe the processes involved in the transformation of a lower-level entity (e.g. data) into a higher-level entity (e.g. wisdom) (e.g. information). Data can be used to produce information, information can be used to create knowledge, and knowledge can be used to </w:t>
            </w:r>
            <w:r>
              <w:rPr>
                <w:rFonts w:ascii="Calibri" w:eastAsia="Times New Roman" w:hAnsi="Times New Roman" w:cs="Calibri"/>
                <w:kern w:val="24"/>
                <w:sz w:val="24"/>
                <w:szCs w:val="24"/>
              </w:rPr>
              <w:lastRenderedPageBreak/>
              <w:t xml:space="preserve">develop wisdom, according to the implicit assumption. Literatures on the cutting edge In textbooks on information management, information systems, and knowledge management, it is frequently mentioned or utilized implicitly in definitions of data, information, and knowledge. The hierarchy is used to place data, information, knowledge, and wisdom in context with one another, as well as to identify and describe the processes involved in the transformation of a lower-level entity (e.g. data) into a higher-level entity (e.g. wisdom) (e.g. information). Data can be used to produce information, information can be used to create knowledge, and knowledge can be used to develop wisdom, according to the implicit assumption. Each of the higher types in the hierarchy 'includes the categories that fall below it,' as </w:t>
            </w:r>
            <w:proofErr w:type="spellStart"/>
            <w:r>
              <w:rPr>
                <w:rFonts w:ascii="Calibri" w:eastAsia="Times New Roman" w:hAnsi="Times New Roman" w:cs="Calibri"/>
                <w:kern w:val="24"/>
                <w:sz w:val="24"/>
                <w:szCs w:val="24"/>
              </w:rPr>
              <w:t>Ackoff</w:t>
            </w:r>
            <w:proofErr w:type="spellEnd"/>
            <w:r>
              <w:rPr>
                <w:rFonts w:ascii="Calibri" w:eastAsia="Times New Roman" w:hAnsi="Times New Roman" w:cs="Calibri"/>
                <w:kern w:val="24"/>
                <w:sz w:val="24"/>
                <w:szCs w:val="24"/>
              </w:rPr>
              <w:t xml:space="preserve"> [1], whose paper is frequently cited when the DIKW hierarchy is quoted, says. It is assumed that the world's diverse and varied objects have attributes that may be examined. The symbolic representation of these observable properties is called data (Rowley 2007, Section 5.2 Defining Data). </w:t>
            </w:r>
          </w:p>
          <w:p w14:paraId="49235506" w14:textId="77777777" w:rsidR="008D04DF" w:rsidRDefault="008D04DF" w:rsidP="008D04DF">
            <w:pPr>
              <w:autoSpaceDE w:val="0"/>
              <w:autoSpaceDN w:val="0"/>
              <w:adjustRightInd w:val="0"/>
              <w:spacing w:after="0" w:line="240" w:lineRule="auto"/>
              <w:jc w:val="both"/>
              <w:rPr>
                <w:rFonts w:ascii="Calibri" w:hAnsi="Calibri" w:cs="Calibri"/>
                <w:kern w:val="24"/>
                <w:sz w:val="24"/>
                <w:szCs w:val="24"/>
              </w:rPr>
            </w:pPr>
          </w:p>
          <w:p w14:paraId="6B81A570" w14:textId="77777777" w:rsidR="008D04DF" w:rsidRDefault="008D04DF" w:rsidP="008D04DF">
            <w:pPr>
              <w:autoSpaceDE w:val="0"/>
              <w:autoSpaceDN w:val="0"/>
              <w:adjustRightInd w:val="0"/>
              <w:spacing w:after="0" w:line="240" w:lineRule="auto"/>
              <w:rPr>
                <w:rFonts w:ascii="Arial" w:hAnsi="Arial" w:cs="Arial"/>
                <w:sz w:val="24"/>
                <w:szCs w:val="24"/>
              </w:rPr>
            </w:pPr>
          </w:p>
          <w:p w14:paraId="390112CD" w14:textId="77777777" w:rsidR="008D04DF" w:rsidRDefault="008D04DF"/>
        </w:tc>
      </w:tr>
      <w:tr w:rsidR="008D04DF" w14:paraId="64AC2AF6" w14:textId="77777777" w:rsidTr="008D04DF">
        <w:tblPrEx>
          <w:tblCellMar>
            <w:top w:w="0" w:type="dxa"/>
            <w:bottom w:w="0" w:type="dxa"/>
          </w:tblCellMar>
        </w:tblPrEx>
        <w:trPr>
          <w:trHeight w:val="4000"/>
        </w:trPr>
        <w:tc>
          <w:tcPr>
            <w:tcW w:w="1368" w:type="dxa"/>
          </w:tcPr>
          <w:p w14:paraId="3FC1C52C" w14:textId="512D3D27" w:rsidR="008D04DF" w:rsidRDefault="008D04DF">
            <w:r>
              <w:lastRenderedPageBreak/>
              <w:t>Slide 6</w:t>
            </w:r>
          </w:p>
        </w:tc>
        <w:tc>
          <w:tcPr>
            <w:tcW w:w="3829" w:type="dxa"/>
          </w:tcPr>
          <w:p w14:paraId="07B601DA" w14:textId="212BBB7B" w:rsidR="008D04DF" w:rsidRDefault="008D04DF">
            <w:r>
              <w:object w:dxaOrig="7194" w:dyaOrig="4052" w14:anchorId="5ED83B95">
                <v:shape id="_x0000_i1053" type="#_x0000_t75" style="width:2in;height:81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3" DrawAspect="Content" ObjectID="_1701099151" r:id="rId15"/>
              </w:object>
            </w:r>
          </w:p>
        </w:tc>
        <w:tc>
          <w:tcPr>
            <w:tcW w:w="3829" w:type="dxa"/>
          </w:tcPr>
          <w:p w14:paraId="7A8075E2" w14:textId="77777777" w:rsidR="008D04DF" w:rsidRDefault="008D04DF" w:rsidP="008D04DF">
            <w:pPr>
              <w:autoSpaceDE w:val="0"/>
              <w:autoSpaceDN w:val="0"/>
              <w:adjustRightInd w:val="0"/>
              <w:spacing w:after="0" w:line="240" w:lineRule="auto"/>
              <w:rPr>
                <w:rFonts w:ascii="Calibri" w:hAnsi="Calibri" w:cs="Calibri"/>
                <w:kern w:val="24"/>
                <w:sz w:val="24"/>
                <w:szCs w:val="24"/>
              </w:rPr>
            </w:pPr>
            <w:r>
              <w:rPr>
                <w:rFonts w:ascii="Times New Roman" w:eastAsia="Times New Roman" w:hAnsi="Times New Roman" w:cs="Times New Roman"/>
                <w:color w:val="000000"/>
                <w:kern w:val="24"/>
                <w:sz w:val="24"/>
                <w:szCs w:val="24"/>
              </w:rPr>
              <w:t xml:space="preserve">Automatic instrument systems are a great example of data and data acquisition; for example, an unmanned weather station may record daily maximum and minimum temperatures; such recordings represent data. "Data are symbols that represent properties of objects, events, and their contexts," argues </w:t>
            </w:r>
            <w:proofErr w:type="spellStart"/>
            <w:r>
              <w:rPr>
                <w:rFonts w:ascii="Times New Roman" w:eastAsia="Times New Roman" w:hAnsi="Times New Roman" w:cs="Times New Roman"/>
                <w:color w:val="000000"/>
                <w:kern w:val="24"/>
                <w:sz w:val="24"/>
                <w:szCs w:val="24"/>
              </w:rPr>
              <w:t>Ackoff</w:t>
            </w:r>
            <w:proofErr w:type="spellEnd"/>
            <w:r>
              <w:rPr>
                <w:rFonts w:ascii="Times New Roman" w:eastAsia="Times New Roman" w:hAnsi="Times New Roman" w:cs="Times New Roman"/>
                <w:color w:val="000000"/>
                <w:kern w:val="24"/>
                <w:sz w:val="24"/>
                <w:szCs w:val="24"/>
              </w:rPr>
              <w:t xml:space="preserve"> (1989, 3). They're the result of a process of observation. Observing is the same as sensing. Of course, sensing and instrumentation technology has advanced significantly." Information is the next level in the hierarchy. This is data that is useful, usable, substantial, meaningful, or processed (Rowley 2007, Section 5.3 Defining Information). The image depicts a human asking a question that begins with "who," "what," "where," "when," or "how many" (</w:t>
            </w:r>
            <w:proofErr w:type="spellStart"/>
            <w:r>
              <w:rPr>
                <w:rFonts w:ascii="Times New Roman" w:eastAsia="Times New Roman" w:hAnsi="Times New Roman" w:cs="Times New Roman"/>
                <w:color w:val="000000"/>
                <w:kern w:val="24"/>
                <w:sz w:val="24"/>
                <w:szCs w:val="24"/>
              </w:rPr>
              <w:t>Ackoff</w:t>
            </w:r>
            <w:proofErr w:type="spellEnd"/>
            <w:r>
              <w:rPr>
                <w:rFonts w:ascii="Times New Roman" w:eastAsia="Times New Roman" w:hAnsi="Times New Roman" w:cs="Times New Roman"/>
                <w:color w:val="000000"/>
                <w:kern w:val="24"/>
                <w:sz w:val="24"/>
                <w:szCs w:val="24"/>
              </w:rPr>
              <w:t xml:space="preserve"> 1989, 3), and the data is processed into a response to the query. When this occurs, the data is transformed into "information." Data is useless until it is turned into a useful format. As a result, the distinction between data and information is functional rather than structural (</w:t>
            </w:r>
            <w:proofErr w:type="spellStart"/>
            <w:r>
              <w:rPr>
                <w:rFonts w:ascii="Times New Roman" w:eastAsia="Times New Roman" w:hAnsi="Times New Roman" w:cs="Times New Roman"/>
                <w:color w:val="000000"/>
                <w:kern w:val="24"/>
                <w:sz w:val="24"/>
                <w:szCs w:val="24"/>
              </w:rPr>
              <w:t>Ackoff</w:t>
            </w:r>
            <w:proofErr w:type="spellEnd"/>
            <w:r>
              <w:rPr>
                <w:rFonts w:ascii="Times New Roman" w:eastAsia="Times New Roman" w:hAnsi="Times New Roman" w:cs="Times New Roman"/>
                <w:color w:val="000000"/>
                <w:kern w:val="24"/>
                <w:sz w:val="24"/>
                <w:szCs w:val="24"/>
              </w:rPr>
              <w:t xml:space="preserve"> 1989, 3). Data can also be used to infer information that isn't immediately available. </w:t>
            </w:r>
          </w:p>
          <w:p w14:paraId="2D375FD4" w14:textId="77777777" w:rsidR="008D04DF" w:rsidRDefault="008D04DF" w:rsidP="008D04DF">
            <w:pPr>
              <w:autoSpaceDE w:val="0"/>
              <w:autoSpaceDN w:val="0"/>
              <w:adjustRightInd w:val="0"/>
              <w:spacing w:after="0" w:line="240" w:lineRule="auto"/>
              <w:rPr>
                <w:rFonts w:ascii="Arial" w:hAnsi="Arial" w:cs="Arial"/>
                <w:sz w:val="24"/>
                <w:szCs w:val="24"/>
              </w:rPr>
            </w:pPr>
          </w:p>
          <w:p w14:paraId="6C71CC01" w14:textId="77777777" w:rsidR="008D04DF" w:rsidRDefault="008D04DF"/>
        </w:tc>
      </w:tr>
      <w:tr w:rsidR="008D04DF" w14:paraId="7F0C7539" w14:textId="77777777" w:rsidTr="008D04DF">
        <w:tblPrEx>
          <w:tblCellMar>
            <w:top w:w="0" w:type="dxa"/>
            <w:bottom w:w="0" w:type="dxa"/>
          </w:tblCellMar>
        </w:tblPrEx>
        <w:trPr>
          <w:trHeight w:val="4000"/>
        </w:trPr>
        <w:tc>
          <w:tcPr>
            <w:tcW w:w="1368" w:type="dxa"/>
          </w:tcPr>
          <w:p w14:paraId="1D69D372" w14:textId="12EC210B" w:rsidR="008D04DF" w:rsidRDefault="008D04DF">
            <w:r>
              <w:lastRenderedPageBreak/>
              <w:t>Slide 7</w:t>
            </w:r>
          </w:p>
        </w:tc>
        <w:tc>
          <w:tcPr>
            <w:tcW w:w="3829" w:type="dxa"/>
          </w:tcPr>
          <w:p w14:paraId="7FE16E63" w14:textId="0C83CC09" w:rsidR="008D04DF" w:rsidRDefault="008D04DF">
            <w:r>
              <w:object w:dxaOrig="7194" w:dyaOrig="4052" w14:anchorId="48CB3103">
                <v:shape id="_x0000_i1059" type="#_x0000_t75" style="width:2in;height:81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9" DrawAspect="Content" ObjectID="_1701099152" r:id="rId17"/>
              </w:object>
            </w:r>
          </w:p>
        </w:tc>
        <w:tc>
          <w:tcPr>
            <w:tcW w:w="3829" w:type="dxa"/>
          </w:tcPr>
          <w:p w14:paraId="6774068A" w14:textId="77777777" w:rsidR="008D04DF" w:rsidRDefault="008D04DF" w:rsidP="008D04DF">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color w:val="000000"/>
                <w:kern w:val="24"/>
                <w:sz w:val="24"/>
                <w:szCs w:val="24"/>
              </w:rPr>
              <w:t xml:space="preserve">For instance, if someone asked, "What is the average temperature in July?" Individual temperatures may be explicitly recorded as data, but the average temperature may not be; however, the average temperature can be estimated or inferred from individual temperature data. "Information systems generate, store, retrieve, and process data," says </w:t>
            </w:r>
            <w:proofErr w:type="spellStart"/>
            <w:r>
              <w:rPr>
                <w:rFonts w:ascii="Times New Roman" w:eastAsia="Times New Roman" w:hAnsi="Times New Roman" w:cs="Times New Roman"/>
                <w:color w:val="000000"/>
                <w:kern w:val="24"/>
                <w:sz w:val="24"/>
                <w:szCs w:val="24"/>
              </w:rPr>
              <w:t>Ackoff</w:t>
            </w:r>
            <w:proofErr w:type="spellEnd"/>
            <w:r>
              <w:rPr>
                <w:rFonts w:ascii="Times New Roman" w:eastAsia="Times New Roman" w:hAnsi="Times New Roman" w:cs="Times New Roman"/>
                <w:color w:val="000000"/>
                <w:kern w:val="24"/>
                <w:sz w:val="24"/>
                <w:szCs w:val="24"/>
              </w:rPr>
              <w:t xml:space="preserve"> (1989, 3): "Information systems generate, store, retrieve, and process data." Their processing is frequently statistical or arithmetical. In any scenario, data is used to infer information." Relevant data, as well as the results of conclusions drawn from that data, is what information is. As a result, information is a subset of the data, or a subset of the data with extra items inferred, calculated, or refined from that subset. Knowledge is the next category. Knowledge is frequently construed as know-how or competence by users of this hierarchy, rather than knowledge in the sense of propositional knowledge's know-that. According to </w:t>
            </w:r>
            <w:proofErr w:type="spellStart"/>
            <w:r>
              <w:rPr>
                <w:rFonts w:ascii="Times New Roman" w:eastAsia="Times New Roman" w:hAnsi="Times New Roman" w:cs="Times New Roman"/>
                <w:color w:val="000000"/>
                <w:kern w:val="24"/>
                <w:sz w:val="24"/>
                <w:szCs w:val="24"/>
              </w:rPr>
              <w:t>Ackoff</w:t>
            </w:r>
            <w:proofErr w:type="spellEnd"/>
            <w:r>
              <w:rPr>
                <w:rFonts w:ascii="Times New Roman" w:eastAsia="Times New Roman" w:hAnsi="Times New Roman" w:cs="Times New Roman"/>
                <w:color w:val="000000"/>
                <w:kern w:val="24"/>
                <w:sz w:val="24"/>
                <w:szCs w:val="24"/>
              </w:rPr>
              <w:t xml:space="preserve"> (1989, 4), knowhow enables an agent to promote knowledge to a controlling role, allowing it to be transformed into instructions: "Knowledge is the ability to understand how something works, such as how a system operates. It's what makes the transformation of data into instructions possible. It allows a system to be controlled. Controlling a system entails making it run smoothly. Wisdom is a category higher up the hierarchy that has always received less attention (although see </w:t>
            </w:r>
            <w:proofErr w:type="spellStart"/>
            <w:r>
              <w:rPr>
                <w:rFonts w:ascii="Times New Roman" w:eastAsia="Times New Roman" w:hAnsi="Times New Roman" w:cs="Times New Roman"/>
                <w:color w:val="000000"/>
                <w:kern w:val="24"/>
                <w:sz w:val="24"/>
                <w:szCs w:val="24"/>
              </w:rPr>
              <w:t>Dalal</w:t>
            </w:r>
            <w:proofErr w:type="spellEnd"/>
            <w:r>
              <w:rPr>
                <w:rFonts w:ascii="Times New Roman" w:eastAsia="Times New Roman" w:hAnsi="Times New Roman" w:cs="Times New Roman"/>
                <w:color w:val="000000"/>
                <w:kern w:val="24"/>
                <w:sz w:val="24"/>
                <w:szCs w:val="24"/>
              </w:rPr>
              <w:t xml:space="preserve"> (2012), Hoppe et </w:t>
            </w:r>
            <w:r>
              <w:rPr>
                <w:rFonts w:ascii="Times New Roman" w:eastAsia="Times New Roman" w:hAnsi="Times New Roman" w:cs="Times New Roman"/>
                <w:color w:val="000000"/>
                <w:kern w:val="24"/>
                <w:sz w:val="24"/>
                <w:szCs w:val="24"/>
              </w:rPr>
              <w:lastRenderedPageBreak/>
              <w:t xml:space="preserve">al. (2011), and Liew 2013). Despite the fact that wisdom is traditionally seen as a tier in the hierarchy, few authors address or apply it. This could be due to the fact that it isn't required for the issues they address (Rowley 2007). While </w:t>
            </w:r>
            <w:proofErr w:type="spellStart"/>
            <w:r>
              <w:rPr>
                <w:rFonts w:ascii="Times New Roman" w:eastAsia="Times New Roman" w:hAnsi="Times New Roman" w:cs="Times New Roman"/>
                <w:color w:val="000000"/>
                <w:kern w:val="24"/>
                <w:sz w:val="24"/>
                <w:szCs w:val="24"/>
              </w:rPr>
              <w:t>Ackoff</w:t>
            </w:r>
            <w:proofErr w:type="spellEnd"/>
            <w:r>
              <w:rPr>
                <w:rFonts w:ascii="Times New Roman" w:eastAsia="Times New Roman" w:hAnsi="Times New Roman" w:cs="Times New Roman"/>
                <w:color w:val="000000"/>
                <w:kern w:val="24"/>
                <w:sz w:val="24"/>
                <w:szCs w:val="24"/>
              </w:rPr>
              <w:t xml:space="preserve"> does not define wisdom, he does describe how it operates (1989, 9):</w:t>
            </w:r>
            <w:r>
              <w:rPr>
                <w:rFonts w:ascii="Times New Roman" w:eastAsia="Times New Roman" w:hAnsi="Times New Roman" w:cs="Times New Roman"/>
                <w:i/>
                <w:iCs/>
                <w:color w:val="000000"/>
                <w:kern w:val="24"/>
                <w:sz w:val="24"/>
                <w:szCs w:val="24"/>
              </w:rPr>
              <w:t xml:space="preserve"> </w:t>
            </w:r>
          </w:p>
          <w:p w14:paraId="692BDD4F" w14:textId="77777777" w:rsidR="008D04DF" w:rsidRDefault="008D04DF" w:rsidP="008D04DF">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i/>
                <w:iCs/>
                <w:color w:val="000000"/>
                <w:kern w:val="24"/>
                <w:sz w:val="24"/>
                <w:szCs w:val="24"/>
              </w:rPr>
              <w:t>“Wisdom adds value, which requires the mental function we call judgement.… The value of an act is never independent of the actor … [ethical and aesthetic values] are unique and personal … wisdom-generating systems are ones that man will never be able to assign to automata. It may well be that wisdom, which is essential to the effective pursuit of ideals, and the pursuit of ideals itself, are the characteristics that differentiate man from machines.”</w:t>
            </w:r>
          </w:p>
          <w:p w14:paraId="52D5FF3B" w14:textId="77777777" w:rsidR="008D04DF" w:rsidRDefault="008D04DF" w:rsidP="008D04DF">
            <w:pPr>
              <w:autoSpaceDE w:val="0"/>
              <w:autoSpaceDN w:val="0"/>
              <w:adjustRightInd w:val="0"/>
              <w:spacing w:after="0" w:line="240" w:lineRule="auto"/>
              <w:rPr>
                <w:rFonts w:ascii="Calibri" w:hAnsi="Calibri" w:cs="Calibri"/>
                <w:kern w:val="24"/>
                <w:sz w:val="24"/>
                <w:szCs w:val="24"/>
              </w:rPr>
            </w:pPr>
          </w:p>
          <w:p w14:paraId="76AD6AF9" w14:textId="77777777" w:rsidR="008D04DF" w:rsidRDefault="008D04DF" w:rsidP="008D04DF">
            <w:pPr>
              <w:autoSpaceDE w:val="0"/>
              <w:autoSpaceDN w:val="0"/>
              <w:adjustRightInd w:val="0"/>
              <w:spacing w:after="0" w:line="240" w:lineRule="auto"/>
              <w:rPr>
                <w:rFonts w:ascii="Arial" w:hAnsi="Arial" w:cs="Arial"/>
                <w:sz w:val="24"/>
                <w:szCs w:val="24"/>
              </w:rPr>
            </w:pPr>
          </w:p>
          <w:p w14:paraId="0654D217" w14:textId="77777777" w:rsidR="008D04DF" w:rsidRDefault="008D04DF"/>
        </w:tc>
      </w:tr>
      <w:tr w:rsidR="008D04DF" w14:paraId="4E7B4B93" w14:textId="77777777" w:rsidTr="008D04DF">
        <w:tblPrEx>
          <w:tblCellMar>
            <w:top w:w="0" w:type="dxa"/>
            <w:bottom w:w="0" w:type="dxa"/>
          </w:tblCellMar>
        </w:tblPrEx>
        <w:trPr>
          <w:trHeight w:val="4000"/>
        </w:trPr>
        <w:tc>
          <w:tcPr>
            <w:tcW w:w="1368" w:type="dxa"/>
          </w:tcPr>
          <w:p w14:paraId="67A0035D" w14:textId="5238B494" w:rsidR="008D04DF" w:rsidRDefault="008D04DF">
            <w:r>
              <w:lastRenderedPageBreak/>
              <w:t>Slide 8</w:t>
            </w:r>
          </w:p>
        </w:tc>
        <w:tc>
          <w:tcPr>
            <w:tcW w:w="3829" w:type="dxa"/>
          </w:tcPr>
          <w:p w14:paraId="00ADFB4E" w14:textId="111D557D" w:rsidR="008D04DF" w:rsidRDefault="008D04DF">
            <w:r>
              <w:object w:dxaOrig="7194" w:dyaOrig="4052" w14:anchorId="6B4F4BF1">
                <v:shape id="_x0000_i1065" type="#_x0000_t75" style="width:2in;height:81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5" DrawAspect="Content" ObjectID="_1701099153" r:id="rId19"/>
              </w:object>
            </w:r>
          </w:p>
        </w:tc>
        <w:tc>
          <w:tcPr>
            <w:tcW w:w="3829" w:type="dxa"/>
          </w:tcPr>
          <w:p w14:paraId="4EAEA43C" w14:textId="77777777" w:rsidR="008D04DF" w:rsidRDefault="008D04DF" w:rsidP="008D04DF">
            <w:pPr>
              <w:autoSpaceDE w:val="0"/>
              <w:autoSpaceDN w:val="0"/>
              <w:adjustRightInd w:val="0"/>
              <w:spacing w:after="0" w:line="240" w:lineRule="auto"/>
              <w:rPr>
                <w:rFonts w:ascii="Times New Roman" w:eastAsia="Times New Roman" w:hAnsi="Times New Roman" w:cs="Times New Roman"/>
                <w:kern w:val="24"/>
                <w:sz w:val="24"/>
                <w:szCs w:val="24"/>
              </w:rPr>
            </w:pPr>
            <w:r>
              <w:rPr>
                <w:rFonts w:ascii="Times New Roman" w:eastAsia="Times New Roman" w:hAnsi="Times New Roman" w:cs="Times New Roman"/>
                <w:color w:val="222222"/>
                <w:kern w:val="24"/>
                <w:sz w:val="24"/>
                <w:szCs w:val="24"/>
              </w:rPr>
              <w:t xml:space="preserve">In 1992, Angela Duckworth graduated from Harvard University with a B.A. in Neurobiology. In 1996, she earned an MSc in neuroscience from the University of Oxford. In 2006, she graduated from the University of Pennsylvania with a doctorate in psychology. Grit is a form of perseverance, according to Duckworth. Anyone who wants to achieve great things needs to be persistent. High performers are never content with achieving the bare minimum. As a result, because they are continuously looking for more, </w:t>
            </w:r>
            <w:r>
              <w:rPr>
                <w:rFonts w:ascii="Times New Roman" w:eastAsia="Times New Roman" w:hAnsi="Times New Roman" w:cs="Times New Roman"/>
                <w:color w:val="222222"/>
                <w:kern w:val="24"/>
                <w:sz w:val="24"/>
                <w:szCs w:val="24"/>
              </w:rPr>
              <w:lastRenderedPageBreak/>
              <w:t>these people never feel they will achieve their goals. High performers are also dissatisfied with their own work and results. Surprisingly, these people thrive on unhappiness because they are constantly seeking new experiences. True grit, according to Duckworth, is defined by an unwavering commitment to a cause, as well as pain and frustration. 'Giving up' is not an option for people who have true tenacity.</w:t>
            </w:r>
          </w:p>
          <w:p w14:paraId="1CDF645F" w14:textId="77777777" w:rsidR="008D04DF" w:rsidRDefault="008D04DF" w:rsidP="008D04DF">
            <w:pPr>
              <w:autoSpaceDE w:val="0"/>
              <w:autoSpaceDN w:val="0"/>
              <w:adjustRightInd w:val="0"/>
              <w:spacing w:after="0" w:line="240" w:lineRule="auto"/>
              <w:rPr>
                <w:rFonts w:ascii="Calibri" w:hAnsi="Calibri" w:cs="Calibri"/>
                <w:kern w:val="24"/>
                <w:sz w:val="24"/>
                <w:szCs w:val="24"/>
              </w:rPr>
            </w:pPr>
          </w:p>
          <w:p w14:paraId="411A4A6E" w14:textId="77777777" w:rsidR="008D04DF" w:rsidRDefault="008D04DF" w:rsidP="008D04DF">
            <w:pPr>
              <w:autoSpaceDE w:val="0"/>
              <w:autoSpaceDN w:val="0"/>
              <w:adjustRightInd w:val="0"/>
              <w:spacing w:after="0" w:line="240" w:lineRule="auto"/>
              <w:rPr>
                <w:rFonts w:ascii="Arial" w:hAnsi="Arial" w:cs="Arial"/>
                <w:sz w:val="24"/>
                <w:szCs w:val="24"/>
              </w:rPr>
            </w:pPr>
          </w:p>
          <w:p w14:paraId="2D8E7DC2" w14:textId="77777777" w:rsidR="008D04DF" w:rsidRDefault="008D04DF"/>
        </w:tc>
      </w:tr>
      <w:tr w:rsidR="008D04DF" w14:paraId="12BE7720" w14:textId="77777777" w:rsidTr="008D04DF">
        <w:tblPrEx>
          <w:tblCellMar>
            <w:top w:w="0" w:type="dxa"/>
            <w:bottom w:w="0" w:type="dxa"/>
          </w:tblCellMar>
        </w:tblPrEx>
        <w:trPr>
          <w:trHeight w:val="4000"/>
        </w:trPr>
        <w:tc>
          <w:tcPr>
            <w:tcW w:w="1368" w:type="dxa"/>
          </w:tcPr>
          <w:p w14:paraId="4326786A" w14:textId="7D58DF57" w:rsidR="008D04DF" w:rsidRDefault="008D04DF">
            <w:r>
              <w:lastRenderedPageBreak/>
              <w:t>Slide 9</w:t>
            </w:r>
          </w:p>
        </w:tc>
        <w:tc>
          <w:tcPr>
            <w:tcW w:w="3829" w:type="dxa"/>
          </w:tcPr>
          <w:p w14:paraId="35E64C8E" w14:textId="475511CF" w:rsidR="008D04DF" w:rsidRDefault="008D04DF">
            <w:r>
              <w:object w:dxaOrig="7194" w:dyaOrig="4052" w14:anchorId="7590BC5E">
                <v:shape id="_x0000_i1071" type="#_x0000_t75" style="width:2in;height:81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1" DrawAspect="Content" ObjectID="_1701099154" r:id="rId21"/>
              </w:object>
            </w:r>
          </w:p>
        </w:tc>
        <w:tc>
          <w:tcPr>
            <w:tcW w:w="3829" w:type="dxa"/>
          </w:tcPr>
          <w:p w14:paraId="5947A41E" w14:textId="77777777" w:rsidR="008D04DF" w:rsidRDefault="008D04DF" w:rsidP="008D04DF">
            <w:pPr>
              <w:autoSpaceDE w:val="0"/>
              <w:autoSpaceDN w:val="0"/>
              <w:adjustRightInd w:val="0"/>
              <w:spacing w:after="0" w:line="240" w:lineRule="auto"/>
              <w:rPr>
                <w:rFonts w:ascii="Times New Roman" w:eastAsia="Times New Roman" w:hAnsi="Times New Roman" w:cs="Times New Roman"/>
                <w:kern w:val="24"/>
                <w:sz w:val="24"/>
                <w:szCs w:val="24"/>
              </w:rPr>
            </w:pPr>
            <w:r>
              <w:rPr>
                <w:rFonts w:ascii="Times New Roman" w:eastAsia="Times New Roman" w:hAnsi="Times New Roman" w:cs="Times New Roman"/>
                <w:color w:val="222222"/>
                <w:kern w:val="24"/>
                <w:sz w:val="24"/>
                <w:szCs w:val="24"/>
              </w:rPr>
              <w:t>Natural talent has become a taboo topic in society. We like the idea of people being naturally gifted in some areas, and we use it as an excuse for why we can't accomplish our objectives. Duckworth, on the other hand, disagrees with the notion that skill is the most significant factor in achieving success. She does not believe that talent is the sole factor that contributes to our success. When it comes to results, effort is equally crucial as talent. Furthermore, people's fixation with skill can cause them to put in less effort than they should in whatever they accomplish.</w:t>
            </w:r>
          </w:p>
          <w:p w14:paraId="2C6FF0A3" w14:textId="77777777" w:rsidR="008D04DF" w:rsidRDefault="008D04DF" w:rsidP="008D04DF">
            <w:pPr>
              <w:autoSpaceDE w:val="0"/>
              <w:autoSpaceDN w:val="0"/>
              <w:adjustRightInd w:val="0"/>
              <w:spacing w:after="0" w:line="240" w:lineRule="auto"/>
              <w:rPr>
                <w:rFonts w:ascii="Calibri" w:hAnsi="Calibri" w:cs="Calibri"/>
                <w:kern w:val="24"/>
                <w:sz w:val="24"/>
                <w:szCs w:val="24"/>
              </w:rPr>
            </w:pPr>
          </w:p>
          <w:p w14:paraId="5D6F599B" w14:textId="77777777" w:rsidR="008D04DF" w:rsidRDefault="008D04DF" w:rsidP="008D04DF">
            <w:pPr>
              <w:autoSpaceDE w:val="0"/>
              <w:autoSpaceDN w:val="0"/>
              <w:adjustRightInd w:val="0"/>
              <w:spacing w:after="0" w:line="240" w:lineRule="auto"/>
              <w:rPr>
                <w:rFonts w:ascii="Arial" w:hAnsi="Arial" w:cs="Arial"/>
                <w:sz w:val="24"/>
                <w:szCs w:val="24"/>
              </w:rPr>
            </w:pPr>
          </w:p>
          <w:p w14:paraId="5F13B974" w14:textId="77777777" w:rsidR="008D04DF" w:rsidRDefault="008D04DF"/>
        </w:tc>
      </w:tr>
      <w:tr w:rsidR="008D04DF" w14:paraId="06D6EB8D" w14:textId="77777777" w:rsidTr="008D04DF">
        <w:tblPrEx>
          <w:tblCellMar>
            <w:top w:w="0" w:type="dxa"/>
            <w:bottom w:w="0" w:type="dxa"/>
          </w:tblCellMar>
        </w:tblPrEx>
        <w:trPr>
          <w:trHeight w:val="4000"/>
        </w:trPr>
        <w:tc>
          <w:tcPr>
            <w:tcW w:w="1368" w:type="dxa"/>
          </w:tcPr>
          <w:p w14:paraId="4848F4FB" w14:textId="12601DD4" w:rsidR="008D04DF" w:rsidRDefault="008D04DF">
            <w:r>
              <w:lastRenderedPageBreak/>
              <w:t>Slide 10</w:t>
            </w:r>
          </w:p>
        </w:tc>
        <w:tc>
          <w:tcPr>
            <w:tcW w:w="3829" w:type="dxa"/>
          </w:tcPr>
          <w:p w14:paraId="31EB2C2F" w14:textId="37D1A806" w:rsidR="008D04DF" w:rsidRDefault="008D04DF">
            <w:r>
              <w:object w:dxaOrig="7194" w:dyaOrig="4052" w14:anchorId="30C98CF1">
                <v:shape id="_x0000_i1077" type="#_x0000_t75" style="width:2in;height:81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7" DrawAspect="Content" ObjectID="_1701099155" r:id="rId23"/>
              </w:object>
            </w:r>
          </w:p>
        </w:tc>
        <w:tc>
          <w:tcPr>
            <w:tcW w:w="3829" w:type="dxa"/>
          </w:tcPr>
          <w:p w14:paraId="4B58132C" w14:textId="77777777" w:rsidR="008D04DF" w:rsidRDefault="008D04DF" w:rsidP="008D04DF">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color w:val="222222"/>
                <w:kern w:val="24"/>
                <w:sz w:val="24"/>
                <w:szCs w:val="24"/>
              </w:rPr>
              <w:t xml:space="preserve">According to research, while looking for a qualified employee, 66 percent of US employers choose hard effort, grit, and determination. As a result, it's critical that you cease focusing solely on your abilities. Similarly, according to a recent study by psychologist Chia-Jung </w:t>
            </w:r>
            <w:proofErr w:type="spellStart"/>
            <w:r>
              <w:rPr>
                <w:rFonts w:ascii="Times New Roman" w:eastAsia="Times New Roman" w:hAnsi="Times New Roman" w:cs="Times New Roman"/>
                <w:color w:val="222222"/>
                <w:kern w:val="24"/>
                <w:sz w:val="24"/>
                <w:szCs w:val="24"/>
              </w:rPr>
              <w:t>Tsay</w:t>
            </w:r>
            <w:proofErr w:type="spellEnd"/>
            <w:r>
              <w:rPr>
                <w:rFonts w:ascii="Times New Roman" w:eastAsia="Times New Roman" w:hAnsi="Times New Roman" w:cs="Times New Roman"/>
                <w:color w:val="222222"/>
                <w:kern w:val="24"/>
                <w:sz w:val="24"/>
                <w:szCs w:val="24"/>
              </w:rPr>
              <w:t>, the vast majority of music specialists credit their accomplishments to their hard work, dedication, and practice. As a result, successful people emphasize the importance of hard effort, and those seeking to form a successful team seek out hard workers. To summarize, talent alone does not guarantee success.</w:t>
            </w:r>
          </w:p>
          <w:p w14:paraId="0CE468B6" w14:textId="77777777" w:rsidR="008D04DF" w:rsidRDefault="008D04DF" w:rsidP="008D04DF">
            <w:pPr>
              <w:autoSpaceDE w:val="0"/>
              <w:autoSpaceDN w:val="0"/>
              <w:adjustRightInd w:val="0"/>
              <w:spacing w:after="0" w:line="240" w:lineRule="auto"/>
              <w:rPr>
                <w:rFonts w:ascii="Calibri" w:hAnsi="Calibri" w:cs="Calibri"/>
                <w:kern w:val="24"/>
                <w:sz w:val="24"/>
                <w:szCs w:val="24"/>
              </w:rPr>
            </w:pPr>
            <w:r>
              <w:rPr>
                <w:rFonts w:ascii="Calibri" w:eastAsia="Times New Roman" w:hAnsi="Times New Roman" w:cs="Calibri"/>
                <w:color w:val="222222"/>
                <w:kern w:val="24"/>
                <w:sz w:val="24"/>
                <w:szCs w:val="24"/>
              </w:rPr>
              <w:t>Talent, according to Duckworth, is contingent on effort. She then goes on to define talent as "how quickly your talents develop when you put in the time and effort." Then, as a result of putting your newly acquired abilities to good use, you attain your goals. Duckworth acknowledges that her success formula excludes chance and opportunities. She, on the other hand, is more concerned with how we may increase our chances of success. We can't control opportunities or luck because they are external things. We have complete control over effort, on the other hand.</w:t>
            </w:r>
          </w:p>
          <w:p w14:paraId="3191CCE9" w14:textId="77777777" w:rsidR="008D04DF" w:rsidRDefault="008D04DF" w:rsidP="008D04DF">
            <w:pPr>
              <w:autoSpaceDE w:val="0"/>
              <w:autoSpaceDN w:val="0"/>
              <w:adjustRightInd w:val="0"/>
              <w:spacing w:after="0" w:line="240" w:lineRule="auto"/>
              <w:rPr>
                <w:rFonts w:ascii="Arial" w:hAnsi="Arial" w:cs="Arial"/>
                <w:sz w:val="24"/>
                <w:szCs w:val="24"/>
              </w:rPr>
            </w:pPr>
          </w:p>
          <w:p w14:paraId="260AC93D" w14:textId="77777777" w:rsidR="008D04DF" w:rsidRDefault="008D04DF"/>
        </w:tc>
      </w:tr>
      <w:tr w:rsidR="008D04DF" w14:paraId="504EA08E" w14:textId="77777777" w:rsidTr="008D04DF">
        <w:tblPrEx>
          <w:tblCellMar>
            <w:top w:w="0" w:type="dxa"/>
            <w:bottom w:w="0" w:type="dxa"/>
          </w:tblCellMar>
        </w:tblPrEx>
        <w:trPr>
          <w:trHeight w:val="4000"/>
        </w:trPr>
        <w:tc>
          <w:tcPr>
            <w:tcW w:w="1368" w:type="dxa"/>
          </w:tcPr>
          <w:p w14:paraId="4D10831D" w14:textId="3B493C51" w:rsidR="008D04DF" w:rsidRDefault="008D04DF">
            <w:r>
              <w:lastRenderedPageBreak/>
              <w:t>Slide 11</w:t>
            </w:r>
          </w:p>
        </w:tc>
        <w:tc>
          <w:tcPr>
            <w:tcW w:w="3829" w:type="dxa"/>
          </w:tcPr>
          <w:p w14:paraId="0D82BEE3" w14:textId="0C447454" w:rsidR="008D04DF" w:rsidRDefault="008D04DF">
            <w:r>
              <w:object w:dxaOrig="7194" w:dyaOrig="4052" w14:anchorId="7DBD1E7F">
                <v:shape id="_x0000_i1083" type="#_x0000_t75" style="width:2in;height:81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3" DrawAspect="Content" ObjectID="_1701099156" r:id="rId25"/>
              </w:object>
            </w:r>
          </w:p>
        </w:tc>
        <w:tc>
          <w:tcPr>
            <w:tcW w:w="3829" w:type="dxa"/>
          </w:tcPr>
          <w:p w14:paraId="390D6607" w14:textId="77777777" w:rsidR="008D04DF" w:rsidRDefault="008D04DF" w:rsidP="008D04DF">
            <w:pPr>
              <w:autoSpaceDE w:val="0"/>
              <w:autoSpaceDN w:val="0"/>
              <w:adjustRightInd w:val="0"/>
              <w:spacing w:after="0" w:line="240" w:lineRule="auto"/>
              <w:jc w:val="both"/>
              <w:rPr>
                <w:rFonts w:ascii="Times New Roman" w:eastAsia="Times New Roman" w:hAnsi="Times New Roman" w:cs="Times New Roman"/>
                <w:kern w:val="24"/>
                <w:sz w:val="24"/>
                <w:szCs w:val="24"/>
              </w:rPr>
            </w:pPr>
            <w:r>
              <w:rPr>
                <w:rFonts w:ascii="Times New Roman" w:eastAsia="Times New Roman" w:hAnsi="Times New Roman" w:cs="Times New Roman"/>
                <w:color w:val="222222"/>
                <w:kern w:val="24"/>
                <w:sz w:val="24"/>
                <w:szCs w:val="24"/>
              </w:rPr>
              <w:t xml:space="preserve">According to research, while looking for a qualified employee, 66 percent of US employers choose hard effort, grit, and determination. As a result, it's critical that you cease focusing solely on your abilities. Similarly, according to a recent study by psychologist Chia-Jung </w:t>
            </w:r>
            <w:proofErr w:type="spellStart"/>
            <w:r>
              <w:rPr>
                <w:rFonts w:ascii="Times New Roman" w:eastAsia="Times New Roman" w:hAnsi="Times New Roman" w:cs="Times New Roman"/>
                <w:color w:val="222222"/>
                <w:kern w:val="24"/>
                <w:sz w:val="24"/>
                <w:szCs w:val="24"/>
              </w:rPr>
              <w:t>Tsay</w:t>
            </w:r>
            <w:proofErr w:type="spellEnd"/>
            <w:r>
              <w:rPr>
                <w:rFonts w:ascii="Times New Roman" w:eastAsia="Times New Roman" w:hAnsi="Times New Roman" w:cs="Times New Roman"/>
                <w:color w:val="222222"/>
                <w:kern w:val="24"/>
                <w:sz w:val="24"/>
                <w:szCs w:val="24"/>
              </w:rPr>
              <w:t>, the vast majority of music specialists credit their accomplishments to their hard work, dedication, and practice. As a result, successful people emphasize the importance of hard effort, and those seeking to form a successful team seek out hard workers. To summarize, talent alone does not guarantee success.</w:t>
            </w:r>
          </w:p>
          <w:p w14:paraId="520FF6EE" w14:textId="77777777" w:rsidR="008D04DF" w:rsidRDefault="008D04DF" w:rsidP="008D04DF">
            <w:pPr>
              <w:autoSpaceDE w:val="0"/>
              <w:autoSpaceDN w:val="0"/>
              <w:adjustRightInd w:val="0"/>
              <w:spacing w:after="0" w:line="240" w:lineRule="auto"/>
              <w:rPr>
                <w:rFonts w:ascii="Calibri" w:hAnsi="Calibri" w:cs="Calibri"/>
                <w:kern w:val="24"/>
                <w:sz w:val="24"/>
                <w:szCs w:val="24"/>
              </w:rPr>
            </w:pPr>
            <w:r>
              <w:rPr>
                <w:rFonts w:ascii="Calibri" w:eastAsia="Times New Roman" w:hAnsi="Times New Roman" w:cs="Calibri"/>
                <w:color w:val="222222"/>
                <w:kern w:val="24"/>
                <w:sz w:val="24"/>
                <w:szCs w:val="24"/>
              </w:rPr>
              <w:t>Talent, according to Duckworth, is contingent on effort. She then goes on to define talent as "how quickly your talents develop when you put in the time and effort." Then, as a result of putting your newly acquired abilities to good use, you attain your goals. Duckworth acknowledges that her success formula excludes chance and opportunities. She, on the other hand, is more concerned with how we may increase our chances of success. We can't control opportunities or luck because they are external things. We have complete control over effort, on the other hand.</w:t>
            </w:r>
          </w:p>
          <w:p w14:paraId="4980E0E0" w14:textId="77777777" w:rsidR="008D04DF" w:rsidRDefault="008D04DF" w:rsidP="008D04DF">
            <w:pPr>
              <w:autoSpaceDE w:val="0"/>
              <w:autoSpaceDN w:val="0"/>
              <w:adjustRightInd w:val="0"/>
              <w:spacing w:after="0" w:line="240" w:lineRule="auto"/>
              <w:rPr>
                <w:rFonts w:ascii="Arial" w:hAnsi="Arial" w:cs="Arial"/>
                <w:sz w:val="24"/>
                <w:szCs w:val="24"/>
              </w:rPr>
            </w:pPr>
          </w:p>
          <w:p w14:paraId="6BE1CBA6" w14:textId="77777777" w:rsidR="008D04DF" w:rsidRDefault="008D04DF"/>
        </w:tc>
      </w:tr>
      <w:tr w:rsidR="008D04DF" w14:paraId="4FE1F643" w14:textId="77777777" w:rsidTr="008D04DF">
        <w:tblPrEx>
          <w:tblCellMar>
            <w:top w:w="0" w:type="dxa"/>
            <w:bottom w:w="0" w:type="dxa"/>
          </w:tblCellMar>
        </w:tblPrEx>
        <w:trPr>
          <w:trHeight w:val="4000"/>
        </w:trPr>
        <w:tc>
          <w:tcPr>
            <w:tcW w:w="1368" w:type="dxa"/>
          </w:tcPr>
          <w:p w14:paraId="65168C82" w14:textId="703FD819" w:rsidR="008D04DF" w:rsidRDefault="008D04DF">
            <w:r>
              <w:lastRenderedPageBreak/>
              <w:t>Slide 12</w:t>
            </w:r>
          </w:p>
        </w:tc>
        <w:tc>
          <w:tcPr>
            <w:tcW w:w="3829" w:type="dxa"/>
          </w:tcPr>
          <w:p w14:paraId="2D194599" w14:textId="6E82FA24" w:rsidR="008D04DF" w:rsidRDefault="008D04DF">
            <w:r>
              <w:object w:dxaOrig="7194" w:dyaOrig="4052" w14:anchorId="6F56F225">
                <v:shape id="_x0000_i1089" type="#_x0000_t75" style="width:2in;height:81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9" DrawAspect="Content" ObjectID="_1701099157" r:id="rId27"/>
              </w:object>
            </w:r>
          </w:p>
        </w:tc>
        <w:tc>
          <w:tcPr>
            <w:tcW w:w="3829" w:type="dxa"/>
          </w:tcPr>
          <w:p w14:paraId="3D8FC76A" w14:textId="77777777" w:rsidR="008D04DF" w:rsidRDefault="008D04DF"/>
        </w:tc>
      </w:tr>
    </w:tbl>
    <w:p w14:paraId="2FACA92D" w14:textId="77777777" w:rsidR="00B57E65" w:rsidRDefault="00170C20"/>
    <w:sectPr w:rsidR="00B57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4DF"/>
    <w:rsid w:val="00170C20"/>
    <w:rsid w:val="00810F25"/>
    <w:rsid w:val="008D04DF"/>
    <w:rsid w:val="00E31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E108"/>
  <w15:chartTrackingRefBased/>
  <w15:docId w15:val="{2561FE83-C7E4-4079-BA42-0BC2BFDC2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1742</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Akasi Cristina</dc:creator>
  <cp:keywords/>
  <dc:description/>
  <cp:lastModifiedBy>Akasi Cristina</cp:lastModifiedBy>
  <cp:revision>1</cp:revision>
  <dcterms:created xsi:type="dcterms:W3CDTF">2021-12-15T18:32:00Z</dcterms:created>
  <dcterms:modified xsi:type="dcterms:W3CDTF">2021-12-15T18:45:00Z</dcterms:modified>
</cp:coreProperties>
</file>