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67DD" w:rsidRDefault="00C767DD" w:rsidP="00C767DD">
      <w:pPr>
        <w:spacing w:after="0"/>
        <w:textAlignment w:val="baseline"/>
        <w:rPr>
          <w:rFonts w:ascii="Times New Roman" w:eastAsia="Times New Roman" w:hAnsi="Times New Roman" w:cs="Times New Roman"/>
          <w:bCs/>
          <w:sz w:val="28"/>
          <w:szCs w:val="28"/>
          <w:lang w:eastAsia="en-GB"/>
        </w:rPr>
      </w:pPr>
      <w:r w:rsidRPr="00C767DD">
        <w:rPr>
          <w:rFonts w:ascii="Times New Roman" w:eastAsia="Times New Roman" w:hAnsi="Times New Roman" w:cs="Times New Roman"/>
          <w:bCs/>
          <w:sz w:val="28"/>
          <w:szCs w:val="28"/>
          <w:lang w:eastAsia="en-GB"/>
        </w:rPr>
        <w:t>Anna Bolek, u2222499</w:t>
      </w:r>
    </w:p>
    <w:p w:rsidR="00C767DD" w:rsidRPr="00C767DD" w:rsidRDefault="00C767DD" w:rsidP="00C767DD">
      <w:pPr>
        <w:spacing w:after="0"/>
        <w:textAlignment w:val="baseline"/>
        <w:rPr>
          <w:rFonts w:ascii="Times New Roman" w:eastAsia="Times New Roman" w:hAnsi="Times New Roman" w:cs="Times New Roman"/>
          <w:bCs/>
          <w:sz w:val="28"/>
          <w:szCs w:val="28"/>
          <w:lang w:eastAsia="en-GB"/>
        </w:rPr>
      </w:pPr>
    </w:p>
    <w:p w:rsidR="00C767DD" w:rsidRPr="00C767DD" w:rsidRDefault="00C767DD" w:rsidP="00C767DD">
      <w:pPr>
        <w:rPr>
          <w:rFonts w:ascii="Times New Roman" w:eastAsia="Times New Roman" w:hAnsi="Times New Roman" w:cs="Times New Roman"/>
          <w:sz w:val="28"/>
          <w:szCs w:val="28"/>
          <w:lang w:eastAsia="en-GB"/>
        </w:rPr>
      </w:pPr>
      <w:r w:rsidRPr="00C767DD">
        <w:rPr>
          <w:rFonts w:ascii="Times New Roman" w:eastAsia="Times New Roman" w:hAnsi="Times New Roman" w:cs="Times New Roman"/>
          <w:bCs/>
          <w:sz w:val="28"/>
          <w:szCs w:val="28"/>
          <w:lang w:eastAsia="en-GB"/>
        </w:rPr>
        <w:t xml:space="preserve">Module: </w:t>
      </w:r>
      <w:r w:rsidRPr="00C767DD">
        <w:rPr>
          <w:rFonts w:ascii="Times New Roman" w:eastAsia="Times New Roman" w:hAnsi="Times New Roman" w:cs="Times New Roman"/>
          <w:bCs/>
          <w:color w:val="000000"/>
          <w:sz w:val="28"/>
          <w:szCs w:val="28"/>
          <w:lang w:eastAsia="en-GB"/>
        </w:rPr>
        <w:t>Mental Health and the Ageing Population</w:t>
      </w:r>
    </w:p>
    <w:p w:rsidR="00C767DD" w:rsidRPr="00C767DD" w:rsidRDefault="00C767DD" w:rsidP="00C767DD">
      <w:pPr>
        <w:rPr>
          <w:rFonts w:ascii="Times New Roman" w:eastAsia="Times New Roman" w:hAnsi="Times New Roman" w:cs="Times New Roman"/>
          <w:sz w:val="28"/>
          <w:szCs w:val="28"/>
          <w:lang w:eastAsia="en-GB"/>
        </w:rPr>
      </w:pPr>
      <w:r w:rsidRPr="00C767DD">
        <w:rPr>
          <w:rFonts w:ascii="Times New Roman" w:eastAsia="Times New Roman" w:hAnsi="Times New Roman" w:cs="Times New Roman"/>
          <w:bCs/>
          <w:sz w:val="28"/>
          <w:szCs w:val="28"/>
          <w:lang w:eastAsia="en-GB"/>
        </w:rPr>
        <w:t xml:space="preserve">Module code : </w:t>
      </w:r>
      <w:r w:rsidRPr="00C767DD">
        <w:rPr>
          <w:rFonts w:ascii="Times New Roman" w:eastAsia="Times New Roman" w:hAnsi="Times New Roman" w:cs="Times New Roman"/>
          <w:bCs/>
          <w:color w:val="000000"/>
          <w:sz w:val="28"/>
          <w:szCs w:val="28"/>
          <w:lang w:eastAsia="en-GB"/>
        </w:rPr>
        <w:t>ECMH6002</w:t>
      </w:r>
    </w:p>
    <w:p w:rsidR="00C767DD" w:rsidRPr="00827BFF" w:rsidRDefault="00C767DD" w:rsidP="00827BFF">
      <w:pPr>
        <w:rPr>
          <w:rFonts w:ascii="Times New Roman" w:eastAsia="Times New Roman" w:hAnsi="Times New Roman" w:cs="Times New Roman"/>
          <w:sz w:val="28"/>
          <w:szCs w:val="28"/>
          <w:lang w:eastAsia="en-GB"/>
        </w:rPr>
      </w:pPr>
      <w:r w:rsidRPr="00C767DD">
        <w:rPr>
          <w:rFonts w:ascii="Times New Roman" w:eastAsia="Times New Roman" w:hAnsi="Times New Roman" w:cs="Times New Roman"/>
          <w:bCs/>
          <w:sz w:val="28"/>
          <w:szCs w:val="28"/>
          <w:lang w:eastAsia="en-GB"/>
        </w:rPr>
        <w:t xml:space="preserve">Lecturer : </w:t>
      </w:r>
      <w:r w:rsidRPr="00C767DD">
        <w:rPr>
          <w:rFonts w:ascii="Times New Roman" w:eastAsia="Times New Roman" w:hAnsi="Times New Roman" w:cs="Times New Roman"/>
          <w:bCs/>
          <w:color w:val="000000"/>
          <w:sz w:val="28"/>
          <w:szCs w:val="28"/>
          <w:lang w:eastAsia="en-GB"/>
        </w:rPr>
        <w:t>Dr Judith Marshall</w:t>
      </w:r>
    </w:p>
    <w:p w:rsidR="00827BFF" w:rsidRDefault="001E2AF2" w:rsidP="001E2AF2">
      <w:pPr>
        <w:spacing w:after="0" w:line="240" w:lineRule="auto"/>
        <w:rPr>
          <w:rFonts w:ascii="Arial-BoldMT" w:eastAsia="Times New Roman" w:hAnsi="Arial-BoldMT" w:cs="Times New Roman"/>
          <w:b/>
          <w:bCs/>
          <w:color w:val="000000"/>
          <w:sz w:val="24"/>
          <w:szCs w:val="24"/>
          <w:lang w:eastAsia="en-GB"/>
        </w:rPr>
      </w:pPr>
      <w:r w:rsidRPr="00827BFF">
        <w:rPr>
          <w:rFonts w:ascii="Times New Roman" w:eastAsia="Times New Roman" w:hAnsi="Times New Roman" w:cs="Times New Roman"/>
          <w:bCs/>
          <w:color w:val="000000"/>
          <w:sz w:val="28"/>
          <w:szCs w:val="28"/>
          <w:lang w:eastAsia="en-GB"/>
        </w:rPr>
        <w:t xml:space="preserve"> Intervention Proposal</w:t>
      </w:r>
    </w:p>
    <w:p w:rsidR="00827BFF" w:rsidRDefault="00827BFF" w:rsidP="001E2AF2">
      <w:pPr>
        <w:spacing w:after="0" w:line="240" w:lineRule="auto"/>
        <w:rPr>
          <w:rFonts w:ascii="Arial-BoldMT" w:eastAsia="Times New Roman" w:hAnsi="Arial-BoldMT" w:cs="Times New Roman"/>
          <w:b/>
          <w:bCs/>
          <w:color w:val="000000"/>
          <w:sz w:val="24"/>
          <w:szCs w:val="24"/>
          <w:lang w:eastAsia="en-GB"/>
        </w:rPr>
      </w:pPr>
    </w:p>
    <w:p w:rsidR="00827BFF" w:rsidRDefault="00827BFF" w:rsidP="001E2AF2">
      <w:pPr>
        <w:spacing w:after="0" w:line="240" w:lineRule="auto"/>
        <w:rPr>
          <w:rFonts w:ascii="Arial-BoldMT" w:eastAsia="Times New Roman" w:hAnsi="Arial-BoldMT" w:cs="Times New Roman"/>
          <w:b/>
          <w:bCs/>
          <w:color w:val="000000"/>
          <w:sz w:val="24"/>
          <w:szCs w:val="24"/>
          <w:lang w:eastAsia="en-GB"/>
        </w:rPr>
      </w:pPr>
    </w:p>
    <w:p w:rsidR="001E2AF2" w:rsidRPr="001E2AF2" w:rsidRDefault="001E2AF2" w:rsidP="001E2AF2">
      <w:pPr>
        <w:spacing w:after="0" w:line="240" w:lineRule="auto"/>
        <w:rPr>
          <w:rFonts w:ascii="Times New Roman" w:eastAsia="Times New Roman" w:hAnsi="Times New Roman" w:cs="Times New Roman"/>
          <w:sz w:val="24"/>
          <w:szCs w:val="24"/>
          <w:lang w:eastAsia="en-GB"/>
        </w:rPr>
      </w:pPr>
      <w:r w:rsidRPr="001E2AF2">
        <w:rPr>
          <w:rFonts w:ascii="Arial-BoldMT" w:eastAsia="Times New Roman" w:hAnsi="Arial-BoldMT" w:cs="Times New Roman"/>
          <w:b/>
          <w:bCs/>
          <w:color w:val="000000"/>
          <w:sz w:val="24"/>
          <w:szCs w:val="24"/>
          <w:lang w:eastAsia="en-GB"/>
        </w:rPr>
        <w:br/>
      </w:r>
      <w:r w:rsidRPr="001E2AF2">
        <w:rPr>
          <w:rFonts w:ascii="ArialMT" w:eastAsia="Times New Roman" w:hAnsi="ArialMT" w:cs="Times New Roman"/>
          <w:color w:val="000000"/>
          <w:sz w:val="24"/>
          <w:szCs w:val="24"/>
          <w:lang w:eastAsia="en-GB"/>
        </w:rPr>
        <w:br/>
      </w:r>
    </w:p>
    <w:p w:rsidR="00C767DD" w:rsidRPr="00C767DD" w:rsidRDefault="00C767DD" w:rsidP="00C767DD">
      <w:pPr>
        <w:spacing w:after="0"/>
        <w:jc w:val="center"/>
        <w:textAlignment w:val="baseline"/>
        <w:rPr>
          <w:rFonts w:ascii="Times New Roman" w:eastAsia="Times New Roman" w:hAnsi="Times New Roman" w:cs="Times New Roman"/>
          <w:bCs/>
          <w:sz w:val="28"/>
          <w:szCs w:val="28"/>
          <w:lang w:eastAsia="en-GB"/>
        </w:rPr>
      </w:pPr>
    </w:p>
    <w:p w:rsidR="00C767DD" w:rsidRPr="00C767DD" w:rsidRDefault="00C767DD" w:rsidP="00C767DD">
      <w:pPr>
        <w:spacing w:after="0"/>
        <w:jc w:val="center"/>
        <w:textAlignment w:val="baseline"/>
        <w:rPr>
          <w:rFonts w:ascii="Times New Roman" w:eastAsia="Times New Roman" w:hAnsi="Times New Roman" w:cs="Times New Roman"/>
          <w:bCs/>
          <w:sz w:val="28"/>
          <w:szCs w:val="28"/>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DF5FAC" w:rsidRDefault="00DF5FAC" w:rsidP="00DF5FAC">
      <w:pPr>
        <w:spacing w:after="0" w:line="360" w:lineRule="auto"/>
        <w:textAlignment w:val="baseline"/>
        <w:rPr>
          <w:rFonts w:ascii="Times New Roman" w:eastAsia="Times New Roman" w:hAnsi="Times New Roman" w:cs="Times New Roman"/>
          <w:b/>
          <w:bCs/>
          <w:sz w:val="24"/>
          <w:szCs w:val="24"/>
          <w:lang w:eastAsia="en-GB"/>
        </w:rPr>
      </w:pPr>
    </w:p>
    <w:p w:rsidR="00827BFF" w:rsidRDefault="00827BFF" w:rsidP="00DF5FAC">
      <w:pPr>
        <w:spacing w:after="0" w:line="360" w:lineRule="auto"/>
        <w:textAlignment w:val="baseline"/>
        <w:rPr>
          <w:rFonts w:ascii="Times New Roman" w:eastAsia="Times New Roman" w:hAnsi="Times New Roman" w:cs="Times New Roman"/>
          <w:b/>
          <w:bCs/>
          <w:sz w:val="24"/>
          <w:szCs w:val="24"/>
          <w:lang w:eastAsia="en-GB"/>
        </w:rPr>
      </w:pPr>
    </w:p>
    <w:p w:rsidR="00827BFF" w:rsidRDefault="00827BFF" w:rsidP="00DF5FAC">
      <w:pPr>
        <w:spacing w:after="0" w:line="360" w:lineRule="auto"/>
        <w:textAlignment w:val="baseline"/>
        <w:rPr>
          <w:rFonts w:ascii="Times New Roman" w:eastAsia="Times New Roman" w:hAnsi="Times New Roman" w:cs="Times New Roman"/>
          <w:b/>
          <w:bCs/>
          <w:sz w:val="24"/>
          <w:szCs w:val="24"/>
          <w:lang w:eastAsia="en-GB"/>
        </w:rPr>
      </w:pPr>
    </w:p>
    <w:p w:rsidR="00C767DD" w:rsidRDefault="00C767DD" w:rsidP="00DF5FAC">
      <w:pPr>
        <w:spacing w:after="0" w:line="360" w:lineRule="auto"/>
        <w:textAlignment w:val="baseline"/>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lastRenderedPageBreak/>
        <w:t>Part 1</w:t>
      </w:r>
    </w:p>
    <w:p w:rsidR="00827BFF" w:rsidRDefault="00827BFF" w:rsidP="00C767DD">
      <w:pPr>
        <w:tabs>
          <w:tab w:val="left" w:pos="960"/>
        </w:tabs>
        <w:spacing w:after="0" w:line="360" w:lineRule="auto"/>
        <w:textAlignment w:val="baseline"/>
        <w:rPr>
          <w:rFonts w:ascii="Times New Roman" w:eastAsia="Times New Roman" w:hAnsi="Times New Roman" w:cs="Times New Roman"/>
          <w:i/>
          <w:color w:val="FF0000"/>
          <w:sz w:val="24"/>
          <w:szCs w:val="24"/>
          <w:lang w:eastAsia="en-GB"/>
        </w:rPr>
      </w:pPr>
      <w:r w:rsidRPr="001E2AF2">
        <w:rPr>
          <w:rFonts w:ascii="Arial-BoldMT" w:eastAsia="Times New Roman" w:hAnsi="Arial-BoldMT" w:cs="Times New Roman"/>
          <w:b/>
          <w:bCs/>
          <w:color w:val="000000"/>
          <w:sz w:val="24"/>
          <w:szCs w:val="24"/>
          <w:lang w:eastAsia="en-GB"/>
        </w:rPr>
        <w:t xml:space="preserve"> </w:t>
      </w:r>
      <w:r w:rsidRPr="001E2AF2">
        <w:rPr>
          <w:rFonts w:ascii="ArialMT" w:eastAsia="Times New Roman" w:hAnsi="ArialMT" w:cs="Times New Roman"/>
          <w:color w:val="000000"/>
          <w:lang w:eastAsia="en-GB"/>
        </w:rPr>
        <w:t>approximately 1000 words</w:t>
      </w:r>
      <w:r w:rsidRPr="001E2AF2">
        <w:rPr>
          <w:rFonts w:ascii="ArialMT" w:eastAsia="Times New Roman" w:hAnsi="ArialMT" w:cs="Times New Roman"/>
          <w:color w:val="000000"/>
          <w:sz w:val="24"/>
          <w:szCs w:val="24"/>
          <w:lang w:eastAsia="en-GB"/>
        </w:rPr>
        <w:br/>
      </w:r>
      <w:r w:rsidRPr="00827BFF">
        <w:rPr>
          <w:rFonts w:ascii="Times New Roman" w:eastAsia="Times New Roman" w:hAnsi="Times New Roman" w:cs="Times New Roman"/>
          <w:i/>
          <w:color w:val="FF0000"/>
          <w:sz w:val="24"/>
          <w:szCs w:val="24"/>
          <w:lang w:eastAsia="en-GB"/>
        </w:rPr>
        <w:t>This part will include documents such as Government policies, initiatives and briefing reports that</w:t>
      </w:r>
      <w:r>
        <w:rPr>
          <w:rFonts w:ascii="Times New Roman" w:eastAsia="Times New Roman" w:hAnsi="Times New Roman" w:cs="Times New Roman"/>
          <w:i/>
          <w:color w:val="FF0000"/>
          <w:sz w:val="24"/>
          <w:szCs w:val="24"/>
          <w:lang w:eastAsia="en-GB"/>
        </w:rPr>
        <w:t xml:space="preserve"> </w:t>
      </w:r>
      <w:r w:rsidRPr="00827BFF">
        <w:rPr>
          <w:rFonts w:ascii="Times New Roman" w:eastAsia="Times New Roman" w:hAnsi="Times New Roman" w:cs="Times New Roman"/>
          <w:i/>
          <w:color w:val="FF0000"/>
          <w:sz w:val="24"/>
          <w:szCs w:val="24"/>
          <w:lang w:eastAsia="en-GB"/>
        </w:rPr>
        <w:t xml:space="preserve">address Dementia care and provision for the elderly in the UK. Alongside these you must </w:t>
      </w:r>
      <w:proofErr w:type="spellStart"/>
      <w:r w:rsidRPr="00827BFF">
        <w:rPr>
          <w:rFonts w:ascii="Times New Roman" w:eastAsia="Times New Roman" w:hAnsi="Times New Roman" w:cs="Times New Roman"/>
          <w:i/>
          <w:color w:val="FF0000"/>
          <w:sz w:val="24"/>
          <w:szCs w:val="24"/>
          <w:lang w:eastAsia="en-GB"/>
        </w:rPr>
        <w:t>providea</w:t>
      </w:r>
      <w:proofErr w:type="spellEnd"/>
      <w:r w:rsidRPr="00827BFF">
        <w:rPr>
          <w:rFonts w:ascii="Times New Roman" w:eastAsia="Times New Roman" w:hAnsi="Times New Roman" w:cs="Times New Roman"/>
          <w:i/>
          <w:color w:val="FF0000"/>
          <w:sz w:val="24"/>
          <w:szCs w:val="24"/>
          <w:lang w:eastAsia="en-GB"/>
        </w:rPr>
        <w:t xml:space="preserve"> </w:t>
      </w:r>
      <w:r>
        <w:rPr>
          <w:rFonts w:ascii="Times New Roman" w:eastAsia="Times New Roman" w:hAnsi="Times New Roman" w:cs="Times New Roman"/>
          <w:i/>
          <w:color w:val="FF0000"/>
          <w:sz w:val="24"/>
          <w:szCs w:val="24"/>
          <w:lang w:eastAsia="en-GB"/>
        </w:rPr>
        <w:t xml:space="preserve"> </w:t>
      </w:r>
      <w:r w:rsidRPr="00827BFF">
        <w:rPr>
          <w:rFonts w:ascii="Times New Roman" w:eastAsia="Times New Roman" w:hAnsi="Times New Roman" w:cs="Times New Roman"/>
          <w:i/>
          <w:color w:val="FF0000"/>
          <w:sz w:val="24"/>
          <w:szCs w:val="24"/>
          <w:lang w:eastAsia="en-GB"/>
        </w:rPr>
        <w:t>narrative to explain what the documents are and how they support care and provision. This part</w:t>
      </w:r>
      <w:r w:rsidR="00840043">
        <w:rPr>
          <w:rFonts w:ascii="Times New Roman" w:eastAsia="Times New Roman" w:hAnsi="Times New Roman" w:cs="Times New Roman"/>
          <w:i/>
          <w:color w:val="FF0000"/>
          <w:sz w:val="24"/>
          <w:szCs w:val="24"/>
          <w:lang w:eastAsia="en-GB"/>
        </w:rPr>
        <w:t xml:space="preserve"> </w:t>
      </w:r>
      <w:r w:rsidRPr="00827BFF">
        <w:rPr>
          <w:rFonts w:ascii="Times New Roman" w:eastAsia="Times New Roman" w:hAnsi="Times New Roman" w:cs="Times New Roman"/>
          <w:i/>
          <w:color w:val="FF0000"/>
          <w:sz w:val="24"/>
          <w:szCs w:val="24"/>
          <w:lang w:eastAsia="en-GB"/>
        </w:rPr>
        <w:t xml:space="preserve">will </w:t>
      </w:r>
      <w:r>
        <w:rPr>
          <w:rFonts w:ascii="Times New Roman" w:eastAsia="Times New Roman" w:hAnsi="Times New Roman" w:cs="Times New Roman"/>
          <w:i/>
          <w:color w:val="FF0000"/>
          <w:sz w:val="24"/>
          <w:szCs w:val="24"/>
          <w:lang w:eastAsia="en-GB"/>
        </w:rPr>
        <w:t xml:space="preserve"> </w:t>
      </w:r>
      <w:r w:rsidRPr="00827BFF">
        <w:rPr>
          <w:rFonts w:ascii="Times New Roman" w:eastAsia="Times New Roman" w:hAnsi="Times New Roman" w:cs="Times New Roman"/>
          <w:i/>
          <w:color w:val="FF0000"/>
          <w:sz w:val="24"/>
          <w:szCs w:val="24"/>
          <w:lang w:eastAsia="en-GB"/>
        </w:rPr>
        <w:t>help you to understand what interventions/provisions exist for those with Dementia so will help</w:t>
      </w:r>
      <w:r w:rsidR="00840043">
        <w:rPr>
          <w:rFonts w:ascii="Times New Roman" w:eastAsia="Times New Roman" w:hAnsi="Times New Roman" w:cs="Times New Roman"/>
          <w:i/>
          <w:color w:val="FF0000"/>
          <w:sz w:val="24"/>
          <w:szCs w:val="24"/>
          <w:lang w:eastAsia="en-GB"/>
        </w:rPr>
        <w:t xml:space="preserve"> </w:t>
      </w:r>
      <w:r w:rsidRPr="00827BFF">
        <w:rPr>
          <w:rFonts w:ascii="Times New Roman" w:eastAsia="Times New Roman" w:hAnsi="Times New Roman" w:cs="Times New Roman"/>
          <w:i/>
          <w:color w:val="FF0000"/>
          <w:sz w:val="24"/>
          <w:szCs w:val="24"/>
          <w:lang w:eastAsia="en-GB"/>
        </w:rPr>
        <w:t>guide your intervention proposal (part 2).</w:t>
      </w:r>
    </w:p>
    <w:p w:rsidR="00932E54" w:rsidRDefault="00932E54" w:rsidP="00C767DD">
      <w:pPr>
        <w:tabs>
          <w:tab w:val="left" w:pos="960"/>
        </w:tabs>
        <w:spacing w:after="0" w:line="360" w:lineRule="auto"/>
        <w:textAlignment w:val="baseline"/>
        <w:rPr>
          <w:rFonts w:ascii="Times New Roman" w:eastAsia="Times New Roman" w:hAnsi="Times New Roman" w:cs="Times New Roman"/>
          <w:i/>
          <w:color w:val="FF0000"/>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Dementia attention in the United Kingdom has become an increasingly pressing problem as the population ages, and current estimates indicating that around 850,000 people live with dementia only in the United Kingdom, a figure that is expected that increases to more than 1.6 million by 2040 (Alzheimer's Society, 2021). This demographic change requires specific interventions and solid policies frames to address the complex needs of elderly patients and their families. As the progression of dementia significantly affects cognitive and physical skills, imposes substantial challenges not only to afflicted people but also their caregivers, which often leads to psychological anguish and significant adjustments in lifestyle among families (Nice , 2018). Therefore, the urgent need for a systemic change towards more support and integral care structures is evident.</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In response to the growing prevalence of dementia and its long -range implications, the United Kingdom government has initiated several key policies aimed at improving the care of dementia. The National Dementia Strategy, introduced in 2009, represents a fundamental effort to provide a coordinated response to dementia, emphasizing the importance of early diagnosis, post-diagnosis support and custom care planning (Department of Health, 2009) . This strategy laid the basis for subsequent policies, such as the challenge of the Prime Minister on Dementia, which described the ambitious objectives to improve the care of dementia through the increase in financing and an approach to research and innovation. Collectively, these initiatives mean a recognition of the government of dementia care as a public health priority that requires dedicated resources and a coordinated strategy in several sectors.</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 xml:space="preserve">In addition, the Global State Report on the Public Health Response to Dementia published by the World Health Organization (WHO) in 2021 underlines the urgency of developing a </w:t>
      </w:r>
      <w:r w:rsidRPr="00932E54">
        <w:rPr>
          <w:rFonts w:ascii="Times New Roman" w:eastAsia="Times New Roman" w:hAnsi="Times New Roman" w:cs="Times New Roman"/>
          <w:sz w:val="24"/>
          <w:szCs w:val="24"/>
          <w:lang w:eastAsia="en-GB"/>
        </w:rPr>
        <w:lastRenderedPageBreak/>
        <w:t>comprehensive framework for Dementia care systems worldwide. The report emphasizes the importance of holistic approaches that make up the medical, psychological and social dimensions of care, advocating community -</w:t>
      </w:r>
      <w:proofErr w:type="spellStart"/>
      <w:r w:rsidRPr="00932E54">
        <w:rPr>
          <w:rFonts w:ascii="Times New Roman" w:eastAsia="Times New Roman" w:hAnsi="Times New Roman" w:cs="Times New Roman"/>
          <w:sz w:val="24"/>
          <w:szCs w:val="24"/>
          <w:lang w:eastAsia="en-GB"/>
        </w:rPr>
        <w:t>centered</w:t>
      </w:r>
      <w:proofErr w:type="spellEnd"/>
      <w:r w:rsidRPr="00932E54">
        <w:rPr>
          <w:rFonts w:ascii="Times New Roman" w:eastAsia="Times New Roman" w:hAnsi="Times New Roman" w:cs="Times New Roman"/>
          <w:sz w:val="24"/>
          <w:szCs w:val="24"/>
          <w:lang w:eastAsia="en-GB"/>
        </w:rPr>
        <w:t xml:space="preserve"> strategies that empower not only patients but also their families. The importance of such approaches cannot be exaggerated; Community participation guarantees that attention extends beyond clinical environments, facilitating a support environment that promotes social inclusion and maintains dignity for those who live with dementia.</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In addition, the studies have highlighted the need for primary prevention strategies and local implementation frameworks that are directed to the specific challenges faced by communities. Collins et al. (2019) articulate that effective dementia attention requires a localized approach, integrating resources and services that respond to the unique demographic and cultural contexts of communities. The emphasis on primary prevention not only aims to improve the quality of life of people at risk of developing dementia, but also seeks to relieve the burden of medical care systems and family caregivers. When creating custom -oriented custom -oriented service models, interventions can be optimized to meet the diverse needs of patients with dementia and their support networks.</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 xml:space="preserve">Therefore, interventions designed to improve dementia care should prioritize a framework adaptable to the experiences of patients and families, recognizing the significant impact of government policies while actively involving local communities. The alignment of national strategies with local practices addresses the multifaceted nature of dementia care, promoting resilience among families and ensuring that people receive equitable and personalized support throughout their trip., In the United Kingdom, the imperative of facing the care of dementia has prompted a series of government policies and initiatives aimed at improving the quality of life for people affected by dementia and their families. Among the most important initiatives are those that promote the communities for dementia, which support environments that </w:t>
      </w:r>
      <w:proofErr w:type="spellStart"/>
      <w:r w:rsidRPr="00932E54">
        <w:rPr>
          <w:rFonts w:ascii="Times New Roman" w:eastAsia="Times New Roman" w:hAnsi="Times New Roman" w:cs="Times New Roman"/>
          <w:sz w:val="24"/>
          <w:szCs w:val="24"/>
          <w:lang w:eastAsia="en-GB"/>
        </w:rPr>
        <w:t>favor</w:t>
      </w:r>
      <w:proofErr w:type="spellEnd"/>
      <w:r w:rsidRPr="00932E54">
        <w:rPr>
          <w:rFonts w:ascii="Times New Roman" w:eastAsia="Times New Roman" w:hAnsi="Times New Roman" w:cs="Times New Roman"/>
          <w:sz w:val="24"/>
          <w:szCs w:val="24"/>
          <w:lang w:eastAsia="en-GB"/>
        </w:rPr>
        <w:t xml:space="preserve"> social inclusion and support for people who live in the condition. A fundamental evaluation of these community initiatives is presented by Goodman et al. (2020) In their research on the </w:t>
      </w:r>
      <w:proofErr w:type="spellStart"/>
      <w:r w:rsidRPr="00932E54">
        <w:rPr>
          <w:rFonts w:ascii="Times New Roman" w:eastAsia="Times New Roman" w:hAnsi="Times New Roman" w:cs="Times New Roman"/>
          <w:sz w:val="24"/>
          <w:szCs w:val="24"/>
          <w:lang w:eastAsia="en-GB"/>
        </w:rPr>
        <w:t>Demcom</w:t>
      </w:r>
      <w:proofErr w:type="spellEnd"/>
      <w:r w:rsidRPr="00932E54">
        <w:rPr>
          <w:rFonts w:ascii="Times New Roman" w:eastAsia="Times New Roman" w:hAnsi="Times New Roman" w:cs="Times New Roman"/>
          <w:sz w:val="24"/>
          <w:szCs w:val="24"/>
          <w:lang w:eastAsia="en-GB"/>
        </w:rPr>
        <w:t xml:space="preserve"> project (Community Friendly Community). This evaluation highlights how these initiatives contribute to the improvement of family support systems and the wider social inclusion of people with dementia. By creating spaces in which dementia is included and hosted, </w:t>
      </w:r>
      <w:proofErr w:type="spellStart"/>
      <w:r w:rsidRPr="00932E54">
        <w:rPr>
          <w:rFonts w:ascii="Times New Roman" w:eastAsia="Times New Roman" w:hAnsi="Times New Roman" w:cs="Times New Roman"/>
          <w:sz w:val="24"/>
          <w:szCs w:val="24"/>
          <w:lang w:eastAsia="en-GB"/>
        </w:rPr>
        <w:t>Demcom</w:t>
      </w:r>
      <w:proofErr w:type="spellEnd"/>
      <w:r w:rsidRPr="00932E54">
        <w:rPr>
          <w:rFonts w:ascii="Times New Roman" w:eastAsia="Times New Roman" w:hAnsi="Times New Roman" w:cs="Times New Roman"/>
          <w:sz w:val="24"/>
          <w:szCs w:val="24"/>
          <w:lang w:eastAsia="en-GB"/>
        </w:rPr>
        <w:t xml:space="preserve"> initiatives facilitate a more support network for caregivers and </w:t>
      </w:r>
      <w:r w:rsidRPr="00932E54">
        <w:rPr>
          <w:rFonts w:ascii="Times New Roman" w:eastAsia="Times New Roman" w:hAnsi="Times New Roman" w:cs="Times New Roman"/>
          <w:sz w:val="24"/>
          <w:szCs w:val="24"/>
          <w:lang w:eastAsia="en-GB"/>
        </w:rPr>
        <w:lastRenderedPageBreak/>
        <w:t>families, thus mitigating the emotional and logistical challenges that often accompany dementia.</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The results of Goodman et al. (2020) They point out that community programs not only improve the awareness and understanding of dementia, but also promote the collaboration between the various parties concerned, including health services, local and family businesses. This collaboration is crucial as it creates a holistic support system that responds to the faceted needs of people with dementia and their caregivers. Greater access to information and resources within these communities authorizes families, leading to greater resilience and ability to cope with the challenges posed by dementia.</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 xml:space="preserve">To complete these initiatives focused on the community is the work of </w:t>
      </w:r>
      <w:proofErr w:type="spellStart"/>
      <w:r w:rsidRPr="00932E54">
        <w:rPr>
          <w:rFonts w:ascii="Times New Roman" w:eastAsia="Times New Roman" w:hAnsi="Times New Roman" w:cs="Times New Roman"/>
          <w:sz w:val="24"/>
          <w:szCs w:val="24"/>
          <w:lang w:eastAsia="en-GB"/>
        </w:rPr>
        <w:t>Hampel</w:t>
      </w:r>
      <w:proofErr w:type="spellEnd"/>
      <w:r w:rsidRPr="00932E54">
        <w:rPr>
          <w:rFonts w:ascii="Times New Roman" w:eastAsia="Times New Roman" w:hAnsi="Times New Roman" w:cs="Times New Roman"/>
          <w:sz w:val="24"/>
          <w:szCs w:val="24"/>
          <w:lang w:eastAsia="en-GB"/>
        </w:rPr>
        <w:t xml:space="preserve"> et al. (2022), which evaluates the preparation of the United Kingdom health system to face the challenges relating to dementia. Their results underline the meaning of early intervention strategies that are fundamental in diagnostic and therapeutic contexts. The authors argue that a proactive approach in the health framework, underlining early diagnosis and management of dementia symptoms, can significantly alter the trajectory of the disease and improve the results for patients and their families. By integrating these strategies into traditional health policies, politicians can guarantee that families are not supported only through community initiatives, but also receive timely and complete medical care.</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However, the sustainability of these community -based interventions remains a relevant concern. Morton et al. (2021) specifically deal with the long -term feasibility of the programs designed for people with dementia and their caregivers. Their research indicates that while the initial pilot programs show a promise in improving the quality of life and social inclusion, there is often a lack of resources necessary for continuous support and financing. This limitation can hinder the potential for benefits supported for people and families affected by dementia. Therefore, literature underlines the need for evaluation and adaptation in progress of these programs to ensure that they remain reactive to the evolution needs of the community and the health environment.</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 xml:space="preserve">In addition, Morton et al. (2021) accentuate the need for policies that facilitate the involvement of the interested parties and encourage collaborative paintings between community organizations, health suppliers and families. This collaboration not only improves </w:t>
      </w:r>
      <w:r w:rsidRPr="00932E54">
        <w:rPr>
          <w:rFonts w:ascii="Times New Roman" w:eastAsia="Times New Roman" w:hAnsi="Times New Roman" w:cs="Times New Roman"/>
          <w:sz w:val="24"/>
          <w:szCs w:val="24"/>
          <w:lang w:eastAsia="en-GB"/>
        </w:rPr>
        <w:lastRenderedPageBreak/>
        <w:t>the effectiveness of community programs, but also promotes a culture of empowerment in which families are actively involved in the assistance process. This alignment is essential to maximize the impact of initiatives aimed at improving the effects of dementia, ensuring that the interventions are holistic and sustainable over time.</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 xml:space="preserve">In summary, the analysis of the main policies and initiatives of the government relating to treatments for dementia in the United Kingdom reveals a multifaceted approach that incorporates the commitment of the community, the preparation for health care and long -term sustainability of the support programs . This global picture is essential to promote an inclusive environment that significantly benefits people with dementia while providing solid support for their families., An innovative intervention model designed to address the deficiencies identified in existing dementia care policies in the UK should incorporate successful strategies that have been effective in increasing quality of life for dementia living individuals. Notably, the </w:t>
      </w:r>
      <w:proofErr w:type="spellStart"/>
      <w:r w:rsidRPr="00932E54">
        <w:rPr>
          <w:rFonts w:ascii="Times New Roman" w:eastAsia="Times New Roman" w:hAnsi="Times New Roman" w:cs="Times New Roman"/>
          <w:sz w:val="24"/>
          <w:szCs w:val="24"/>
          <w:lang w:eastAsia="en-GB"/>
        </w:rPr>
        <w:t>Namasta</w:t>
      </w:r>
      <w:proofErr w:type="spellEnd"/>
      <w:r w:rsidRPr="00932E54">
        <w:rPr>
          <w:rFonts w:ascii="Times New Roman" w:eastAsia="Times New Roman" w:hAnsi="Times New Roman" w:cs="Times New Roman"/>
          <w:sz w:val="24"/>
          <w:szCs w:val="24"/>
          <w:lang w:eastAsia="en-GB"/>
        </w:rPr>
        <w:t xml:space="preserve"> Care program, which focuses on creating a nutritious environment for those with advanced dementia, provides a base for building. This program emphasizes sensory stimulation and social interaction, promoting a feeling of belonging and engagement among participants (Latham et al., 2020). The integration of </w:t>
      </w:r>
      <w:proofErr w:type="spellStart"/>
      <w:r w:rsidRPr="00932E54">
        <w:rPr>
          <w:rFonts w:ascii="Times New Roman" w:eastAsia="Times New Roman" w:hAnsi="Times New Roman" w:cs="Times New Roman"/>
          <w:sz w:val="24"/>
          <w:szCs w:val="24"/>
          <w:lang w:eastAsia="en-GB"/>
        </w:rPr>
        <w:t>Namasta</w:t>
      </w:r>
      <w:proofErr w:type="spellEnd"/>
      <w:r w:rsidRPr="00932E54">
        <w:rPr>
          <w:rFonts w:ascii="Times New Roman" w:eastAsia="Times New Roman" w:hAnsi="Times New Roman" w:cs="Times New Roman"/>
          <w:sz w:val="24"/>
          <w:szCs w:val="24"/>
          <w:lang w:eastAsia="en-GB"/>
        </w:rPr>
        <w:t xml:space="preserve"> Care principles in our intervention can cultivate an atmosphere that prioritizes emotional and social well-being, encouraging assistance environments that are much less clinical and more home.</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 xml:space="preserve">In addition, public involvement in research, as argued by </w:t>
      </w:r>
      <w:proofErr w:type="spellStart"/>
      <w:r w:rsidRPr="00932E54">
        <w:rPr>
          <w:rFonts w:ascii="Times New Roman" w:eastAsia="Times New Roman" w:hAnsi="Times New Roman" w:cs="Times New Roman"/>
          <w:sz w:val="24"/>
          <w:szCs w:val="24"/>
          <w:lang w:eastAsia="en-GB"/>
        </w:rPr>
        <w:t>Miah</w:t>
      </w:r>
      <w:proofErr w:type="spellEnd"/>
      <w:r w:rsidRPr="00932E54">
        <w:rPr>
          <w:rFonts w:ascii="Times New Roman" w:eastAsia="Times New Roman" w:hAnsi="Times New Roman" w:cs="Times New Roman"/>
          <w:sz w:val="24"/>
          <w:szCs w:val="24"/>
          <w:lang w:eastAsia="en-GB"/>
        </w:rPr>
        <w:t xml:space="preserve"> et al. (2019), it is vital to ensure that interventions are based on real -world experiences of individuals affected by dementia. By building this model, a participatory approach is essential. Involving themselves with families, caregivers and those who live with dementia not only will illuminate their needs, but also enable them as co-projectors of care strategies. This collaboration can promote context -sensitive care solutions, filling the gap between politics and practice, ensuring relevance and effectiveness.</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The proposed model must be multifaceted, integrating primary prevention systems, community engagement and family support. Primary prevention may involve educational campaigns focused on dementia literacy, emphasizing lifestyle choices that mitigate the risk factors associated with cognitive decline. Such community -</w:t>
      </w:r>
      <w:proofErr w:type="spellStart"/>
      <w:r w:rsidRPr="00932E54">
        <w:rPr>
          <w:rFonts w:ascii="Times New Roman" w:eastAsia="Times New Roman" w:hAnsi="Times New Roman" w:cs="Times New Roman"/>
          <w:sz w:val="24"/>
          <w:szCs w:val="24"/>
          <w:lang w:eastAsia="en-GB"/>
        </w:rPr>
        <w:t>centered</w:t>
      </w:r>
      <w:proofErr w:type="spellEnd"/>
      <w:r w:rsidRPr="00932E54">
        <w:rPr>
          <w:rFonts w:ascii="Times New Roman" w:eastAsia="Times New Roman" w:hAnsi="Times New Roman" w:cs="Times New Roman"/>
          <w:sz w:val="24"/>
          <w:szCs w:val="24"/>
          <w:lang w:eastAsia="en-GB"/>
        </w:rPr>
        <w:t xml:space="preserve"> educational initiatives not only equate individuals with knowledge, but also promote a culture of support and understanding. </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 xml:space="preserve">Community involvement can be achieved through structured programs that promote social interaction between people who live with dementia and the general community. Activities such as intergenerational projects, where young volunteers interact with individuals living with dementia, showed promising results in reducing stigma and increasing social inclusion. By designing community spaces that facilitate these interactions, dementia can be </w:t>
      </w:r>
      <w:proofErr w:type="spellStart"/>
      <w:r w:rsidRPr="00932E54">
        <w:rPr>
          <w:rFonts w:ascii="Times New Roman" w:eastAsia="Times New Roman" w:hAnsi="Times New Roman" w:cs="Times New Roman"/>
          <w:sz w:val="24"/>
          <w:szCs w:val="24"/>
          <w:lang w:eastAsia="en-GB"/>
        </w:rPr>
        <w:t>discouragatized</w:t>
      </w:r>
      <w:proofErr w:type="spellEnd"/>
      <w:r w:rsidRPr="00932E54">
        <w:rPr>
          <w:rFonts w:ascii="Times New Roman" w:eastAsia="Times New Roman" w:hAnsi="Times New Roman" w:cs="Times New Roman"/>
          <w:sz w:val="24"/>
          <w:szCs w:val="24"/>
          <w:lang w:eastAsia="en-GB"/>
        </w:rPr>
        <w:t>, and the perception of individuals living with the disease can be transformed from that of declining patients to active participants in their communities (</w:t>
      </w:r>
      <w:proofErr w:type="spellStart"/>
      <w:r w:rsidRPr="00932E54">
        <w:rPr>
          <w:rFonts w:ascii="Times New Roman" w:eastAsia="Times New Roman" w:hAnsi="Times New Roman" w:cs="Times New Roman"/>
          <w:sz w:val="24"/>
          <w:szCs w:val="24"/>
          <w:lang w:eastAsia="en-GB"/>
        </w:rPr>
        <w:t>Mathie</w:t>
      </w:r>
      <w:proofErr w:type="spellEnd"/>
      <w:r w:rsidRPr="00932E54">
        <w:rPr>
          <w:rFonts w:ascii="Times New Roman" w:eastAsia="Times New Roman" w:hAnsi="Times New Roman" w:cs="Times New Roman"/>
          <w:sz w:val="24"/>
          <w:szCs w:val="24"/>
          <w:lang w:eastAsia="en-GB"/>
        </w:rPr>
        <w:t xml:space="preserve"> et al., 2022).</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 xml:space="preserve">In addition, personalized support for families is imperative in this model. Family caregivers usually face significant emotional, financial and physical charges. Interventions should include dedicated training programs that equate families with caring skills and provide emotional support through peer support groups and </w:t>
      </w:r>
      <w:proofErr w:type="spellStart"/>
      <w:r w:rsidRPr="00932E54">
        <w:rPr>
          <w:rFonts w:ascii="Times New Roman" w:eastAsia="Times New Roman" w:hAnsi="Times New Roman" w:cs="Times New Roman"/>
          <w:sz w:val="24"/>
          <w:szCs w:val="24"/>
          <w:lang w:eastAsia="en-GB"/>
        </w:rPr>
        <w:t>counseling</w:t>
      </w:r>
      <w:proofErr w:type="spellEnd"/>
      <w:r w:rsidRPr="00932E54">
        <w:rPr>
          <w:rFonts w:ascii="Times New Roman" w:eastAsia="Times New Roman" w:hAnsi="Times New Roman" w:cs="Times New Roman"/>
          <w:sz w:val="24"/>
          <w:szCs w:val="24"/>
          <w:lang w:eastAsia="en-GB"/>
        </w:rPr>
        <w:t xml:space="preserve"> services. Such support networks can alleviate part of the stress associated with care, promoting the health and resilience of family members (</w:t>
      </w:r>
      <w:proofErr w:type="spellStart"/>
      <w:r w:rsidRPr="00932E54">
        <w:rPr>
          <w:rFonts w:ascii="Times New Roman" w:eastAsia="Times New Roman" w:hAnsi="Times New Roman" w:cs="Times New Roman"/>
          <w:sz w:val="24"/>
          <w:szCs w:val="24"/>
          <w:lang w:eastAsia="en-GB"/>
        </w:rPr>
        <w:t>Mathie</w:t>
      </w:r>
      <w:proofErr w:type="spellEnd"/>
      <w:r w:rsidRPr="00932E54">
        <w:rPr>
          <w:rFonts w:ascii="Times New Roman" w:eastAsia="Times New Roman" w:hAnsi="Times New Roman" w:cs="Times New Roman"/>
          <w:sz w:val="24"/>
          <w:szCs w:val="24"/>
          <w:lang w:eastAsia="en-GB"/>
        </w:rPr>
        <w:t xml:space="preserve"> et al., 2022).</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The broader social implications of these interventions require exploitation, particularly the reduction of stigma and increasing quality of life for those who suffer from dementia. According to Walsh et al. (2024), population interventions specifically intended for reduction of risk of dementia are an integral part of the creation of a more inclusive society. By prioritizing a support infrastructure, these programs may not only support improvements in dementia care, but also catalyzes systemic changes in society that reform public attitudes towards dementia. Understanding and acceptance of the enhanced public are essential for reducing dementia perceptions as just a burden, thus promoting a more supportive environment. In short, a comprehensive intervention model that adopts a holistic approach can play a key role in reformulating the landscape of dementia care in the United Kingdom, promoting dignity, respect and quality of life for individuals affected by this condition.</w:t>
      </w: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C80FCC" w:rsidRDefault="00C80FCC"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C80FCC" w:rsidRDefault="00C80FCC" w:rsidP="00932E54">
      <w:pPr>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lastRenderedPageBreak/>
        <w:t>Reference:</w:t>
      </w:r>
    </w:p>
    <w:p w:rsidR="00932E54" w:rsidRPr="00932E54" w:rsidRDefault="00932E54" w:rsidP="00932E54">
      <w:pPr>
        <w:pStyle w:val="Akapitzlist"/>
        <w:numPr>
          <w:ilvl w:val="0"/>
          <w:numId w:val="3"/>
        </w:num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 xml:space="preserve">Collins, R., </w:t>
      </w:r>
      <w:proofErr w:type="spellStart"/>
      <w:r w:rsidRPr="00932E54">
        <w:rPr>
          <w:rFonts w:ascii="Times New Roman" w:eastAsia="Times New Roman" w:hAnsi="Times New Roman" w:cs="Times New Roman"/>
          <w:sz w:val="24"/>
          <w:szCs w:val="24"/>
          <w:lang w:eastAsia="en-GB"/>
        </w:rPr>
        <w:t>Silarova</w:t>
      </w:r>
      <w:proofErr w:type="spellEnd"/>
      <w:r w:rsidRPr="00932E54">
        <w:rPr>
          <w:rFonts w:ascii="Times New Roman" w:eastAsia="Times New Roman" w:hAnsi="Times New Roman" w:cs="Times New Roman"/>
          <w:sz w:val="24"/>
          <w:szCs w:val="24"/>
          <w:lang w:eastAsia="en-GB"/>
        </w:rPr>
        <w:t>, B., &amp; Clare, L. (2019). Dementia primary prevention policies and strategies and their local implementation: A scoping review using England as a case study. Journal of Alzheimer's Disease, 70(s1), S303-S318.</w:t>
      </w:r>
    </w:p>
    <w:p w:rsidR="00932E54" w:rsidRPr="00932E54" w:rsidRDefault="00932E54" w:rsidP="00932E54">
      <w:pPr>
        <w:pStyle w:val="Akapitzlist"/>
        <w:numPr>
          <w:ilvl w:val="0"/>
          <w:numId w:val="3"/>
        </w:num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 xml:space="preserve">Goodman, C., Arthur, A., Buckner, S., </w:t>
      </w:r>
      <w:proofErr w:type="spellStart"/>
      <w:r w:rsidRPr="00932E54">
        <w:rPr>
          <w:rFonts w:ascii="Times New Roman" w:eastAsia="Times New Roman" w:hAnsi="Times New Roman" w:cs="Times New Roman"/>
          <w:sz w:val="24"/>
          <w:szCs w:val="24"/>
          <w:lang w:eastAsia="en-GB"/>
        </w:rPr>
        <w:t>Buswell</w:t>
      </w:r>
      <w:proofErr w:type="spellEnd"/>
      <w:r w:rsidRPr="00932E54">
        <w:rPr>
          <w:rFonts w:ascii="Times New Roman" w:eastAsia="Times New Roman" w:hAnsi="Times New Roman" w:cs="Times New Roman"/>
          <w:sz w:val="24"/>
          <w:szCs w:val="24"/>
          <w:lang w:eastAsia="en-GB"/>
        </w:rPr>
        <w:t>, M., Darlington, N., Dickinson, A., ... &amp; Woodward, M. (2020). National Institute for health research policy research Programme project dementia friendly communities: The DEMCOM evaluation (PR-R15-0116-21003).</w:t>
      </w:r>
    </w:p>
    <w:p w:rsidR="00932E54" w:rsidRPr="00932E54" w:rsidRDefault="00932E54" w:rsidP="00932E54">
      <w:pPr>
        <w:pStyle w:val="Akapitzlist"/>
        <w:numPr>
          <w:ilvl w:val="0"/>
          <w:numId w:val="3"/>
        </w:numPr>
        <w:tabs>
          <w:tab w:val="left" w:pos="960"/>
        </w:tabs>
        <w:spacing w:after="0" w:line="360" w:lineRule="auto"/>
        <w:textAlignment w:val="baseline"/>
        <w:rPr>
          <w:rFonts w:ascii="Times New Roman" w:eastAsia="Times New Roman" w:hAnsi="Times New Roman" w:cs="Times New Roman"/>
          <w:sz w:val="24"/>
          <w:szCs w:val="24"/>
          <w:lang w:eastAsia="en-GB"/>
        </w:rPr>
      </w:pPr>
      <w:proofErr w:type="spellStart"/>
      <w:r w:rsidRPr="00932E54">
        <w:rPr>
          <w:rFonts w:ascii="Times New Roman" w:eastAsia="Times New Roman" w:hAnsi="Times New Roman" w:cs="Times New Roman"/>
          <w:sz w:val="24"/>
          <w:szCs w:val="24"/>
          <w:lang w:eastAsia="en-GB"/>
        </w:rPr>
        <w:t>Hampel</w:t>
      </w:r>
      <w:proofErr w:type="spellEnd"/>
      <w:r w:rsidRPr="00932E54">
        <w:rPr>
          <w:rFonts w:ascii="Times New Roman" w:eastAsia="Times New Roman" w:hAnsi="Times New Roman" w:cs="Times New Roman"/>
          <w:sz w:val="24"/>
          <w:szCs w:val="24"/>
          <w:lang w:eastAsia="en-GB"/>
        </w:rPr>
        <w:t xml:space="preserve">, H., </w:t>
      </w:r>
      <w:proofErr w:type="spellStart"/>
      <w:r w:rsidRPr="00932E54">
        <w:rPr>
          <w:rFonts w:ascii="Times New Roman" w:eastAsia="Times New Roman" w:hAnsi="Times New Roman" w:cs="Times New Roman"/>
          <w:sz w:val="24"/>
          <w:szCs w:val="24"/>
          <w:lang w:eastAsia="en-GB"/>
        </w:rPr>
        <w:t>Vergallo</w:t>
      </w:r>
      <w:proofErr w:type="spellEnd"/>
      <w:r w:rsidRPr="00932E54">
        <w:rPr>
          <w:rFonts w:ascii="Times New Roman" w:eastAsia="Times New Roman" w:hAnsi="Times New Roman" w:cs="Times New Roman"/>
          <w:sz w:val="24"/>
          <w:szCs w:val="24"/>
          <w:lang w:eastAsia="en-GB"/>
        </w:rPr>
        <w:t xml:space="preserve">, A., </w:t>
      </w:r>
      <w:proofErr w:type="spellStart"/>
      <w:r w:rsidRPr="00932E54">
        <w:rPr>
          <w:rFonts w:ascii="Times New Roman" w:eastAsia="Times New Roman" w:hAnsi="Times New Roman" w:cs="Times New Roman"/>
          <w:sz w:val="24"/>
          <w:szCs w:val="24"/>
          <w:lang w:eastAsia="en-GB"/>
        </w:rPr>
        <w:t>Iwatsubo</w:t>
      </w:r>
      <w:proofErr w:type="spellEnd"/>
      <w:r w:rsidRPr="00932E54">
        <w:rPr>
          <w:rFonts w:ascii="Times New Roman" w:eastAsia="Times New Roman" w:hAnsi="Times New Roman" w:cs="Times New Roman"/>
          <w:sz w:val="24"/>
          <w:szCs w:val="24"/>
          <w:lang w:eastAsia="en-GB"/>
        </w:rPr>
        <w:t xml:space="preserve">, T., Cho, M., </w:t>
      </w:r>
      <w:proofErr w:type="spellStart"/>
      <w:r w:rsidRPr="00932E54">
        <w:rPr>
          <w:rFonts w:ascii="Times New Roman" w:eastAsia="Times New Roman" w:hAnsi="Times New Roman" w:cs="Times New Roman"/>
          <w:sz w:val="24"/>
          <w:szCs w:val="24"/>
          <w:lang w:eastAsia="en-GB"/>
        </w:rPr>
        <w:t>Kurokawa</w:t>
      </w:r>
      <w:proofErr w:type="spellEnd"/>
      <w:r w:rsidRPr="00932E54">
        <w:rPr>
          <w:rFonts w:ascii="Times New Roman" w:eastAsia="Times New Roman" w:hAnsi="Times New Roman" w:cs="Times New Roman"/>
          <w:sz w:val="24"/>
          <w:szCs w:val="24"/>
          <w:lang w:eastAsia="en-GB"/>
        </w:rPr>
        <w:t>, K., Wang, H., ... &amp; Chen, C. (2022). Evaluation of major national dementia policies and health‐care system preparedness for early medical action and implementation. Alzheimer's &amp; Dementia, 18(10), 1993-2002.</w:t>
      </w:r>
    </w:p>
    <w:p w:rsidR="00932E54" w:rsidRDefault="00932E54" w:rsidP="00932E54">
      <w:pPr>
        <w:pStyle w:val="Akapitzlist"/>
        <w:numPr>
          <w:ilvl w:val="0"/>
          <w:numId w:val="3"/>
        </w:num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 xml:space="preserve">Latham, I., </w:t>
      </w:r>
      <w:proofErr w:type="spellStart"/>
      <w:r w:rsidRPr="00932E54">
        <w:rPr>
          <w:rFonts w:ascii="Times New Roman" w:eastAsia="Times New Roman" w:hAnsi="Times New Roman" w:cs="Times New Roman"/>
          <w:sz w:val="24"/>
          <w:szCs w:val="24"/>
          <w:lang w:eastAsia="en-GB"/>
        </w:rPr>
        <w:t>Brooker</w:t>
      </w:r>
      <w:proofErr w:type="spellEnd"/>
      <w:r w:rsidRPr="00932E54">
        <w:rPr>
          <w:rFonts w:ascii="Times New Roman" w:eastAsia="Times New Roman" w:hAnsi="Times New Roman" w:cs="Times New Roman"/>
          <w:sz w:val="24"/>
          <w:szCs w:val="24"/>
          <w:lang w:eastAsia="en-GB"/>
        </w:rPr>
        <w:t>, D., Bray, J., Jacobson-Wright, N., &amp; Frost, F. (2020). The impact of implementing a Namaste Care intervention in UK care homes for people living with advanced dementia, staff and families. International journal of environmental research and public health, 17(16), 6004.</w:t>
      </w:r>
    </w:p>
    <w:p w:rsidR="00932E54" w:rsidRPr="00932E54" w:rsidRDefault="00932E54" w:rsidP="00932E54">
      <w:pPr>
        <w:pStyle w:val="Akapitzlist"/>
        <w:numPr>
          <w:ilvl w:val="0"/>
          <w:numId w:val="3"/>
        </w:numPr>
        <w:tabs>
          <w:tab w:val="left" w:pos="960"/>
        </w:tabs>
        <w:spacing w:after="0" w:line="360" w:lineRule="auto"/>
        <w:textAlignment w:val="baseline"/>
        <w:rPr>
          <w:rFonts w:ascii="Times New Roman" w:eastAsia="Times New Roman" w:hAnsi="Times New Roman" w:cs="Times New Roman"/>
          <w:sz w:val="24"/>
          <w:szCs w:val="24"/>
          <w:lang w:eastAsia="en-GB"/>
        </w:rPr>
      </w:pPr>
      <w:proofErr w:type="spellStart"/>
      <w:r w:rsidRPr="00932E54">
        <w:rPr>
          <w:rFonts w:ascii="Times New Roman" w:eastAsia="Times New Roman" w:hAnsi="Times New Roman" w:cs="Times New Roman"/>
          <w:sz w:val="24"/>
          <w:szCs w:val="24"/>
          <w:lang w:eastAsia="en-GB"/>
        </w:rPr>
        <w:t>Mathie</w:t>
      </w:r>
      <w:proofErr w:type="spellEnd"/>
      <w:r w:rsidRPr="00932E54">
        <w:rPr>
          <w:rFonts w:ascii="Times New Roman" w:eastAsia="Times New Roman" w:hAnsi="Times New Roman" w:cs="Times New Roman"/>
          <w:sz w:val="24"/>
          <w:szCs w:val="24"/>
          <w:lang w:eastAsia="en-GB"/>
        </w:rPr>
        <w:t xml:space="preserve">, E., Antony, A., </w:t>
      </w:r>
      <w:proofErr w:type="spellStart"/>
      <w:r w:rsidRPr="00932E54">
        <w:rPr>
          <w:rFonts w:ascii="Times New Roman" w:eastAsia="Times New Roman" w:hAnsi="Times New Roman" w:cs="Times New Roman"/>
          <w:sz w:val="24"/>
          <w:szCs w:val="24"/>
          <w:lang w:eastAsia="en-GB"/>
        </w:rPr>
        <w:t>Killett</w:t>
      </w:r>
      <w:proofErr w:type="spellEnd"/>
      <w:r w:rsidRPr="00932E54">
        <w:rPr>
          <w:rFonts w:ascii="Times New Roman" w:eastAsia="Times New Roman" w:hAnsi="Times New Roman" w:cs="Times New Roman"/>
          <w:sz w:val="24"/>
          <w:szCs w:val="24"/>
          <w:lang w:eastAsia="en-GB"/>
        </w:rPr>
        <w:t>, A., Darlington, N.,</w:t>
      </w:r>
      <w:r>
        <w:rPr>
          <w:rFonts w:ascii="Times New Roman" w:eastAsia="Times New Roman" w:hAnsi="Times New Roman" w:cs="Times New Roman"/>
          <w:sz w:val="24"/>
          <w:szCs w:val="24"/>
          <w:lang w:eastAsia="en-GB"/>
        </w:rPr>
        <w:t xml:space="preserve"> Buckner, S., </w:t>
      </w:r>
      <w:proofErr w:type="spellStart"/>
      <w:r>
        <w:rPr>
          <w:rFonts w:ascii="Times New Roman" w:eastAsia="Times New Roman" w:hAnsi="Times New Roman" w:cs="Times New Roman"/>
          <w:sz w:val="24"/>
          <w:szCs w:val="24"/>
          <w:lang w:eastAsia="en-GB"/>
        </w:rPr>
        <w:t>Lafortune</w:t>
      </w:r>
      <w:proofErr w:type="spellEnd"/>
      <w:r>
        <w:rPr>
          <w:rFonts w:ascii="Times New Roman" w:eastAsia="Times New Roman" w:hAnsi="Times New Roman" w:cs="Times New Roman"/>
          <w:sz w:val="24"/>
          <w:szCs w:val="24"/>
          <w:lang w:eastAsia="en-GB"/>
        </w:rPr>
        <w:t>, L.</w:t>
      </w:r>
      <w:r w:rsidRPr="00932E54">
        <w:rPr>
          <w:rFonts w:ascii="Times New Roman" w:eastAsia="Times New Roman" w:hAnsi="Times New Roman" w:cs="Times New Roman"/>
          <w:sz w:val="24"/>
          <w:szCs w:val="24"/>
          <w:lang w:eastAsia="en-GB"/>
        </w:rPr>
        <w:t xml:space="preserve"> &amp; Goodman, C. (2022). Dementia-friendly communities: The involvement of people living with dementia. Dementia, 21(4), 1250-1269.</w:t>
      </w:r>
    </w:p>
    <w:p w:rsidR="00932E54" w:rsidRPr="00932E54" w:rsidRDefault="00932E54" w:rsidP="00932E54">
      <w:pPr>
        <w:pStyle w:val="Akapitzlist"/>
        <w:numPr>
          <w:ilvl w:val="0"/>
          <w:numId w:val="3"/>
        </w:numPr>
        <w:tabs>
          <w:tab w:val="left" w:pos="960"/>
        </w:tabs>
        <w:spacing w:after="0" w:line="360" w:lineRule="auto"/>
        <w:textAlignment w:val="baseline"/>
        <w:rPr>
          <w:rFonts w:ascii="Times New Roman" w:eastAsia="Times New Roman" w:hAnsi="Times New Roman" w:cs="Times New Roman"/>
          <w:sz w:val="24"/>
          <w:szCs w:val="24"/>
          <w:lang w:eastAsia="en-GB"/>
        </w:rPr>
      </w:pPr>
      <w:proofErr w:type="spellStart"/>
      <w:r w:rsidRPr="00932E54">
        <w:rPr>
          <w:rFonts w:ascii="Times New Roman" w:eastAsia="Times New Roman" w:hAnsi="Times New Roman" w:cs="Times New Roman"/>
          <w:sz w:val="24"/>
          <w:szCs w:val="24"/>
          <w:lang w:eastAsia="en-GB"/>
        </w:rPr>
        <w:t>Miah</w:t>
      </w:r>
      <w:proofErr w:type="spellEnd"/>
      <w:r w:rsidRPr="00932E54">
        <w:rPr>
          <w:rFonts w:ascii="Times New Roman" w:eastAsia="Times New Roman" w:hAnsi="Times New Roman" w:cs="Times New Roman"/>
          <w:sz w:val="24"/>
          <w:szCs w:val="24"/>
          <w:lang w:eastAsia="en-GB"/>
        </w:rPr>
        <w:t xml:space="preserve">, J., Dawes, P., Edwards, S., </w:t>
      </w:r>
      <w:proofErr w:type="spellStart"/>
      <w:r w:rsidRPr="00932E54">
        <w:rPr>
          <w:rFonts w:ascii="Times New Roman" w:eastAsia="Times New Roman" w:hAnsi="Times New Roman" w:cs="Times New Roman"/>
          <w:sz w:val="24"/>
          <w:szCs w:val="24"/>
          <w:lang w:eastAsia="en-GB"/>
        </w:rPr>
        <w:t>Leroi</w:t>
      </w:r>
      <w:proofErr w:type="spellEnd"/>
      <w:r w:rsidRPr="00932E54">
        <w:rPr>
          <w:rFonts w:ascii="Times New Roman" w:eastAsia="Times New Roman" w:hAnsi="Times New Roman" w:cs="Times New Roman"/>
          <w:sz w:val="24"/>
          <w:szCs w:val="24"/>
          <w:lang w:eastAsia="en-GB"/>
        </w:rPr>
        <w:t>, I., Starling, B., &amp; Parsons, S. (2019). Patient and public involvement in dementia research in the European Union: a scoping review. BMC geriatrics, 19, 1-20.</w:t>
      </w:r>
    </w:p>
    <w:p w:rsidR="00932E54" w:rsidRPr="00932E54" w:rsidRDefault="00932E54" w:rsidP="00932E54">
      <w:pPr>
        <w:pStyle w:val="Akapitzlist"/>
        <w:numPr>
          <w:ilvl w:val="0"/>
          <w:numId w:val="3"/>
        </w:num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 xml:space="preserve">Morton, T., Wong, G., Atkinson, T., &amp; </w:t>
      </w:r>
      <w:proofErr w:type="spellStart"/>
      <w:r w:rsidRPr="00932E54">
        <w:rPr>
          <w:rFonts w:ascii="Times New Roman" w:eastAsia="Times New Roman" w:hAnsi="Times New Roman" w:cs="Times New Roman"/>
          <w:sz w:val="24"/>
          <w:szCs w:val="24"/>
          <w:lang w:eastAsia="en-GB"/>
        </w:rPr>
        <w:t>Brooker</w:t>
      </w:r>
      <w:proofErr w:type="spellEnd"/>
      <w:r w:rsidRPr="00932E54">
        <w:rPr>
          <w:rFonts w:ascii="Times New Roman" w:eastAsia="Times New Roman" w:hAnsi="Times New Roman" w:cs="Times New Roman"/>
          <w:sz w:val="24"/>
          <w:szCs w:val="24"/>
          <w:lang w:eastAsia="en-GB"/>
        </w:rPr>
        <w:t>, D. (2021). Sustaining community-based interventions for people affected by dementia long term: the SCI-Dem realist review. BMJ open, 11(7), e047789.</w:t>
      </w:r>
    </w:p>
    <w:p w:rsidR="00932E54" w:rsidRDefault="00932E54" w:rsidP="00932E54">
      <w:pPr>
        <w:pStyle w:val="Akapitzlist"/>
        <w:numPr>
          <w:ilvl w:val="0"/>
          <w:numId w:val="3"/>
        </w:numPr>
        <w:tabs>
          <w:tab w:val="left" w:pos="960"/>
        </w:tabs>
        <w:spacing w:after="0" w:line="360" w:lineRule="auto"/>
        <w:textAlignment w:val="baseline"/>
        <w:rPr>
          <w:rFonts w:ascii="Times New Roman" w:eastAsia="Times New Roman" w:hAnsi="Times New Roman" w:cs="Times New Roman"/>
          <w:sz w:val="24"/>
          <w:szCs w:val="24"/>
          <w:lang w:eastAsia="en-GB"/>
        </w:rPr>
      </w:pPr>
      <w:proofErr w:type="spellStart"/>
      <w:r w:rsidRPr="00932E54">
        <w:rPr>
          <w:rFonts w:ascii="Times New Roman" w:eastAsia="Times New Roman" w:hAnsi="Times New Roman" w:cs="Times New Roman"/>
          <w:sz w:val="24"/>
          <w:szCs w:val="24"/>
          <w:lang w:eastAsia="en-GB"/>
        </w:rPr>
        <w:t>Siette</w:t>
      </w:r>
      <w:proofErr w:type="spellEnd"/>
      <w:r w:rsidRPr="00932E54">
        <w:rPr>
          <w:rFonts w:ascii="Times New Roman" w:eastAsia="Times New Roman" w:hAnsi="Times New Roman" w:cs="Times New Roman"/>
          <w:sz w:val="24"/>
          <w:szCs w:val="24"/>
          <w:lang w:eastAsia="en-GB"/>
        </w:rPr>
        <w:t xml:space="preserve">, J., Taylor, N., </w:t>
      </w:r>
      <w:proofErr w:type="spellStart"/>
      <w:r w:rsidRPr="00932E54">
        <w:rPr>
          <w:rFonts w:ascii="Times New Roman" w:eastAsia="Times New Roman" w:hAnsi="Times New Roman" w:cs="Times New Roman"/>
          <w:sz w:val="24"/>
          <w:szCs w:val="24"/>
          <w:lang w:eastAsia="en-GB"/>
        </w:rPr>
        <w:t>Deckers</w:t>
      </w:r>
      <w:proofErr w:type="spellEnd"/>
      <w:r w:rsidRPr="00932E54">
        <w:rPr>
          <w:rFonts w:ascii="Times New Roman" w:eastAsia="Times New Roman" w:hAnsi="Times New Roman" w:cs="Times New Roman"/>
          <w:sz w:val="24"/>
          <w:szCs w:val="24"/>
          <w:lang w:eastAsia="en-GB"/>
        </w:rPr>
        <w:t xml:space="preserve">, K., </w:t>
      </w:r>
      <w:proofErr w:type="spellStart"/>
      <w:r w:rsidRPr="00932E54">
        <w:rPr>
          <w:rFonts w:ascii="Times New Roman" w:eastAsia="Times New Roman" w:hAnsi="Times New Roman" w:cs="Times New Roman"/>
          <w:sz w:val="24"/>
          <w:szCs w:val="24"/>
          <w:lang w:eastAsia="en-GB"/>
        </w:rPr>
        <w:t>Köhler</w:t>
      </w:r>
      <w:proofErr w:type="spellEnd"/>
      <w:r w:rsidRPr="00932E54">
        <w:rPr>
          <w:rFonts w:ascii="Times New Roman" w:eastAsia="Times New Roman" w:hAnsi="Times New Roman" w:cs="Times New Roman"/>
          <w:sz w:val="24"/>
          <w:szCs w:val="24"/>
          <w:lang w:eastAsia="en-GB"/>
        </w:rPr>
        <w:t xml:space="preserve">, S., Braithwaite, J., Valenzuela, M., &amp; </w:t>
      </w:r>
      <w:proofErr w:type="spellStart"/>
      <w:r w:rsidRPr="00932E54">
        <w:rPr>
          <w:rFonts w:ascii="Times New Roman" w:eastAsia="Times New Roman" w:hAnsi="Times New Roman" w:cs="Times New Roman"/>
          <w:sz w:val="24"/>
          <w:szCs w:val="24"/>
          <w:lang w:eastAsia="en-GB"/>
        </w:rPr>
        <w:t>Armitage</w:t>
      </w:r>
      <w:proofErr w:type="spellEnd"/>
      <w:r w:rsidRPr="00932E54">
        <w:rPr>
          <w:rFonts w:ascii="Times New Roman" w:eastAsia="Times New Roman" w:hAnsi="Times New Roman" w:cs="Times New Roman"/>
          <w:sz w:val="24"/>
          <w:szCs w:val="24"/>
          <w:lang w:eastAsia="en-GB"/>
        </w:rPr>
        <w:t>, C. J. (2022). Advancing Australian public health initiatives targeting dementia risk reduction. Australasian journal on ageing, 41(2), e190-e195.</w:t>
      </w:r>
    </w:p>
    <w:p w:rsidR="00932E54" w:rsidRPr="00932E54" w:rsidRDefault="00932E54" w:rsidP="00932E54">
      <w:pPr>
        <w:pStyle w:val="Akapitzlist"/>
        <w:numPr>
          <w:ilvl w:val="0"/>
          <w:numId w:val="3"/>
        </w:num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t xml:space="preserve">Walsh, S., Wallace, L., Kuhn, I., </w:t>
      </w:r>
      <w:proofErr w:type="spellStart"/>
      <w:r w:rsidRPr="00932E54">
        <w:rPr>
          <w:rFonts w:ascii="Times New Roman" w:eastAsia="Times New Roman" w:hAnsi="Times New Roman" w:cs="Times New Roman"/>
          <w:sz w:val="24"/>
          <w:szCs w:val="24"/>
          <w:lang w:eastAsia="en-GB"/>
        </w:rPr>
        <w:t>Mytton</w:t>
      </w:r>
      <w:proofErr w:type="spellEnd"/>
      <w:r w:rsidRPr="00932E54">
        <w:rPr>
          <w:rFonts w:ascii="Times New Roman" w:eastAsia="Times New Roman" w:hAnsi="Times New Roman" w:cs="Times New Roman"/>
          <w:sz w:val="24"/>
          <w:szCs w:val="24"/>
          <w:lang w:eastAsia="en-GB"/>
        </w:rPr>
        <w:t xml:space="preserve">, O., </w:t>
      </w:r>
      <w:proofErr w:type="spellStart"/>
      <w:r w:rsidRPr="00932E54">
        <w:rPr>
          <w:rFonts w:ascii="Times New Roman" w:eastAsia="Times New Roman" w:hAnsi="Times New Roman" w:cs="Times New Roman"/>
          <w:sz w:val="24"/>
          <w:szCs w:val="24"/>
          <w:lang w:eastAsia="en-GB"/>
        </w:rPr>
        <w:t>Lafortune</w:t>
      </w:r>
      <w:proofErr w:type="spellEnd"/>
      <w:r w:rsidRPr="00932E54">
        <w:rPr>
          <w:rFonts w:ascii="Times New Roman" w:eastAsia="Times New Roman" w:hAnsi="Times New Roman" w:cs="Times New Roman"/>
          <w:sz w:val="24"/>
          <w:szCs w:val="24"/>
          <w:lang w:eastAsia="en-GB"/>
        </w:rPr>
        <w:t xml:space="preserve">, L., Wills, W., ... &amp; </w:t>
      </w:r>
      <w:proofErr w:type="spellStart"/>
      <w:r w:rsidRPr="00932E54">
        <w:rPr>
          <w:rFonts w:ascii="Times New Roman" w:eastAsia="Times New Roman" w:hAnsi="Times New Roman" w:cs="Times New Roman"/>
          <w:sz w:val="24"/>
          <w:szCs w:val="24"/>
          <w:lang w:eastAsia="en-GB"/>
        </w:rPr>
        <w:t>Brayne</w:t>
      </w:r>
      <w:proofErr w:type="spellEnd"/>
      <w:r w:rsidRPr="00932E54">
        <w:rPr>
          <w:rFonts w:ascii="Times New Roman" w:eastAsia="Times New Roman" w:hAnsi="Times New Roman" w:cs="Times New Roman"/>
          <w:sz w:val="24"/>
          <w:szCs w:val="24"/>
          <w:lang w:eastAsia="en-GB"/>
        </w:rPr>
        <w:t xml:space="preserve">, C. (2024). Population-level interventions for the primary prevention of dementia: a complex evidence review. </w:t>
      </w:r>
      <w:proofErr w:type="spellStart"/>
      <w:r w:rsidRPr="00932E54">
        <w:rPr>
          <w:rFonts w:ascii="Times New Roman" w:eastAsia="Times New Roman" w:hAnsi="Times New Roman" w:cs="Times New Roman"/>
          <w:sz w:val="24"/>
          <w:szCs w:val="24"/>
          <w:lang w:eastAsia="en-GB"/>
        </w:rPr>
        <w:t>EClinicalMedicine</w:t>
      </w:r>
      <w:proofErr w:type="spellEnd"/>
      <w:r w:rsidRPr="00932E54">
        <w:rPr>
          <w:rFonts w:ascii="Times New Roman" w:eastAsia="Times New Roman" w:hAnsi="Times New Roman" w:cs="Times New Roman"/>
          <w:sz w:val="24"/>
          <w:szCs w:val="24"/>
          <w:lang w:eastAsia="en-GB"/>
        </w:rPr>
        <w:t>, 70.</w:t>
      </w:r>
    </w:p>
    <w:p w:rsidR="00932E54" w:rsidRDefault="00932E54" w:rsidP="00932E54">
      <w:pPr>
        <w:pStyle w:val="Akapitzlist"/>
        <w:tabs>
          <w:tab w:val="left" w:pos="960"/>
        </w:tabs>
        <w:spacing w:after="0" w:line="360" w:lineRule="auto"/>
        <w:textAlignment w:val="baseline"/>
        <w:rPr>
          <w:rFonts w:ascii="Times New Roman" w:eastAsia="Times New Roman" w:hAnsi="Times New Roman" w:cs="Times New Roman"/>
          <w:sz w:val="24"/>
          <w:szCs w:val="24"/>
          <w:lang w:eastAsia="en-GB"/>
        </w:rPr>
      </w:pPr>
    </w:p>
    <w:p w:rsidR="00932E54" w:rsidRPr="00932E54" w:rsidRDefault="00932E54" w:rsidP="00932E54">
      <w:pPr>
        <w:pStyle w:val="Akapitzlist"/>
        <w:numPr>
          <w:ilvl w:val="0"/>
          <w:numId w:val="3"/>
        </w:num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lastRenderedPageBreak/>
        <w:t>World Health Organization. (2021). Global status report on the public health response to dementia.</w:t>
      </w:r>
    </w:p>
    <w:p w:rsidR="00932E54" w:rsidRPr="00932E54" w:rsidRDefault="00932E54" w:rsidP="00932E54">
      <w:pPr>
        <w:pStyle w:val="Akapitzlist"/>
        <w:tabs>
          <w:tab w:val="left" w:pos="960"/>
        </w:tabs>
        <w:spacing w:after="0" w:line="360" w:lineRule="auto"/>
        <w:textAlignment w:val="baseline"/>
        <w:rPr>
          <w:rFonts w:ascii="Times New Roman" w:eastAsia="Times New Roman" w:hAnsi="Times New Roman" w:cs="Times New Roman"/>
          <w:sz w:val="24"/>
          <w:szCs w:val="24"/>
          <w:lang w:eastAsia="en-GB"/>
        </w:rPr>
      </w:pPr>
    </w:p>
    <w:p w:rsidR="00827BFF" w:rsidRPr="00932E54" w:rsidRDefault="00827BFF" w:rsidP="00C767DD">
      <w:pPr>
        <w:tabs>
          <w:tab w:val="left" w:pos="960"/>
        </w:tabs>
        <w:spacing w:after="0" w:line="360" w:lineRule="auto"/>
        <w:textAlignment w:val="baseline"/>
        <w:rPr>
          <w:rFonts w:ascii="Times New Roman" w:eastAsia="Times New Roman" w:hAnsi="Times New Roman" w:cs="Times New Roman"/>
          <w:sz w:val="24"/>
          <w:szCs w:val="24"/>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6F521A">
      <w:pPr>
        <w:spacing w:after="0"/>
        <w:jc w:val="center"/>
        <w:rPr>
          <w:rFonts w:ascii="Times New Roman" w:eastAsia="Times New Roman" w:hAnsi="Times New Roman" w:cs="Times New Roman"/>
          <w:b/>
          <w:color w:val="000000"/>
          <w:sz w:val="28"/>
          <w:szCs w:val="28"/>
          <w:lang w:eastAsia="en-GB"/>
        </w:rPr>
      </w:pPr>
    </w:p>
    <w:p w:rsidR="005C371C" w:rsidRDefault="005C371C" w:rsidP="006F521A">
      <w:pPr>
        <w:spacing w:after="0"/>
        <w:jc w:val="center"/>
        <w:rPr>
          <w:rFonts w:ascii="Times New Roman" w:eastAsia="Times New Roman" w:hAnsi="Times New Roman" w:cs="Times New Roman"/>
          <w:b/>
          <w:color w:val="000000"/>
          <w:sz w:val="28"/>
          <w:szCs w:val="28"/>
          <w:lang w:eastAsia="en-GB"/>
        </w:rPr>
      </w:pPr>
      <w:r w:rsidRPr="006F521A">
        <w:rPr>
          <w:rFonts w:ascii="Times New Roman" w:eastAsia="Times New Roman" w:hAnsi="Times New Roman" w:cs="Times New Roman"/>
          <w:b/>
          <w:color w:val="000000"/>
          <w:sz w:val="28"/>
          <w:szCs w:val="28"/>
          <w:lang w:eastAsia="en-GB"/>
        </w:rPr>
        <w:lastRenderedPageBreak/>
        <w:t>Part 2:</w:t>
      </w:r>
    </w:p>
    <w:p w:rsidR="00C80FCC" w:rsidRPr="006F521A" w:rsidRDefault="00C80FCC" w:rsidP="006F521A">
      <w:pPr>
        <w:spacing w:after="0"/>
        <w:jc w:val="center"/>
        <w:rPr>
          <w:rFonts w:ascii="Times New Roman" w:eastAsia="Times New Roman" w:hAnsi="Times New Roman" w:cs="Times New Roman"/>
          <w:b/>
          <w:color w:val="000000"/>
          <w:sz w:val="28"/>
          <w:szCs w:val="28"/>
          <w:lang w:eastAsia="en-GB"/>
        </w:rPr>
      </w:pPr>
    </w:p>
    <w:p w:rsidR="00C80FCC" w:rsidRDefault="00C80FCC" w:rsidP="00C80FCC">
      <w:pPr>
        <w:spacing w:after="0"/>
        <w:textAlignment w:val="baseline"/>
        <w:rPr>
          <w:rFonts w:ascii="Times New Roman" w:eastAsia="Times New Roman" w:hAnsi="Times New Roman" w:cs="Times New Roman"/>
          <w:b/>
          <w:sz w:val="24"/>
          <w:szCs w:val="24"/>
          <w:lang w:eastAsia="en-GB"/>
        </w:rPr>
      </w:pPr>
      <w:r w:rsidRPr="003552FE">
        <w:rPr>
          <w:rFonts w:ascii="Times New Roman" w:eastAsia="Times New Roman" w:hAnsi="Times New Roman" w:cs="Times New Roman"/>
          <w:b/>
          <w:sz w:val="24"/>
          <w:szCs w:val="24"/>
          <w:lang w:eastAsia="en-GB"/>
        </w:rPr>
        <w:t>Creating a Dog Therapy Intervention Program Aimed at Relieving Psychological Distress of Elderly Patients Suffering From Dementia</w:t>
      </w:r>
    </w:p>
    <w:p w:rsidR="003552FE" w:rsidRPr="003552FE" w:rsidRDefault="003552FE" w:rsidP="00C80FCC">
      <w:pPr>
        <w:spacing w:after="0"/>
        <w:textAlignment w:val="baseline"/>
        <w:rPr>
          <w:rFonts w:ascii="Times New Roman" w:eastAsia="Times New Roman" w:hAnsi="Times New Roman" w:cs="Times New Roman"/>
          <w:b/>
          <w:sz w:val="24"/>
          <w:szCs w:val="24"/>
          <w:lang w:eastAsia="en-GB"/>
        </w:rPr>
      </w:pP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Topic Area</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The purpose of this clinical trial is to evaluate the effectiveness of a dog therapy by comparing the anxiety, depression, and social withdrawal levels of elderly dementia patients receiving the therapy and those who did not. The study addresses the research gap pertaining to the psychological benefits dog-assisted therapy for geriatrics with dementia. All of these objectives justify why this study was conducted.</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 xml:space="preserve">The study seeks to determine the effectiveness of dog-assisted therapy aimed at dementia assisted patients by determining if there are specific procedures that should be controlled. </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The primary study aims to provide information on whether group based or even single person based forms of DAT helps improve the person emotional perspective and reduced aggression. Helping patients gain a better social life.</w:t>
      </w:r>
    </w:p>
    <w:p w:rsid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 xml:space="preserve"> The purpose of this study is to propose suggestions for practical application of the enriched DAT in treating various patients with dementia in order to improve their mental health and their overall quality of life.</w:t>
      </w:r>
    </w:p>
    <w:p w:rsidR="003552FE" w:rsidRPr="00C80FCC" w:rsidRDefault="003552FE" w:rsidP="00C80FCC">
      <w:pPr>
        <w:spacing w:after="0"/>
        <w:textAlignment w:val="baseline"/>
        <w:rPr>
          <w:rFonts w:ascii="Times New Roman" w:eastAsia="Times New Roman" w:hAnsi="Times New Roman" w:cs="Times New Roman"/>
          <w:sz w:val="24"/>
          <w:szCs w:val="24"/>
          <w:lang w:eastAsia="en-GB"/>
        </w:rPr>
      </w:pPr>
    </w:p>
    <w:p w:rsidR="003552FE"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Theory and Research Underpinning the Proposal.</w:t>
      </w:r>
    </w:p>
    <w:p w:rsidR="003552FE" w:rsidRDefault="003552FE" w:rsidP="00C80FCC">
      <w:pPr>
        <w:spacing w:after="0"/>
        <w:textAlignment w:val="baseline"/>
        <w:rPr>
          <w:rFonts w:ascii="Times New Roman" w:eastAsia="Times New Roman" w:hAnsi="Times New Roman" w:cs="Times New Roman"/>
          <w:sz w:val="24"/>
          <w:szCs w:val="24"/>
          <w:lang w:eastAsia="en-GB"/>
        </w:rPr>
      </w:pP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Memory loss is a symptom of an intricate condition known as dementia which tends to worsen over time, and it interferes much with a person’s ability to carry out their day to day activities, express themselves and have social engagements with others. Due to the fact that usual approaches to therapy cannot be sufficient to satisfy the numerous requirements of older patients, there is increasing concern in other forms of therapies like animal assisted therapy for enhancing their wellbeing.</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Animal assisted therapy (AAT), more precisely therapy that involves dogs, started to become recognized as a viable form of treatment for psychological issues for the elderly people suffering from dementia. This is a type of therapy that involves the use of trained therapy dogs under the supervision of a qualified therapist in order to foster emotional and social well-being among the patients</w:t>
      </w:r>
    </w:p>
    <w:p w:rsid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The unique bond that can develop between dogs and their human counterparts enables a sense of warmth, protection and affection which can be said is especially useful for those who have some form of degeneration in brain tissue and feel distressed emotionally</w:t>
      </w:r>
      <w:r w:rsidR="002B36CC">
        <w:rPr>
          <w:rFonts w:ascii="Times New Roman" w:eastAsia="Times New Roman" w:hAnsi="Times New Roman" w:cs="Times New Roman"/>
          <w:sz w:val="24"/>
          <w:szCs w:val="24"/>
          <w:lang w:eastAsia="en-GB"/>
        </w:rPr>
        <w:t xml:space="preserve"> (</w:t>
      </w:r>
      <w:proofErr w:type="spellStart"/>
      <w:r w:rsidR="002B36CC" w:rsidRPr="00C80FCC">
        <w:rPr>
          <w:rFonts w:ascii="Times New Roman" w:eastAsia="Times New Roman" w:hAnsi="Times New Roman" w:cs="Times New Roman"/>
          <w:sz w:val="24"/>
          <w:szCs w:val="24"/>
          <w:lang w:eastAsia="en-GB"/>
        </w:rPr>
        <w:t>Vegue</w:t>
      </w:r>
      <w:proofErr w:type="spellEnd"/>
      <w:r w:rsidR="002B36CC" w:rsidRPr="00C80FCC">
        <w:rPr>
          <w:rFonts w:ascii="Times New Roman" w:eastAsia="Times New Roman" w:hAnsi="Times New Roman" w:cs="Times New Roman"/>
          <w:sz w:val="24"/>
          <w:szCs w:val="24"/>
          <w:lang w:eastAsia="en-GB"/>
        </w:rPr>
        <w:t xml:space="preserve"> Parra et al., 2021</w:t>
      </w:r>
      <w:r w:rsidRPr="00C80FCC">
        <w:rPr>
          <w:rFonts w:ascii="Times New Roman" w:eastAsia="Times New Roman" w:hAnsi="Times New Roman" w:cs="Times New Roman"/>
          <w:sz w:val="24"/>
          <w:szCs w:val="24"/>
          <w:lang w:eastAsia="en-GB"/>
        </w:rPr>
        <w:t xml:space="preserve">). Therapy with dogs constitutes something holistic when dealing with the old patients suffering from dementia. It has been worth noting that the use of therapy dogs produces about the drastic decline of poor feelings such as anxiety, depression, and even downright feeling lonely along with uplifting the moods of people and inducing relaxation (Banks &amp; Banks, 2002). According to the studies mentioned, dog’s presence serves to promote active engagement not only the residents with their pets but also other residents in the </w:t>
      </w:r>
      <w:r w:rsidR="002B36CC" w:rsidRPr="00C80FCC">
        <w:rPr>
          <w:rFonts w:ascii="Times New Roman" w:eastAsia="Times New Roman" w:hAnsi="Times New Roman" w:cs="Times New Roman"/>
          <w:sz w:val="24"/>
          <w:szCs w:val="24"/>
          <w:lang w:eastAsia="en-GB"/>
        </w:rPr>
        <w:t>neighbourhood</w:t>
      </w:r>
      <w:r w:rsidRPr="00C80FCC">
        <w:rPr>
          <w:rFonts w:ascii="Times New Roman" w:eastAsia="Times New Roman" w:hAnsi="Times New Roman" w:cs="Times New Roman"/>
          <w:sz w:val="24"/>
          <w:szCs w:val="24"/>
          <w:lang w:eastAsia="en-GB"/>
        </w:rPr>
        <w:t xml:space="preserve"> (</w:t>
      </w:r>
      <w:proofErr w:type="spellStart"/>
      <w:r w:rsidRPr="00C80FCC">
        <w:rPr>
          <w:rFonts w:ascii="Times New Roman" w:eastAsia="Times New Roman" w:hAnsi="Times New Roman" w:cs="Times New Roman"/>
          <w:sz w:val="24"/>
          <w:szCs w:val="24"/>
          <w:lang w:eastAsia="en-GB"/>
        </w:rPr>
        <w:t>Vegue</w:t>
      </w:r>
      <w:proofErr w:type="spellEnd"/>
      <w:r w:rsidRPr="00C80FCC">
        <w:rPr>
          <w:rFonts w:ascii="Times New Roman" w:eastAsia="Times New Roman" w:hAnsi="Times New Roman" w:cs="Times New Roman"/>
          <w:sz w:val="24"/>
          <w:szCs w:val="24"/>
          <w:lang w:eastAsia="en-GB"/>
        </w:rPr>
        <w:t xml:space="preserve"> Parra et al., 2021). This type of communication can help to tackle </w:t>
      </w:r>
      <w:r w:rsidRPr="00C80FCC">
        <w:rPr>
          <w:rFonts w:ascii="Times New Roman" w:eastAsia="Times New Roman" w:hAnsi="Times New Roman" w:cs="Times New Roman"/>
          <w:sz w:val="24"/>
          <w:szCs w:val="24"/>
          <w:lang w:eastAsia="en-GB"/>
        </w:rPr>
        <w:lastRenderedPageBreak/>
        <w:t xml:space="preserve">very common issue that is seen in this population group which is social withdrawal, so, it could lead to improvement in level of mental health for this population. The proposal has its basis on the </w:t>
      </w:r>
      <w:proofErr w:type="spellStart"/>
      <w:r w:rsidRPr="00C80FCC">
        <w:rPr>
          <w:rFonts w:ascii="Times New Roman" w:eastAsia="Times New Roman" w:hAnsi="Times New Roman" w:cs="Times New Roman"/>
          <w:sz w:val="24"/>
          <w:szCs w:val="24"/>
          <w:lang w:eastAsia="en-GB"/>
        </w:rPr>
        <w:t>Biophilia</w:t>
      </w:r>
      <w:proofErr w:type="spellEnd"/>
      <w:r w:rsidRPr="00C80FCC">
        <w:rPr>
          <w:rFonts w:ascii="Times New Roman" w:eastAsia="Times New Roman" w:hAnsi="Times New Roman" w:cs="Times New Roman"/>
          <w:sz w:val="24"/>
          <w:szCs w:val="24"/>
          <w:lang w:eastAsia="en-GB"/>
        </w:rPr>
        <w:t xml:space="preserve"> Hypothesis (Wilson, 1984) which argues that humans have the natural drive to affiliate with nature and animals. From empirical data it has been highlighted that such connections have the ability to then reduce the amount of psychological pressure and help with emotions (Banks &amp; Banks, 2002). Such considerations are further elucidated by </w:t>
      </w:r>
      <w:proofErr w:type="spellStart"/>
      <w:r w:rsidRPr="00C80FCC">
        <w:rPr>
          <w:rFonts w:ascii="Times New Roman" w:eastAsia="Times New Roman" w:hAnsi="Times New Roman" w:cs="Times New Roman"/>
          <w:sz w:val="24"/>
          <w:szCs w:val="24"/>
          <w:lang w:eastAsia="en-GB"/>
        </w:rPr>
        <w:t>Zafra</w:t>
      </w:r>
      <w:proofErr w:type="spellEnd"/>
      <w:r w:rsidRPr="00C80FCC">
        <w:rPr>
          <w:rFonts w:ascii="Times New Roman" w:eastAsia="Times New Roman" w:hAnsi="Times New Roman" w:cs="Times New Roman"/>
          <w:sz w:val="24"/>
          <w:szCs w:val="24"/>
          <w:lang w:eastAsia="en-GB"/>
        </w:rPr>
        <w:t xml:space="preserve">-Tanaka et al (2019) and </w:t>
      </w:r>
      <w:proofErr w:type="spellStart"/>
      <w:r w:rsidRPr="00C80FCC">
        <w:rPr>
          <w:rFonts w:ascii="Times New Roman" w:eastAsia="Times New Roman" w:hAnsi="Times New Roman" w:cs="Times New Roman"/>
          <w:sz w:val="24"/>
          <w:szCs w:val="24"/>
          <w:lang w:eastAsia="en-GB"/>
        </w:rPr>
        <w:t>Kårefjärd</w:t>
      </w:r>
      <w:proofErr w:type="spellEnd"/>
      <w:r w:rsidRPr="00C80FCC">
        <w:rPr>
          <w:rFonts w:ascii="Times New Roman" w:eastAsia="Times New Roman" w:hAnsi="Times New Roman" w:cs="Times New Roman"/>
          <w:sz w:val="24"/>
          <w:szCs w:val="24"/>
          <w:lang w:eastAsia="en-GB"/>
        </w:rPr>
        <w:t xml:space="preserve"> &amp; </w:t>
      </w:r>
      <w:proofErr w:type="spellStart"/>
      <w:r w:rsidRPr="00C80FCC">
        <w:rPr>
          <w:rFonts w:ascii="Times New Roman" w:eastAsia="Times New Roman" w:hAnsi="Times New Roman" w:cs="Times New Roman"/>
          <w:sz w:val="24"/>
          <w:szCs w:val="24"/>
          <w:lang w:eastAsia="en-GB"/>
        </w:rPr>
        <w:t>Nordgren</w:t>
      </w:r>
      <w:proofErr w:type="spellEnd"/>
      <w:r w:rsidRPr="00C80FCC">
        <w:rPr>
          <w:rFonts w:ascii="Times New Roman" w:eastAsia="Times New Roman" w:hAnsi="Times New Roman" w:cs="Times New Roman"/>
          <w:sz w:val="24"/>
          <w:szCs w:val="24"/>
          <w:lang w:eastAsia="en-GB"/>
        </w:rPr>
        <w:t xml:space="preserve"> (2019): find in their studies that intervention with animals in dementia care makes a difference.</w:t>
      </w:r>
    </w:p>
    <w:p w:rsidR="003552FE" w:rsidRPr="00C80FCC" w:rsidRDefault="003552FE" w:rsidP="00C80FCC">
      <w:pPr>
        <w:spacing w:after="0"/>
        <w:textAlignment w:val="baseline"/>
        <w:rPr>
          <w:rFonts w:ascii="Times New Roman" w:eastAsia="Times New Roman" w:hAnsi="Times New Roman" w:cs="Times New Roman"/>
          <w:sz w:val="24"/>
          <w:szCs w:val="24"/>
          <w:lang w:eastAsia="en-GB"/>
        </w:rPr>
      </w:pP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Purpose of the Study</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Dementia is a worldwide health issue. As per the publication of World Health Organisation, the incidence of dementia appears to progress substantially, affecting some 152 million people in 2050 and thus, there is a need for new methods of care that encompass both the physical and psychological elements of the illness as well. Conventional therapies do not usually suit such requirements as well as addressing the emotional, even the social segments of the disease.</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Aims &amp; Objectives</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Aim: Analysis of anxiety and depression among elderly patients with dementia who attended regular TCAT sessions against a control group who didn’t.</w:t>
      </w:r>
    </w:p>
    <w:p w:rsid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Objective: How does participation in DAT conducted in groups compare with those conducted individually in terms of eliciting emotions, engagement with others and vice versa?</w:t>
      </w:r>
    </w:p>
    <w:p w:rsidR="003552FE" w:rsidRPr="00C80FCC" w:rsidRDefault="003552FE" w:rsidP="00C80FCC">
      <w:pPr>
        <w:spacing w:after="0"/>
        <w:textAlignment w:val="baseline"/>
        <w:rPr>
          <w:rFonts w:ascii="Times New Roman" w:eastAsia="Times New Roman" w:hAnsi="Times New Roman" w:cs="Times New Roman"/>
          <w:sz w:val="24"/>
          <w:szCs w:val="24"/>
          <w:lang w:eastAsia="en-GB"/>
        </w:rPr>
      </w:pP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Research Design:</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The aim of this research is to determine as clearly as possible dog-assisted therapy (DAT) in the elderly specifically in dementia aiming to provide therapeutic methods to enhance application of DAT</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Quantitative designs will be handy as from them measurable data can be quantified in-order to address the issue of psychological well-being through dog assisted therapy.</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Data collection will include standardized such as validated psychometric instruments Geriatric Depression Scale, State-Trait Anxiety Inventory, and structured observational checklists of participants’ engagement and emotional reactions events during treatment sessions. Thus, the outcomes will enable for statistical procedures to be employed so that inter-group differences and relationships with participant’s attributes and baseline selection factors are performed.</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 xml:space="preserve">This approach will aid in understanding the relationship between DAT interventions and possible enhancement of patients suffering from dementia which means the improvement of </w:t>
      </w:r>
      <w:proofErr w:type="spellStart"/>
      <w:r w:rsidRPr="00C80FCC">
        <w:rPr>
          <w:rFonts w:ascii="Times New Roman" w:eastAsia="Times New Roman" w:hAnsi="Times New Roman" w:cs="Times New Roman"/>
          <w:sz w:val="24"/>
          <w:szCs w:val="24"/>
          <w:lang w:eastAsia="en-GB"/>
        </w:rPr>
        <w:t>pateints</w:t>
      </w:r>
      <w:proofErr w:type="spellEnd"/>
      <w:r w:rsidRPr="00C80FCC">
        <w:rPr>
          <w:rFonts w:ascii="Times New Roman" w:eastAsia="Times New Roman" w:hAnsi="Times New Roman" w:cs="Times New Roman"/>
          <w:sz w:val="24"/>
          <w:szCs w:val="24"/>
          <w:lang w:eastAsia="en-GB"/>
        </w:rPr>
        <w:t xml:space="preserve">' psychological state. </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For the study involving the application of dog therapy among senior citizens with dementia, the following tools will help to measure whether the intervention had any effects on the psyche and emotional state of participants over and above the ones mentioned above:</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lastRenderedPageBreak/>
        <w:t>Geriatric Depression Scale (GDS):</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The aforementioned instrument will be used to determine the depression levels in participants before and after the intervention. One of the advantage of GDS is that it is easy to use, and is able to cope with cognitive impairment, thus it is applic</w:t>
      </w:r>
      <w:r w:rsidR="00804546">
        <w:rPr>
          <w:rFonts w:ascii="Times New Roman" w:eastAsia="Times New Roman" w:hAnsi="Times New Roman" w:cs="Times New Roman"/>
          <w:sz w:val="24"/>
          <w:szCs w:val="24"/>
          <w:lang w:eastAsia="en-GB"/>
        </w:rPr>
        <w:t>able for the elderly population (</w:t>
      </w:r>
      <w:proofErr w:type="spellStart"/>
      <w:r w:rsidR="00804546" w:rsidRPr="00804546">
        <w:rPr>
          <w:rFonts w:ascii="Times New Roman" w:eastAsia="Times New Roman" w:hAnsi="Times New Roman" w:cs="Times New Roman"/>
          <w:sz w:val="24"/>
          <w:szCs w:val="24"/>
          <w:lang w:eastAsia="en-GB"/>
        </w:rPr>
        <w:t>Yesavage</w:t>
      </w:r>
      <w:proofErr w:type="spellEnd"/>
      <w:r w:rsidR="00804546">
        <w:rPr>
          <w:rFonts w:ascii="Times New Roman" w:eastAsia="Times New Roman" w:hAnsi="Times New Roman" w:cs="Times New Roman"/>
          <w:sz w:val="24"/>
          <w:szCs w:val="24"/>
          <w:lang w:eastAsia="en-GB"/>
        </w:rPr>
        <w:t xml:space="preserve"> et.,19830).</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State-Trait Anxiety Inventory (STAI):</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In determining whether changes in anxiety levels were observed, the</w:t>
      </w:r>
      <w:r w:rsidR="00804546">
        <w:rPr>
          <w:rFonts w:ascii="Times New Roman" w:eastAsia="Times New Roman" w:hAnsi="Times New Roman" w:cs="Times New Roman"/>
          <w:sz w:val="24"/>
          <w:szCs w:val="24"/>
          <w:lang w:eastAsia="en-GB"/>
        </w:rPr>
        <w:t xml:space="preserve"> STAI will be implemented (</w:t>
      </w:r>
      <w:proofErr w:type="spellStart"/>
      <w:r w:rsidR="00804546">
        <w:t>Spielberger</w:t>
      </w:r>
      <w:proofErr w:type="spellEnd"/>
      <w:r w:rsidR="00804546">
        <w:t>, C. D. et.,1970).</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Quality of Life in Alzheimer's Disease (</w:t>
      </w:r>
      <w:proofErr w:type="spellStart"/>
      <w:r w:rsidRPr="00C80FCC">
        <w:rPr>
          <w:rFonts w:ascii="Times New Roman" w:eastAsia="Times New Roman" w:hAnsi="Times New Roman" w:cs="Times New Roman"/>
          <w:sz w:val="24"/>
          <w:szCs w:val="24"/>
          <w:lang w:eastAsia="en-GB"/>
        </w:rPr>
        <w:t>QoL</w:t>
      </w:r>
      <w:proofErr w:type="spellEnd"/>
      <w:r w:rsidRPr="00C80FCC">
        <w:rPr>
          <w:rFonts w:ascii="Times New Roman" w:eastAsia="Times New Roman" w:hAnsi="Times New Roman" w:cs="Times New Roman"/>
          <w:sz w:val="24"/>
          <w:szCs w:val="24"/>
          <w:lang w:eastAsia="en-GB"/>
        </w:rPr>
        <w:t>-AD) Scale:</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This scale assesses how participants perceive their quality of life that encompasses various components including emotional and social as well as physical. This helps to evaluate the wider influence the t</w:t>
      </w:r>
      <w:r w:rsidR="00776680">
        <w:rPr>
          <w:rFonts w:ascii="Times New Roman" w:eastAsia="Times New Roman" w:hAnsi="Times New Roman" w:cs="Times New Roman"/>
          <w:sz w:val="24"/>
          <w:szCs w:val="24"/>
          <w:lang w:eastAsia="en-GB"/>
        </w:rPr>
        <w:t>herapy may have on participants(</w:t>
      </w:r>
      <w:r w:rsidR="00776680">
        <w:t>Logsdon, R. G et.,2002).</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Trained handlers will accompany certified therapy dogs to protect the clients and enhance their involvement. Some of the activities will include reminiscence therapy, gentle petting and grooming, and light physical activities.</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 xml:space="preserve">Group DAT: The sessions will be composed of 4 to 6 participants alongside one therapy dog. Individual DAT: This approach involves one-on-one sessions with a therapy dog. For both approaches the following interventions will be applied: T, stories featuring dogs as main characters will be read to the clients, and participants will be able to touch and groom dogs. A </w:t>
      </w:r>
      <w:proofErr w:type="spellStart"/>
      <w:r w:rsidRPr="00C80FCC">
        <w:rPr>
          <w:rFonts w:ascii="Times New Roman" w:eastAsia="Times New Roman" w:hAnsi="Times New Roman" w:cs="Times New Roman"/>
          <w:sz w:val="24"/>
          <w:szCs w:val="24"/>
          <w:lang w:eastAsia="en-GB"/>
        </w:rPr>
        <w:t>posttest</w:t>
      </w:r>
      <w:proofErr w:type="spellEnd"/>
      <w:r w:rsidRPr="00C80FCC">
        <w:rPr>
          <w:rFonts w:ascii="Times New Roman" w:eastAsia="Times New Roman" w:hAnsi="Times New Roman" w:cs="Times New Roman"/>
          <w:sz w:val="24"/>
          <w:szCs w:val="24"/>
          <w:lang w:eastAsia="en-GB"/>
        </w:rPr>
        <w:t xml:space="preserve"> will be conducted with the same measurements after eight weeks of the intervention in order to assess changes.</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During the interviews of participants and the caregivers participants’ follow-ups will be conducted qualitatively.</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Proposed Results/Data Analysis A statistical measurement was utilized in this study in order to analyze the information that was received.</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A paired t-test will be used to evaluate the changes between the pre-intervention and post-intervention scores of the participants. In order to understand the differences between groups segmental analyses of variance will be used.</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In order to understand what may be acting as facilitators or barriers towards the clients’ development, Variables such as the level of depression at the start of this therapy will be looked into.</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For qualifying purposes, Thematic analysis will be used which will be derived from the interviews that have been conducted with the clients.</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Taking account all of these factors through the ethical principles recruited participants will have signed informed consent. In our understanding, having an ethical guideline on conducting dog therapy will not only enable elderly people to have their rights and dignity respected, but will also guarantee the welfare of the animals above all the dogs. Because dementia patients have cognitive impairments, informed consent from family members together with the consent from the participants will be sought.</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Comprehension will benefit from the use of simplified language and visual aids while Consent will be an ongoing procedure whereby participants are informed and constantly reminded that they can withdraw at any time.</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De-briefing</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lastRenderedPageBreak/>
        <w:t>After the study is completed, Participants and caretakers will be given a report of the study results that will include suggestions on how to best include animal assisted activities when appropriate into their daily lives.</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Anonymity and Confidentiality</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 xml:space="preserve">All Identifiable information will be </w:t>
      </w:r>
      <w:proofErr w:type="spellStart"/>
      <w:r w:rsidRPr="00C80FCC">
        <w:rPr>
          <w:rFonts w:ascii="Times New Roman" w:eastAsia="Times New Roman" w:hAnsi="Times New Roman" w:cs="Times New Roman"/>
          <w:sz w:val="24"/>
          <w:szCs w:val="24"/>
          <w:lang w:eastAsia="en-GB"/>
        </w:rPr>
        <w:t>anonymized</w:t>
      </w:r>
      <w:proofErr w:type="spellEnd"/>
      <w:r w:rsidRPr="00C80FCC">
        <w:rPr>
          <w:rFonts w:ascii="Times New Roman" w:eastAsia="Times New Roman" w:hAnsi="Times New Roman" w:cs="Times New Roman"/>
          <w:sz w:val="24"/>
          <w:szCs w:val="24"/>
          <w:lang w:eastAsia="en-GB"/>
        </w:rPr>
        <w:t>, kept private and securely kept, while access will be only granted to legit researchers. No identifiable information will appear in any of the publications.</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Protection from Harm</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There will be careful selection and training of therapy dogs so that they can learn how to cope with sudden movements, loud noises and other environments that are too noisy.</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Dementia care and dog-assisted therapy trained professionals will supervise the sessions.</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Emergency response plans will be in place to address matters like allergic reactions that may arise.</w:t>
      </w:r>
    </w:p>
    <w:p w:rsidR="00C80FCC" w:rsidRPr="00C80FCC"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No Deception</w:t>
      </w:r>
    </w:p>
    <w:p w:rsidR="006F521A" w:rsidRDefault="00C80FCC" w:rsidP="00C80FCC">
      <w:pPr>
        <w:spacing w:after="0"/>
        <w:textAlignment w:val="baseline"/>
        <w:rPr>
          <w:rFonts w:ascii="Times New Roman" w:eastAsia="Times New Roman" w:hAnsi="Times New Roman" w:cs="Times New Roman"/>
          <w:sz w:val="24"/>
          <w:szCs w:val="24"/>
          <w:lang w:eastAsia="en-GB"/>
        </w:rPr>
      </w:pPr>
      <w:r w:rsidRPr="00C80FCC">
        <w:rPr>
          <w:rFonts w:ascii="Times New Roman" w:eastAsia="Times New Roman" w:hAnsi="Times New Roman" w:cs="Times New Roman"/>
          <w:sz w:val="24"/>
          <w:szCs w:val="24"/>
          <w:lang w:eastAsia="en-GB"/>
        </w:rPr>
        <w:t>No participants will be given false information regarding what the study aims to achieve and what they will be involved in. There won’t be any information that misrepresents the truth.</w:t>
      </w: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C80FCC">
      <w:pPr>
        <w:spacing w:after="0"/>
        <w:textAlignment w:val="baseline"/>
        <w:rPr>
          <w:rFonts w:ascii="Times New Roman" w:eastAsia="Times New Roman" w:hAnsi="Times New Roman" w:cs="Times New Roman"/>
          <w:sz w:val="24"/>
          <w:szCs w:val="24"/>
          <w:lang w:eastAsia="en-GB"/>
        </w:rPr>
      </w:pPr>
    </w:p>
    <w:p w:rsidR="003552FE" w:rsidRDefault="003552FE" w:rsidP="003552FE">
      <w:pPr>
        <w:tabs>
          <w:tab w:val="left" w:pos="960"/>
        </w:tabs>
        <w:spacing w:after="0" w:line="360" w:lineRule="auto"/>
        <w:textAlignment w:val="baseline"/>
        <w:rPr>
          <w:rFonts w:ascii="Times New Roman" w:eastAsia="Times New Roman" w:hAnsi="Times New Roman" w:cs="Times New Roman"/>
          <w:sz w:val="24"/>
          <w:szCs w:val="24"/>
          <w:lang w:eastAsia="en-GB"/>
        </w:rPr>
      </w:pPr>
      <w:r w:rsidRPr="00932E54">
        <w:rPr>
          <w:rFonts w:ascii="Times New Roman" w:eastAsia="Times New Roman" w:hAnsi="Times New Roman" w:cs="Times New Roman"/>
          <w:sz w:val="24"/>
          <w:szCs w:val="24"/>
          <w:lang w:eastAsia="en-GB"/>
        </w:rPr>
        <w:lastRenderedPageBreak/>
        <w:t>Reference:</w:t>
      </w:r>
    </w:p>
    <w:p w:rsidR="002B36CC" w:rsidRDefault="002B36CC" w:rsidP="002B36CC">
      <w:pPr>
        <w:pStyle w:val="Akapitzlist"/>
        <w:numPr>
          <w:ilvl w:val="0"/>
          <w:numId w:val="5"/>
        </w:numPr>
      </w:pPr>
      <w:r>
        <w:t xml:space="preserve">Banks, M. R., &amp; Banks, W. A. (2002). The effects of animal-assisted therapy on loneliness in an elderly population in long-term care facilities. </w:t>
      </w:r>
      <w:r>
        <w:rPr>
          <w:rStyle w:val="Uwydatnienie"/>
        </w:rPr>
        <w:t>The Journals of Gerontology: Series A, 57</w:t>
      </w:r>
      <w:r>
        <w:t xml:space="preserve">(7), M428–M432. </w:t>
      </w:r>
      <w:hyperlink r:id="rId5" w:history="1">
        <w:r w:rsidRPr="00671D22">
          <w:rPr>
            <w:rStyle w:val="Hipercze"/>
          </w:rPr>
          <w:t>https://doi.org/10.1093/gerona/57.7.M428&amp;#8203;:contentReference[oaicite:0]{index=0}&amp;#8203;:contentReference[oaicite:1]{index=1}</w:t>
        </w:r>
      </w:hyperlink>
      <w:r>
        <w:t>.</w:t>
      </w:r>
    </w:p>
    <w:p w:rsidR="002B36CC" w:rsidRDefault="002B36CC" w:rsidP="002B36CC">
      <w:pPr>
        <w:pStyle w:val="Akapitzlist"/>
        <w:numPr>
          <w:ilvl w:val="0"/>
          <w:numId w:val="5"/>
        </w:numPr>
        <w:spacing w:after="0" w:line="240" w:lineRule="auto"/>
        <w:rPr>
          <w:rFonts w:ascii="Times New Roman" w:eastAsia="Times New Roman" w:hAnsi="Times New Roman" w:cs="Times New Roman"/>
          <w:sz w:val="24"/>
          <w:szCs w:val="24"/>
          <w:lang w:eastAsia="en-GB"/>
        </w:rPr>
      </w:pPr>
      <w:proofErr w:type="spellStart"/>
      <w:r w:rsidRPr="002B36CC">
        <w:rPr>
          <w:rFonts w:ascii="Times New Roman" w:eastAsia="Times New Roman" w:hAnsi="Times New Roman" w:cs="Times New Roman"/>
          <w:sz w:val="24"/>
          <w:szCs w:val="24"/>
          <w:lang w:eastAsia="en-GB"/>
        </w:rPr>
        <w:t>Kårefjärd</w:t>
      </w:r>
      <w:proofErr w:type="spellEnd"/>
      <w:r w:rsidRPr="002B36CC">
        <w:rPr>
          <w:rFonts w:ascii="Times New Roman" w:eastAsia="Times New Roman" w:hAnsi="Times New Roman" w:cs="Times New Roman"/>
          <w:sz w:val="24"/>
          <w:szCs w:val="24"/>
          <w:lang w:eastAsia="en-GB"/>
        </w:rPr>
        <w:t xml:space="preserve">, A., &amp; </w:t>
      </w:r>
      <w:proofErr w:type="spellStart"/>
      <w:r w:rsidRPr="002B36CC">
        <w:rPr>
          <w:rFonts w:ascii="Times New Roman" w:eastAsia="Times New Roman" w:hAnsi="Times New Roman" w:cs="Times New Roman"/>
          <w:sz w:val="24"/>
          <w:szCs w:val="24"/>
          <w:lang w:eastAsia="en-GB"/>
        </w:rPr>
        <w:t>Nordgren</w:t>
      </w:r>
      <w:proofErr w:type="spellEnd"/>
      <w:r w:rsidRPr="002B36CC">
        <w:rPr>
          <w:rFonts w:ascii="Times New Roman" w:eastAsia="Times New Roman" w:hAnsi="Times New Roman" w:cs="Times New Roman"/>
          <w:sz w:val="24"/>
          <w:szCs w:val="24"/>
          <w:lang w:eastAsia="en-GB"/>
        </w:rPr>
        <w:t xml:space="preserve">, L. (2019). Effects of dog-assisted intervention on quality of life in nursing home residents with dementia. </w:t>
      </w:r>
      <w:r w:rsidRPr="002B36CC">
        <w:rPr>
          <w:rFonts w:ascii="Times New Roman" w:eastAsia="Times New Roman" w:hAnsi="Times New Roman" w:cs="Times New Roman"/>
          <w:i/>
          <w:iCs/>
          <w:sz w:val="24"/>
          <w:szCs w:val="24"/>
          <w:lang w:eastAsia="en-GB"/>
        </w:rPr>
        <w:t>Scandinavian journal of occupational therapy</w:t>
      </w:r>
      <w:r w:rsidRPr="002B36CC">
        <w:rPr>
          <w:rFonts w:ascii="Times New Roman" w:eastAsia="Times New Roman" w:hAnsi="Times New Roman" w:cs="Times New Roman"/>
          <w:sz w:val="24"/>
          <w:szCs w:val="24"/>
          <w:lang w:eastAsia="en-GB"/>
        </w:rPr>
        <w:t>, 26(6), 433-440.</w:t>
      </w:r>
    </w:p>
    <w:p w:rsidR="00776680" w:rsidRDefault="00776680" w:rsidP="002B36CC">
      <w:pPr>
        <w:pStyle w:val="Akapitzlist"/>
        <w:numPr>
          <w:ilvl w:val="0"/>
          <w:numId w:val="5"/>
        </w:numPr>
        <w:spacing w:after="0" w:line="240" w:lineRule="auto"/>
        <w:rPr>
          <w:rFonts w:ascii="Times New Roman" w:eastAsia="Times New Roman" w:hAnsi="Times New Roman" w:cs="Times New Roman"/>
          <w:sz w:val="24"/>
          <w:szCs w:val="24"/>
          <w:lang w:eastAsia="en-GB"/>
        </w:rPr>
      </w:pPr>
      <w:r>
        <w:t xml:space="preserve">Logsdon, R. G., Gibbons, L. E., McCurry, S. M., &amp; Teri, L. (2002). </w:t>
      </w:r>
      <w:r>
        <w:rPr>
          <w:rStyle w:val="Uwydatnienie"/>
        </w:rPr>
        <w:t>Assessing quality of life in older adults with cognitive impairment: The Quality of Life in Alzheimer's Disease (</w:t>
      </w:r>
      <w:proofErr w:type="spellStart"/>
      <w:r>
        <w:rPr>
          <w:rStyle w:val="Uwydatnienie"/>
        </w:rPr>
        <w:t>QoL</w:t>
      </w:r>
      <w:proofErr w:type="spellEnd"/>
      <w:r>
        <w:rPr>
          <w:rStyle w:val="Uwydatnienie"/>
        </w:rPr>
        <w:t>-AD) scale.</w:t>
      </w:r>
      <w:r>
        <w:t xml:space="preserve"> Journal of Mental Health and Aging, 8(3), 217–233.</w:t>
      </w:r>
    </w:p>
    <w:p w:rsidR="00804546" w:rsidRPr="002B36CC" w:rsidRDefault="00804546" w:rsidP="002B36CC">
      <w:pPr>
        <w:pStyle w:val="Akapitzlist"/>
        <w:numPr>
          <w:ilvl w:val="0"/>
          <w:numId w:val="5"/>
        </w:numPr>
        <w:spacing w:after="0" w:line="240" w:lineRule="auto"/>
        <w:rPr>
          <w:rFonts w:ascii="Times New Roman" w:eastAsia="Times New Roman" w:hAnsi="Times New Roman" w:cs="Times New Roman"/>
          <w:sz w:val="24"/>
          <w:szCs w:val="24"/>
          <w:lang w:eastAsia="en-GB"/>
        </w:rPr>
      </w:pPr>
      <w:proofErr w:type="spellStart"/>
      <w:r>
        <w:t>Spielberger</w:t>
      </w:r>
      <w:proofErr w:type="spellEnd"/>
      <w:r>
        <w:t xml:space="preserve">, C. D., </w:t>
      </w:r>
      <w:proofErr w:type="spellStart"/>
      <w:r>
        <w:t>Gorsuch</w:t>
      </w:r>
      <w:proofErr w:type="spellEnd"/>
      <w:r>
        <w:t xml:space="preserve">, R. L., &amp; </w:t>
      </w:r>
      <w:proofErr w:type="spellStart"/>
      <w:r>
        <w:t>Lushene</w:t>
      </w:r>
      <w:proofErr w:type="spellEnd"/>
      <w:r>
        <w:t xml:space="preserve">, R. E. (1970). </w:t>
      </w:r>
      <w:r>
        <w:rPr>
          <w:rStyle w:val="Uwydatnienie"/>
        </w:rPr>
        <w:t>Manual for the State-Trait Anxiety Inventory (STAI).</w:t>
      </w:r>
      <w:r>
        <w:t xml:space="preserve"> Consulting Psychologists Press.</w:t>
      </w:r>
    </w:p>
    <w:p w:rsidR="002B36CC" w:rsidRDefault="002B36CC" w:rsidP="002B36CC">
      <w:pPr>
        <w:pStyle w:val="Akapitzlist"/>
        <w:numPr>
          <w:ilvl w:val="0"/>
          <w:numId w:val="5"/>
        </w:numPr>
        <w:spacing w:after="0" w:line="240" w:lineRule="auto"/>
        <w:rPr>
          <w:rFonts w:ascii="Times New Roman" w:eastAsia="Times New Roman" w:hAnsi="Times New Roman" w:cs="Times New Roman"/>
          <w:sz w:val="24"/>
          <w:szCs w:val="24"/>
          <w:lang w:eastAsia="en-GB"/>
        </w:rPr>
      </w:pPr>
      <w:proofErr w:type="spellStart"/>
      <w:r w:rsidRPr="002B36CC">
        <w:rPr>
          <w:rFonts w:ascii="Times New Roman" w:eastAsia="Times New Roman" w:hAnsi="Times New Roman" w:cs="Times New Roman"/>
          <w:sz w:val="24"/>
          <w:szCs w:val="24"/>
          <w:lang w:eastAsia="en-GB"/>
        </w:rPr>
        <w:t>Vegue</w:t>
      </w:r>
      <w:proofErr w:type="spellEnd"/>
      <w:r w:rsidRPr="002B36CC">
        <w:rPr>
          <w:rFonts w:ascii="Times New Roman" w:eastAsia="Times New Roman" w:hAnsi="Times New Roman" w:cs="Times New Roman"/>
          <w:sz w:val="24"/>
          <w:szCs w:val="24"/>
          <w:lang w:eastAsia="en-GB"/>
        </w:rPr>
        <w:t xml:space="preserve"> Parra, E., </w:t>
      </w:r>
      <w:proofErr w:type="spellStart"/>
      <w:r w:rsidRPr="002B36CC">
        <w:rPr>
          <w:rFonts w:ascii="Times New Roman" w:eastAsia="Times New Roman" w:hAnsi="Times New Roman" w:cs="Times New Roman"/>
          <w:sz w:val="24"/>
          <w:szCs w:val="24"/>
          <w:lang w:eastAsia="en-GB"/>
        </w:rPr>
        <w:t>Hernández</w:t>
      </w:r>
      <w:proofErr w:type="spellEnd"/>
      <w:r w:rsidRPr="002B36CC">
        <w:rPr>
          <w:rFonts w:ascii="Times New Roman" w:eastAsia="Times New Roman" w:hAnsi="Times New Roman" w:cs="Times New Roman"/>
          <w:sz w:val="24"/>
          <w:szCs w:val="24"/>
          <w:lang w:eastAsia="en-GB"/>
        </w:rPr>
        <w:t xml:space="preserve"> </w:t>
      </w:r>
      <w:proofErr w:type="spellStart"/>
      <w:r w:rsidRPr="002B36CC">
        <w:rPr>
          <w:rFonts w:ascii="Times New Roman" w:eastAsia="Times New Roman" w:hAnsi="Times New Roman" w:cs="Times New Roman"/>
          <w:sz w:val="24"/>
          <w:szCs w:val="24"/>
          <w:lang w:eastAsia="en-GB"/>
        </w:rPr>
        <w:t>Garre</w:t>
      </w:r>
      <w:proofErr w:type="spellEnd"/>
      <w:r w:rsidRPr="002B36CC">
        <w:rPr>
          <w:rFonts w:ascii="Times New Roman" w:eastAsia="Times New Roman" w:hAnsi="Times New Roman" w:cs="Times New Roman"/>
          <w:sz w:val="24"/>
          <w:szCs w:val="24"/>
          <w:lang w:eastAsia="en-GB"/>
        </w:rPr>
        <w:t xml:space="preserve">, J. M., &amp; </w:t>
      </w:r>
      <w:proofErr w:type="spellStart"/>
      <w:r w:rsidRPr="002B36CC">
        <w:rPr>
          <w:rFonts w:ascii="Times New Roman" w:eastAsia="Times New Roman" w:hAnsi="Times New Roman" w:cs="Times New Roman"/>
          <w:sz w:val="24"/>
          <w:szCs w:val="24"/>
          <w:lang w:eastAsia="en-GB"/>
        </w:rPr>
        <w:t>Echevarría</w:t>
      </w:r>
      <w:proofErr w:type="spellEnd"/>
      <w:r w:rsidRPr="002B36CC">
        <w:rPr>
          <w:rFonts w:ascii="Times New Roman" w:eastAsia="Times New Roman" w:hAnsi="Times New Roman" w:cs="Times New Roman"/>
          <w:sz w:val="24"/>
          <w:szCs w:val="24"/>
          <w:lang w:eastAsia="en-GB"/>
        </w:rPr>
        <w:t xml:space="preserve"> </w:t>
      </w:r>
      <w:proofErr w:type="spellStart"/>
      <w:r w:rsidRPr="002B36CC">
        <w:rPr>
          <w:rFonts w:ascii="Times New Roman" w:eastAsia="Times New Roman" w:hAnsi="Times New Roman" w:cs="Times New Roman"/>
          <w:sz w:val="24"/>
          <w:szCs w:val="24"/>
          <w:lang w:eastAsia="en-GB"/>
        </w:rPr>
        <w:t>Pérez</w:t>
      </w:r>
      <w:proofErr w:type="spellEnd"/>
      <w:r w:rsidRPr="002B36CC">
        <w:rPr>
          <w:rFonts w:ascii="Times New Roman" w:eastAsia="Times New Roman" w:hAnsi="Times New Roman" w:cs="Times New Roman"/>
          <w:sz w:val="24"/>
          <w:szCs w:val="24"/>
          <w:lang w:eastAsia="en-GB"/>
        </w:rPr>
        <w:t xml:space="preserve">, P. (2021). Benefits of dog-assisted therapy in patients with dementia residing in aged care </w:t>
      </w:r>
      <w:proofErr w:type="spellStart"/>
      <w:r w:rsidRPr="002B36CC">
        <w:rPr>
          <w:rFonts w:ascii="Times New Roman" w:eastAsia="Times New Roman" w:hAnsi="Times New Roman" w:cs="Times New Roman"/>
          <w:sz w:val="24"/>
          <w:szCs w:val="24"/>
          <w:lang w:eastAsia="en-GB"/>
        </w:rPr>
        <w:t>centers</w:t>
      </w:r>
      <w:proofErr w:type="spellEnd"/>
      <w:r w:rsidRPr="002B36CC">
        <w:rPr>
          <w:rFonts w:ascii="Times New Roman" w:eastAsia="Times New Roman" w:hAnsi="Times New Roman" w:cs="Times New Roman"/>
          <w:sz w:val="24"/>
          <w:szCs w:val="24"/>
          <w:lang w:eastAsia="en-GB"/>
        </w:rPr>
        <w:t xml:space="preserve"> in Spain. </w:t>
      </w:r>
      <w:r w:rsidRPr="002B36CC">
        <w:rPr>
          <w:rFonts w:ascii="Times New Roman" w:eastAsia="Times New Roman" w:hAnsi="Times New Roman" w:cs="Times New Roman"/>
          <w:i/>
          <w:iCs/>
          <w:sz w:val="24"/>
          <w:szCs w:val="24"/>
          <w:lang w:eastAsia="en-GB"/>
        </w:rPr>
        <w:t>International journal of environmental research and public health</w:t>
      </w:r>
      <w:r w:rsidRPr="002B36CC">
        <w:rPr>
          <w:rFonts w:ascii="Times New Roman" w:eastAsia="Times New Roman" w:hAnsi="Times New Roman" w:cs="Times New Roman"/>
          <w:sz w:val="24"/>
          <w:szCs w:val="24"/>
          <w:lang w:eastAsia="en-GB"/>
        </w:rPr>
        <w:t>, 18(4), 1471.</w:t>
      </w:r>
    </w:p>
    <w:p w:rsidR="00804546" w:rsidRPr="00804546" w:rsidRDefault="00804546" w:rsidP="00804546">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804546">
        <w:rPr>
          <w:rFonts w:ascii="Times New Roman" w:eastAsia="Times New Roman" w:hAnsi="Times New Roman" w:cs="Times New Roman"/>
          <w:sz w:val="24"/>
          <w:szCs w:val="24"/>
          <w:lang w:eastAsia="en-GB"/>
        </w:rPr>
        <w:t xml:space="preserve"> </w:t>
      </w:r>
      <w:proofErr w:type="spellStart"/>
      <w:r w:rsidRPr="00804546">
        <w:rPr>
          <w:rFonts w:ascii="Times New Roman" w:eastAsia="Times New Roman" w:hAnsi="Times New Roman" w:cs="Times New Roman"/>
          <w:sz w:val="24"/>
          <w:szCs w:val="24"/>
          <w:lang w:eastAsia="en-GB"/>
        </w:rPr>
        <w:t>Yesavage</w:t>
      </w:r>
      <w:proofErr w:type="spellEnd"/>
      <w:r w:rsidRPr="00804546">
        <w:rPr>
          <w:rFonts w:ascii="Times New Roman" w:eastAsia="Times New Roman" w:hAnsi="Times New Roman" w:cs="Times New Roman"/>
          <w:sz w:val="24"/>
          <w:szCs w:val="24"/>
          <w:lang w:eastAsia="en-GB"/>
        </w:rPr>
        <w:t xml:space="preserve">, J. A., Brink, T. L., Rose, T. L., et al. (1983). </w:t>
      </w:r>
      <w:r w:rsidRPr="00804546">
        <w:rPr>
          <w:rFonts w:ascii="Times New Roman" w:eastAsia="Times New Roman" w:hAnsi="Times New Roman" w:cs="Times New Roman"/>
          <w:i/>
          <w:iCs/>
          <w:sz w:val="24"/>
          <w:szCs w:val="24"/>
          <w:lang w:eastAsia="en-GB"/>
        </w:rPr>
        <w:t>Development and validation of a geriatric depression screening scale: A preliminary report.</w:t>
      </w:r>
      <w:r w:rsidRPr="00804546">
        <w:rPr>
          <w:rFonts w:ascii="Times New Roman" w:eastAsia="Times New Roman" w:hAnsi="Times New Roman" w:cs="Times New Roman"/>
          <w:sz w:val="24"/>
          <w:szCs w:val="24"/>
          <w:lang w:eastAsia="en-GB"/>
        </w:rPr>
        <w:t xml:space="preserve"> Journal of Psychiatric Research, 17(1), 37–49. https://doi.org/10.1016/0022-3956(82)90033-4</w:t>
      </w:r>
    </w:p>
    <w:p w:rsidR="002B36CC" w:rsidRPr="002B36CC" w:rsidRDefault="002B36CC" w:rsidP="002B36CC">
      <w:pPr>
        <w:pStyle w:val="Akapitzlist"/>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2B36CC">
        <w:rPr>
          <w:rFonts w:ascii="Times New Roman" w:eastAsia="Times New Roman" w:hAnsi="Times New Roman" w:cs="Times New Roman"/>
          <w:sz w:val="24"/>
          <w:szCs w:val="24"/>
          <w:lang w:eastAsia="en-GB"/>
        </w:rPr>
        <w:t xml:space="preserve">Wilson, E. O. (1984). </w:t>
      </w:r>
      <w:proofErr w:type="spellStart"/>
      <w:r w:rsidRPr="002B36CC">
        <w:rPr>
          <w:rFonts w:ascii="Times New Roman" w:eastAsia="Times New Roman" w:hAnsi="Times New Roman" w:cs="Times New Roman"/>
          <w:i/>
          <w:iCs/>
          <w:sz w:val="24"/>
          <w:szCs w:val="24"/>
          <w:lang w:eastAsia="en-GB"/>
        </w:rPr>
        <w:t>Biophilia</w:t>
      </w:r>
      <w:proofErr w:type="spellEnd"/>
      <w:r w:rsidRPr="002B36CC">
        <w:rPr>
          <w:rFonts w:ascii="Times New Roman" w:eastAsia="Times New Roman" w:hAnsi="Times New Roman" w:cs="Times New Roman"/>
          <w:sz w:val="24"/>
          <w:szCs w:val="24"/>
          <w:lang w:eastAsia="en-GB"/>
        </w:rPr>
        <w:t>. Harvard University Press.</w:t>
      </w:r>
    </w:p>
    <w:p w:rsidR="002B36CC" w:rsidRPr="002B36CC" w:rsidRDefault="002B36CC" w:rsidP="002B36CC">
      <w:pPr>
        <w:pStyle w:val="Akapitzlist"/>
        <w:numPr>
          <w:ilvl w:val="0"/>
          <w:numId w:val="5"/>
        </w:numPr>
        <w:spacing w:after="0" w:line="240" w:lineRule="auto"/>
        <w:rPr>
          <w:rFonts w:ascii="Times New Roman" w:eastAsia="Times New Roman" w:hAnsi="Times New Roman" w:cs="Times New Roman"/>
          <w:sz w:val="24"/>
          <w:szCs w:val="24"/>
          <w:lang w:eastAsia="en-GB"/>
        </w:rPr>
      </w:pPr>
      <w:r w:rsidRPr="002B36CC">
        <w:rPr>
          <w:rFonts w:ascii="Times New Roman" w:eastAsia="Times New Roman" w:hAnsi="Times New Roman" w:cs="Times New Roman"/>
          <w:sz w:val="24"/>
          <w:szCs w:val="24"/>
          <w:lang w:eastAsia="en-GB"/>
        </w:rPr>
        <w:t>World Health Organization. (2021). Global status report on the public health response to dementia.</w:t>
      </w:r>
    </w:p>
    <w:p w:rsidR="002B36CC" w:rsidRDefault="002B36CC" w:rsidP="002B36CC">
      <w:pPr>
        <w:pStyle w:val="Akapitzlist"/>
        <w:numPr>
          <w:ilvl w:val="0"/>
          <w:numId w:val="5"/>
        </w:numPr>
      </w:pPr>
      <w:proofErr w:type="spellStart"/>
      <w:r w:rsidRPr="002B36CC">
        <w:rPr>
          <w:rFonts w:ascii="Times New Roman" w:eastAsia="Times New Roman" w:hAnsi="Times New Roman" w:cs="Times New Roman"/>
          <w:sz w:val="24"/>
          <w:szCs w:val="24"/>
          <w:lang w:eastAsia="en-GB"/>
        </w:rPr>
        <w:t>Zafra</w:t>
      </w:r>
      <w:proofErr w:type="spellEnd"/>
      <w:r w:rsidRPr="002B36CC">
        <w:rPr>
          <w:rFonts w:ascii="Times New Roman" w:eastAsia="Times New Roman" w:hAnsi="Times New Roman" w:cs="Times New Roman"/>
          <w:sz w:val="24"/>
          <w:szCs w:val="24"/>
          <w:lang w:eastAsia="en-GB"/>
        </w:rPr>
        <w:t xml:space="preserve">-Tanaka, J. H., Pacheco-Barrios, K., Tellez, W. A., &amp; </w:t>
      </w:r>
      <w:proofErr w:type="spellStart"/>
      <w:r w:rsidRPr="002B36CC">
        <w:rPr>
          <w:rFonts w:ascii="Times New Roman" w:eastAsia="Times New Roman" w:hAnsi="Times New Roman" w:cs="Times New Roman"/>
          <w:sz w:val="24"/>
          <w:szCs w:val="24"/>
          <w:lang w:eastAsia="en-GB"/>
        </w:rPr>
        <w:t>Taype-Rondan</w:t>
      </w:r>
      <w:proofErr w:type="spellEnd"/>
      <w:r w:rsidRPr="002B36CC">
        <w:rPr>
          <w:rFonts w:ascii="Times New Roman" w:eastAsia="Times New Roman" w:hAnsi="Times New Roman" w:cs="Times New Roman"/>
          <w:sz w:val="24"/>
          <w:szCs w:val="24"/>
          <w:lang w:eastAsia="en-GB"/>
        </w:rPr>
        <w:t xml:space="preserve">, A. (2019). Effects of dog-assisted therapy in adults with dementia: A systematic review and meta-analysis. </w:t>
      </w:r>
      <w:r w:rsidRPr="002B36CC">
        <w:rPr>
          <w:rFonts w:ascii="Times New Roman" w:eastAsia="Times New Roman" w:hAnsi="Times New Roman" w:cs="Times New Roman"/>
          <w:i/>
          <w:iCs/>
          <w:sz w:val="24"/>
          <w:szCs w:val="24"/>
          <w:lang w:eastAsia="en-GB"/>
        </w:rPr>
        <w:t>BMC psychiatry</w:t>
      </w:r>
      <w:r w:rsidRPr="002B36CC">
        <w:rPr>
          <w:rFonts w:ascii="Times New Roman" w:eastAsia="Times New Roman" w:hAnsi="Times New Roman" w:cs="Times New Roman"/>
          <w:sz w:val="24"/>
          <w:szCs w:val="24"/>
          <w:lang w:eastAsia="en-GB"/>
        </w:rPr>
        <w:t>, 19, 1-10.</w:t>
      </w:r>
    </w:p>
    <w:p w:rsidR="0070080C" w:rsidRPr="007A0BB1" w:rsidRDefault="0070080C" w:rsidP="0070080C">
      <w:pPr>
        <w:rPr>
          <w:color w:val="C00000"/>
        </w:rPr>
      </w:pPr>
    </w:p>
    <w:p w:rsidR="0070080C" w:rsidRPr="00932E54" w:rsidRDefault="0070080C" w:rsidP="003552FE">
      <w:pPr>
        <w:tabs>
          <w:tab w:val="left" w:pos="960"/>
        </w:tabs>
        <w:spacing w:after="0" w:line="360" w:lineRule="auto"/>
        <w:textAlignment w:val="baseline"/>
        <w:rPr>
          <w:rFonts w:ascii="Times New Roman" w:eastAsia="Times New Roman" w:hAnsi="Times New Roman" w:cs="Times New Roman"/>
          <w:sz w:val="24"/>
          <w:szCs w:val="24"/>
          <w:lang w:eastAsia="en-GB"/>
        </w:rPr>
      </w:pPr>
    </w:p>
    <w:p w:rsidR="003552FE" w:rsidRPr="00C80FCC" w:rsidRDefault="003552FE" w:rsidP="00C80FCC">
      <w:pPr>
        <w:spacing w:after="0"/>
        <w:textAlignment w:val="baseline"/>
        <w:rPr>
          <w:rFonts w:ascii="Times New Roman" w:eastAsia="Times New Roman" w:hAnsi="Times New Roman" w:cs="Times New Roman"/>
          <w:sz w:val="24"/>
          <w:szCs w:val="24"/>
          <w:lang w:eastAsia="en-GB"/>
        </w:rPr>
      </w:pPr>
    </w:p>
    <w:sectPr w:rsidR="003552FE" w:rsidRPr="00C80FCC" w:rsidSect="00E86B2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MT">
    <w:altName w:val="Times New Roman"/>
    <w:panose1 w:val="00000000000000000000"/>
    <w:charset w:val="00"/>
    <w:family w:val="roman"/>
    <w:notTrueType/>
    <w:pitch w:val="default"/>
    <w:sig w:usb0="00000000" w:usb1="00000000" w:usb2="00000000" w:usb3="00000000" w:csb0="00000000" w:csb1="00000000"/>
  </w:font>
  <w:font w:name="Arial-BoldMT">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4E658A"/>
    <w:multiLevelType w:val="hybridMultilevel"/>
    <w:tmpl w:val="7CB49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FC86800"/>
    <w:multiLevelType w:val="hybridMultilevel"/>
    <w:tmpl w:val="47BC8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7D521D0"/>
    <w:multiLevelType w:val="hybridMultilevel"/>
    <w:tmpl w:val="C798B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09920F8"/>
    <w:multiLevelType w:val="multilevel"/>
    <w:tmpl w:val="DE528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3D62C7B"/>
    <w:multiLevelType w:val="hybridMultilevel"/>
    <w:tmpl w:val="4AFAF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3F00C97"/>
    <w:multiLevelType w:val="hybridMultilevel"/>
    <w:tmpl w:val="40DCC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5"/>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4041A3"/>
    <w:rsid w:val="000025B8"/>
    <w:rsid w:val="001E2AF2"/>
    <w:rsid w:val="002B36CC"/>
    <w:rsid w:val="00345E06"/>
    <w:rsid w:val="003552FE"/>
    <w:rsid w:val="004041A3"/>
    <w:rsid w:val="0045772B"/>
    <w:rsid w:val="004F438A"/>
    <w:rsid w:val="005C12BF"/>
    <w:rsid w:val="005C371C"/>
    <w:rsid w:val="006245C7"/>
    <w:rsid w:val="006F521A"/>
    <w:rsid w:val="0070080C"/>
    <w:rsid w:val="00776680"/>
    <w:rsid w:val="007A0BB1"/>
    <w:rsid w:val="007E6534"/>
    <w:rsid w:val="00804546"/>
    <w:rsid w:val="00827BFF"/>
    <w:rsid w:val="00840043"/>
    <w:rsid w:val="00866406"/>
    <w:rsid w:val="00932E54"/>
    <w:rsid w:val="00A27F45"/>
    <w:rsid w:val="00A835B9"/>
    <w:rsid w:val="00B15931"/>
    <w:rsid w:val="00C767DD"/>
    <w:rsid w:val="00C80FCC"/>
    <w:rsid w:val="00DF5FAC"/>
    <w:rsid w:val="00E86B27"/>
    <w:rsid w:val="00F723D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3552FE"/>
  </w:style>
  <w:style w:type="paragraph" w:styleId="Nagwek2">
    <w:name w:val="heading 2"/>
    <w:basedOn w:val="Normalny"/>
    <w:next w:val="Normalny"/>
    <w:link w:val="Nagwek2Znak"/>
    <w:uiPriority w:val="9"/>
    <w:unhideWhenUsed/>
    <w:qFormat/>
    <w:rsid w:val="00F723D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Nagwek3">
    <w:name w:val="heading 3"/>
    <w:basedOn w:val="Normalny"/>
    <w:link w:val="Nagwek3Znak"/>
    <w:uiPriority w:val="9"/>
    <w:qFormat/>
    <w:rsid w:val="004041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3Znak">
    <w:name w:val="Nagłówek 3 Znak"/>
    <w:basedOn w:val="Domylnaczcionkaakapitu"/>
    <w:link w:val="Nagwek3"/>
    <w:uiPriority w:val="9"/>
    <w:rsid w:val="004041A3"/>
    <w:rPr>
      <w:rFonts w:ascii="Times New Roman" w:eastAsia="Times New Roman" w:hAnsi="Times New Roman" w:cs="Times New Roman"/>
      <w:b/>
      <w:bCs/>
      <w:sz w:val="27"/>
      <w:szCs w:val="27"/>
      <w:lang w:eastAsia="en-GB"/>
    </w:rPr>
  </w:style>
  <w:style w:type="paragraph" w:customStyle="1" w:styleId="ql-align-center">
    <w:name w:val="ql-align-center"/>
    <w:basedOn w:val="Normalny"/>
    <w:rsid w:val="004041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ogrubienie">
    <w:name w:val="Strong"/>
    <w:basedOn w:val="Domylnaczcionkaakapitu"/>
    <w:uiPriority w:val="22"/>
    <w:qFormat/>
    <w:rsid w:val="004041A3"/>
    <w:rPr>
      <w:b/>
      <w:bCs/>
    </w:rPr>
  </w:style>
  <w:style w:type="paragraph" w:styleId="NormalnyWeb">
    <w:name w:val="Normal (Web)"/>
    <w:basedOn w:val="Normalny"/>
    <w:uiPriority w:val="99"/>
    <w:semiHidden/>
    <w:unhideWhenUsed/>
    <w:rsid w:val="004041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gwek2Znak">
    <w:name w:val="Nagłówek 2 Znak"/>
    <w:basedOn w:val="Domylnaczcionkaakapitu"/>
    <w:link w:val="Nagwek2"/>
    <w:uiPriority w:val="9"/>
    <w:rsid w:val="00F723DB"/>
    <w:rPr>
      <w:rFonts w:asciiTheme="majorHAnsi" w:eastAsiaTheme="majorEastAsia" w:hAnsiTheme="majorHAnsi" w:cstheme="majorBidi"/>
      <w:b/>
      <w:bCs/>
      <w:color w:val="4F81BD" w:themeColor="accent1"/>
      <w:sz w:val="26"/>
      <w:szCs w:val="26"/>
    </w:rPr>
  </w:style>
  <w:style w:type="character" w:customStyle="1" w:styleId="label-item">
    <w:name w:val="label-item"/>
    <w:basedOn w:val="Domylnaczcionkaakapitu"/>
    <w:rsid w:val="00F723DB"/>
  </w:style>
  <w:style w:type="character" w:customStyle="1" w:styleId="fontstyle01">
    <w:name w:val="fontstyle01"/>
    <w:basedOn w:val="Domylnaczcionkaakapitu"/>
    <w:rsid w:val="00C767DD"/>
    <w:rPr>
      <w:rFonts w:ascii="ArialMT" w:hAnsi="ArialMT" w:hint="default"/>
      <w:b w:val="0"/>
      <w:bCs w:val="0"/>
      <w:i w:val="0"/>
      <w:iCs w:val="0"/>
      <w:color w:val="000000"/>
      <w:sz w:val="22"/>
      <w:szCs w:val="22"/>
    </w:rPr>
  </w:style>
  <w:style w:type="character" w:customStyle="1" w:styleId="fontstyle11">
    <w:name w:val="fontstyle11"/>
    <w:basedOn w:val="Domylnaczcionkaakapitu"/>
    <w:rsid w:val="00C767DD"/>
    <w:rPr>
      <w:rFonts w:ascii="ArialMT" w:hAnsi="ArialMT" w:hint="default"/>
      <w:b w:val="0"/>
      <w:bCs w:val="0"/>
      <w:i w:val="0"/>
      <w:iCs w:val="0"/>
      <w:color w:val="000000"/>
      <w:sz w:val="22"/>
      <w:szCs w:val="22"/>
    </w:rPr>
  </w:style>
  <w:style w:type="paragraph" w:styleId="Akapitzlist">
    <w:name w:val="List Paragraph"/>
    <w:basedOn w:val="Normalny"/>
    <w:uiPriority w:val="34"/>
    <w:qFormat/>
    <w:rsid w:val="00DF5FAC"/>
    <w:pPr>
      <w:ind w:left="720"/>
      <w:contextualSpacing/>
    </w:pPr>
  </w:style>
  <w:style w:type="character" w:customStyle="1" w:styleId="fontstyle21">
    <w:name w:val="fontstyle21"/>
    <w:basedOn w:val="Domylnaczcionkaakapitu"/>
    <w:rsid w:val="001E2AF2"/>
    <w:rPr>
      <w:rFonts w:ascii="ArialMT" w:hAnsi="ArialMT" w:hint="default"/>
      <w:b w:val="0"/>
      <w:bCs w:val="0"/>
      <w:i w:val="0"/>
      <w:iCs w:val="0"/>
      <w:color w:val="000000"/>
      <w:sz w:val="22"/>
      <w:szCs w:val="22"/>
    </w:rPr>
  </w:style>
  <w:style w:type="character" w:styleId="Uwydatnienie">
    <w:name w:val="Emphasis"/>
    <w:basedOn w:val="Domylnaczcionkaakapitu"/>
    <w:uiPriority w:val="20"/>
    <w:qFormat/>
    <w:rsid w:val="002B36CC"/>
    <w:rPr>
      <w:i/>
      <w:iCs/>
    </w:rPr>
  </w:style>
  <w:style w:type="character" w:styleId="Hipercze">
    <w:name w:val="Hyperlink"/>
    <w:basedOn w:val="Domylnaczcionkaakapitu"/>
    <w:uiPriority w:val="99"/>
    <w:unhideWhenUsed/>
    <w:rsid w:val="002B36CC"/>
    <w:rPr>
      <w:color w:val="0000FF" w:themeColor="hyperlink"/>
      <w:u w:val="single"/>
    </w:rPr>
  </w:style>
  <w:style w:type="character" w:customStyle="1" w:styleId="overflow-hidden">
    <w:name w:val="overflow-hidden"/>
    <w:basedOn w:val="Domylnaczcionkaakapitu"/>
    <w:rsid w:val="002B36CC"/>
  </w:style>
</w:styles>
</file>

<file path=word/webSettings.xml><?xml version="1.0" encoding="utf-8"?>
<w:webSettings xmlns:r="http://schemas.openxmlformats.org/officeDocument/2006/relationships" xmlns:w="http://schemas.openxmlformats.org/wordprocessingml/2006/main">
  <w:divs>
    <w:div w:id="204031099">
      <w:bodyDiv w:val="1"/>
      <w:marLeft w:val="0"/>
      <w:marRight w:val="0"/>
      <w:marTop w:val="0"/>
      <w:marBottom w:val="0"/>
      <w:divBdr>
        <w:top w:val="none" w:sz="0" w:space="0" w:color="auto"/>
        <w:left w:val="none" w:sz="0" w:space="0" w:color="auto"/>
        <w:bottom w:val="none" w:sz="0" w:space="0" w:color="auto"/>
        <w:right w:val="none" w:sz="0" w:space="0" w:color="auto"/>
      </w:divBdr>
      <w:divsChild>
        <w:div w:id="1501694596">
          <w:marLeft w:val="0"/>
          <w:marRight w:val="0"/>
          <w:marTop w:val="0"/>
          <w:marBottom w:val="0"/>
          <w:divBdr>
            <w:top w:val="none" w:sz="0" w:space="0" w:color="auto"/>
            <w:left w:val="none" w:sz="0" w:space="0" w:color="auto"/>
            <w:bottom w:val="none" w:sz="0" w:space="0" w:color="auto"/>
            <w:right w:val="none" w:sz="0" w:space="0" w:color="auto"/>
          </w:divBdr>
          <w:divsChild>
            <w:div w:id="831143402">
              <w:marLeft w:val="120"/>
              <w:marRight w:val="120"/>
              <w:marTop w:val="120"/>
              <w:marBottom w:val="120"/>
              <w:divBdr>
                <w:top w:val="single" w:sz="4" w:space="0" w:color="EDEDED"/>
                <w:left w:val="single" w:sz="4" w:space="6" w:color="EDEDED"/>
                <w:bottom w:val="single" w:sz="4" w:space="0" w:color="EDEDED"/>
                <w:right w:val="single" w:sz="4" w:space="6" w:color="EDEDED"/>
              </w:divBdr>
              <w:divsChild>
                <w:div w:id="150291870">
                  <w:marLeft w:val="0"/>
                  <w:marRight w:val="0"/>
                  <w:marTop w:val="0"/>
                  <w:marBottom w:val="0"/>
                  <w:divBdr>
                    <w:top w:val="none" w:sz="0" w:space="0" w:color="auto"/>
                    <w:left w:val="none" w:sz="0" w:space="0" w:color="auto"/>
                    <w:bottom w:val="none" w:sz="0" w:space="0" w:color="auto"/>
                    <w:right w:val="none" w:sz="0" w:space="0" w:color="auto"/>
                  </w:divBdr>
                  <w:divsChild>
                    <w:div w:id="1203861206">
                      <w:marLeft w:val="0"/>
                      <w:marRight w:val="0"/>
                      <w:marTop w:val="0"/>
                      <w:marBottom w:val="0"/>
                      <w:divBdr>
                        <w:top w:val="none" w:sz="0" w:space="0" w:color="auto"/>
                        <w:left w:val="none" w:sz="0" w:space="0" w:color="auto"/>
                        <w:bottom w:val="none" w:sz="0" w:space="0" w:color="auto"/>
                        <w:right w:val="none" w:sz="0" w:space="0" w:color="auto"/>
                      </w:divBdr>
                      <w:divsChild>
                        <w:div w:id="65510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991722">
                  <w:marLeft w:val="120"/>
                  <w:marRight w:val="120"/>
                  <w:marTop w:val="120"/>
                  <w:marBottom w:val="120"/>
                  <w:divBdr>
                    <w:top w:val="none" w:sz="0" w:space="0" w:color="auto"/>
                    <w:left w:val="none" w:sz="0" w:space="0" w:color="auto"/>
                    <w:bottom w:val="none" w:sz="0" w:space="0" w:color="auto"/>
                    <w:right w:val="none" w:sz="0" w:space="0" w:color="auto"/>
                  </w:divBdr>
                </w:div>
              </w:divsChild>
            </w:div>
          </w:divsChild>
        </w:div>
        <w:div w:id="354842491">
          <w:marLeft w:val="0"/>
          <w:marRight w:val="0"/>
          <w:marTop w:val="120"/>
          <w:marBottom w:val="240"/>
          <w:divBdr>
            <w:top w:val="none" w:sz="0" w:space="0" w:color="auto"/>
            <w:left w:val="none" w:sz="0" w:space="0" w:color="auto"/>
            <w:bottom w:val="none" w:sz="0" w:space="0" w:color="auto"/>
            <w:right w:val="none" w:sz="0" w:space="0" w:color="auto"/>
          </w:divBdr>
          <w:divsChild>
            <w:div w:id="980767517">
              <w:marLeft w:val="0"/>
              <w:marRight w:val="0"/>
              <w:marTop w:val="0"/>
              <w:marBottom w:val="0"/>
              <w:divBdr>
                <w:top w:val="none" w:sz="0" w:space="0" w:color="auto"/>
                <w:left w:val="none" w:sz="0" w:space="0" w:color="auto"/>
                <w:bottom w:val="none" w:sz="0" w:space="0" w:color="auto"/>
                <w:right w:val="none" w:sz="0" w:space="0" w:color="auto"/>
              </w:divBdr>
              <w:divsChild>
                <w:div w:id="1226643373">
                  <w:marLeft w:val="0"/>
                  <w:marRight w:val="0"/>
                  <w:marTop w:val="0"/>
                  <w:marBottom w:val="0"/>
                  <w:divBdr>
                    <w:top w:val="none" w:sz="0" w:space="0" w:color="auto"/>
                    <w:left w:val="none" w:sz="0" w:space="0" w:color="auto"/>
                    <w:bottom w:val="none" w:sz="0" w:space="0" w:color="auto"/>
                    <w:right w:val="none" w:sz="0" w:space="0" w:color="auto"/>
                  </w:divBdr>
                  <w:divsChild>
                    <w:div w:id="1784422140">
                      <w:marLeft w:val="0"/>
                      <w:marRight w:val="0"/>
                      <w:marTop w:val="120"/>
                      <w:marBottom w:val="0"/>
                      <w:divBdr>
                        <w:top w:val="none" w:sz="0" w:space="0" w:color="auto"/>
                        <w:left w:val="none" w:sz="0" w:space="0" w:color="auto"/>
                        <w:bottom w:val="none" w:sz="0" w:space="0" w:color="auto"/>
                        <w:right w:val="none" w:sz="0" w:space="0" w:color="auto"/>
                      </w:divBdr>
                      <w:divsChild>
                        <w:div w:id="1679967203">
                          <w:marLeft w:val="0"/>
                          <w:marRight w:val="0"/>
                          <w:marTop w:val="0"/>
                          <w:marBottom w:val="0"/>
                          <w:divBdr>
                            <w:top w:val="none" w:sz="0" w:space="0" w:color="auto"/>
                            <w:left w:val="none" w:sz="0" w:space="0" w:color="auto"/>
                            <w:bottom w:val="none" w:sz="0" w:space="0" w:color="auto"/>
                            <w:right w:val="none" w:sz="0" w:space="0" w:color="auto"/>
                          </w:divBdr>
                          <w:divsChild>
                            <w:div w:id="1860579778">
                              <w:marLeft w:val="0"/>
                              <w:marRight w:val="0"/>
                              <w:marTop w:val="0"/>
                              <w:marBottom w:val="0"/>
                              <w:divBdr>
                                <w:top w:val="none" w:sz="0" w:space="0" w:color="auto"/>
                                <w:left w:val="none" w:sz="0" w:space="0" w:color="auto"/>
                                <w:bottom w:val="none" w:sz="0" w:space="0" w:color="auto"/>
                                <w:right w:val="none" w:sz="0" w:space="0" w:color="auto"/>
                              </w:divBdr>
                            </w:div>
                            <w:div w:id="208386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342758">
                  <w:marLeft w:val="0"/>
                  <w:marRight w:val="0"/>
                  <w:marTop w:val="0"/>
                  <w:marBottom w:val="0"/>
                  <w:divBdr>
                    <w:top w:val="none" w:sz="0" w:space="0" w:color="auto"/>
                    <w:left w:val="none" w:sz="0" w:space="0" w:color="auto"/>
                    <w:bottom w:val="none" w:sz="0" w:space="0" w:color="auto"/>
                    <w:right w:val="none" w:sz="0" w:space="0" w:color="auto"/>
                  </w:divBdr>
                  <w:divsChild>
                    <w:div w:id="1696732868">
                      <w:marLeft w:val="0"/>
                      <w:marRight w:val="0"/>
                      <w:marTop w:val="120"/>
                      <w:marBottom w:val="0"/>
                      <w:divBdr>
                        <w:top w:val="none" w:sz="0" w:space="0" w:color="auto"/>
                        <w:left w:val="none" w:sz="0" w:space="0" w:color="auto"/>
                        <w:bottom w:val="none" w:sz="0" w:space="0" w:color="auto"/>
                        <w:right w:val="none" w:sz="0" w:space="0" w:color="auto"/>
                      </w:divBdr>
                      <w:divsChild>
                        <w:div w:id="876431254">
                          <w:marLeft w:val="0"/>
                          <w:marRight w:val="0"/>
                          <w:marTop w:val="0"/>
                          <w:marBottom w:val="0"/>
                          <w:divBdr>
                            <w:top w:val="none" w:sz="0" w:space="0" w:color="auto"/>
                            <w:left w:val="none" w:sz="0" w:space="0" w:color="auto"/>
                            <w:bottom w:val="none" w:sz="0" w:space="0" w:color="auto"/>
                            <w:right w:val="none" w:sz="0" w:space="0" w:color="auto"/>
                          </w:divBdr>
                          <w:divsChild>
                            <w:div w:id="1313950913">
                              <w:marLeft w:val="0"/>
                              <w:marRight w:val="0"/>
                              <w:marTop w:val="0"/>
                              <w:marBottom w:val="0"/>
                              <w:divBdr>
                                <w:top w:val="none" w:sz="0" w:space="0" w:color="auto"/>
                                <w:left w:val="none" w:sz="0" w:space="0" w:color="auto"/>
                                <w:bottom w:val="none" w:sz="0" w:space="0" w:color="auto"/>
                                <w:right w:val="none" w:sz="0" w:space="0" w:color="auto"/>
                              </w:divBdr>
                            </w:div>
                            <w:div w:id="33268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62662">
                  <w:marLeft w:val="0"/>
                  <w:marRight w:val="0"/>
                  <w:marTop w:val="0"/>
                  <w:marBottom w:val="0"/>
                  <w:divBdr>
                    <w:top w:val="none" w:sz="0" w:space="0" w:color="auto"/>
                    <w:left w:val="none" w:sz="0" w:space="0" w:color="auto"/>
                    <w:bottom w:val="none" w:sz="0" w:space="0" w:color="auto"/>
                    <w:right w:val="none" w:sz="0" w:space="0" w:color="auto"/>
                  </w:divBdr>
                  <w:divsChild>
                    <w:div w:id="1460104723">
                      <w:marLeft w:val="0"/>
                      <w:marRight w:val="0"/>
                      <w:marTop w:val="120"/>
                      <w:marBottom w:val="0"/>
                      <w:divBdr>
                        <w:top w:val="none" w:sz="0" w:space="0" w:color="auto"/>
                        <w:left w:val="none" w:sz="0" w:space="0" w:color="auto"/>
                        <w:bottom w:val="none" w:sz="0" w:space="0" w:color="auto"/>
                        <w:right w:val="none" w:sz="0" w:space="0" w:color="auto"/>
                      </w:divBdr>
                      <w:divsChild>
                        <w:div w:id="946160644">
                          <w:marLeft w:val="0"/>
                          <w:marRight w:val="0"/>
                          <w:marTop w:val="0"/>
                          <w:marBottom w:val="0"/>
                          <w:divBdr>
                            <w:top w:val="none" w:sz="0" w:space="0" w:color="auto"/>
                            <w:left w:val="none" w:sz="0" w:space="0" w:color="auto"/>
                            <w:bottom w:val="none" w:sz="0" w:space="0" w:color="auto"/>
                            <w:right w:val="none" w:sz="0" w:space="0" w:color="auto"/>
                          </w:divBdr>
                          <w:divsChild>
                            <w:div w:id="2052994073">
                              <w:marLeft w:val="0"/>
                              <w:marRight w:val="0"/>
                              <w:marTop w:val="0"/>
                              <w:marBottom w:val="0"/>
                              <w:divBdr>
                                <w:top w:val="none" w:sz="0" w:space="0" w:color="auto"/>
                                <w:left w:val="none" w:sz="0" w:space="0" w:color="auto"/>
                                <w:bottom w:val="none" w:sz="0" w:space="0" w:color="auto"/>
                                <w:right w:val="none" w:sz="0" w:space="0" w:color="auto"/>
                              </w:divBdr>
                            </w:div>
                            <w:div w:id="107146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4943807">
          <w:marLeft w:val="0"/>
          <w:marRight w:val="0"/>
          <w:marTop w:val="240"/>
          <w:marBottom w:val="240"/>
          <w:divBdr>
            <w:top w:val="none" w:sz="0" w:space="0" w:color="auto"/>
            <w:left w:val="none" w:sz="0" w:space="0" w:color="auto"/>
            <w:bottom w:val="none" w:sz="0" w:space="0" w:color="auto"/>
            <w:right w:val="none" w:sz="0" w:space="0" w:color="auto"/>
          </w:divBdr>
          <w:divsChild>
            <w:div w:id="316349390">
              <w:marLeft w:val="0"/>
              <w:marRight w:val="0"/>
              <w:marTop w:val="0"/>
              <w:marBottom w:val="0"/>
              <w:divBdr>
                <w:top w:val="none" w:sz="0" w:space="0" w:color="auto"/>
                <w:left w:val="none" w:sz="0" w:space="0" w:color="auto"/>
                <w:bottom w:val="none" w:sz="0" w:space="0" w:color="auto"/>
                <w:right w:val="none" w:sz="0" w:space="0" w:color="auto"/>
              </w:divBdr>
              <w:divsChild>
                <w:div w:id="1404328843">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246352435">
      <w:bodyDiv w:val="1"/>
      <w:marLeft w:val="0"/>
      <w:marRight w:val="0"/>
      <w:marTop w:val="0"/>
      <w:marBottom w:val="0"/>
      <w:divBdr>
        <w:top w:val="none" w:sz="0" w:space="0" w:color="auto"/>
        <w:left w:val="none" w:sz="0" w:space="0" w:color="auto"/>
        <w:bottom w:val="none" w:sz="0" w:space="0" w:color="auto"/>
        <w:right w:val="none" w:sz="0" w:space="0" w:color="auto"/>
      </w:divBdr>
    </w:div>
    <w:div w:id="257909648">
      <w:bodyDiv w:val="1"/>
      <w:marLeft w:val="0"/>
      <w:marRight w:val="0"/>
      <w:marTop w:val="0"/>
      <w:marBottom w:val="0"/>
      <w:divBdr>
        <w:top w:val="none" w:sz="0" w:space="0" w:color="auto"/>
        <w:left w:val="none" w:sz="0" w:space="0" w:color="auto"/>
        <w:bottom w:val="none" w:sz="0" w:space="0" w:color="auto"/>
        <w:right w:val="none" w:sz="0" w:space="0" w:color="auto"/>
      </w:divBdr>
    </w:div>
    <w:div w:id="266930477">
      <w:bodyDiv w:val="1"/>
      <w:marLeft w:val="0"/>
      <w:marRight w:val="0"/>
      <w:marTop w:val="0"/>
      <w:marBottom w:val="0"/>
      <w:divBdr>
        <w:top w:val="none" w:sz="0" w:space="0" w:color="auto"/>
        <w:left w:val="none" w:sz="0" w:space="0" w:color="auto"/>
        <w:bottom w:val="none" w:sz="0" w:space="0" w:color="auto"/>
        <w:right w:val="none" w:sz="0" w:space="0" w:color="auto"/>
      </w:divBdr>
    </w:div>
    <w:div w:id="272714685">
      <w:bodyDiv w:val="1"/>
      <w:marLeft w:val="0"/>
      <w:marRight w:val="0"/>
      <w:marTop w:val="0"/>
      <w:marBottom w:val="0"/>
      <w:divBdr>
        <w:top w:val="none" w:sz="0" w:space="0" w:color="auto"/>
        <w:left w:val="none" w:sz="0" w:space="0" w:color="auto"/>
        <w:bottom w:val="none" w:sz="0" w:space="0" w:color="auto"/>
        <w:right w:val="none" w:sz="0" w:space="0" w:color="auto"/>
      </w:divBdr>
    </w:div>
    <w:div w:id="744843249">
      <w:bodyDiv w:val="1"/>
      <w:marLeft w:val="0"/>
      <w:marRight w:val="0"/>
      <w:marTop w:val="0"/>
      <w:marBottom w:val="0"/>
      <w:divBdr>
        <w:top w:val="none" w:sz="0" w:space="0" w:color="auto"/>
        <w:left w:val="none" w:sz="0" w:space="0" w:color="auto"/>
        <w:bottom w:val="none" w:sz="0" w:space="0" w:color="auto"/>
        <w:right w:val="none" w:sz="0" w:space="0" w:color="auto"/>
      </w:divBdr>
    </w:div>
    <w:div w:id="938484524">
      <w:bodyDiv w:val="1"/>
      <w:marLeft w:val="0"/>
      <w:marRight w:val="0"/>
      <w:marTop w:val="0"/>
      <w:marBottom w:val="0"/>
      <w:divBdr>
        <w:top w:val="none" w:sz="0" w:space="0" w:color="auto"/>
        <w:left w:val="none" w:sz="0" w:space="0" w:color="auto"/>
        <w:bottom w:val="none" w:sz="0" w:space="0" w:color="auto"/>
        <w:right w:val="none" w:sz="0" w:space="0" w:color="auto"/>
      </w:divBdr>
    </w:div>
    <w:div w:id="1443572327">
      <w:bodyDiv w:val="1"/>
      <w:marLeft w:val="0"/>
      <w:marRight w:val="0"/>
      <w:marTop w:val="0"/>
      <w:marBottom w:val="0"/>
      <w:divBdr>
        <w:top w:val="none" w:sz="0" w:space="0" w:color="auto"/>
        <w:left w:val="none" w:sz="0" w:space="0" w:color="auto"/>
        <w:bottom w:val="none" w:sz="0" w:space="0" w:color="auto"/>
        <w:right w:val="none" w:sz="0" w:space="0" w:color="auto"/>
      </w:divBdr>
    </w:div>
    <w:div w:id="1617829586">
      <w:bodyDiv w:val="1"/>
      <w:marLeft w:val="0"/>
      <w:marRight w:val="0"/>
      <w:marTop w:val="0"/>
      <w:marBottom w:val="0"/>
      <w:divBdr>
        <w:top w:val="none" w:sz="0" w:space="0" w:color="auto"/>
        <w:left w:val="none" w:sz="0" w:space="0" w:color="auto"/>
        <w:bottom w:val="none" w:sz="0" w:space="0" w:color="auto"/>
        <w:right w:val="none" w:sz="0" w:space="0" w:color="auto"/>
      </w:divBdr>
    </w:div>
    <w:div w:id="1697461787">
      <w:bodyDiv w:val="1"/>
      <w:marLeft w:val="0"/>
      <w:marRight w:val="0"/>
      <w:marTop w:val="0"/>
      <w:marBottom w:val="0"/>
      <w:divBdr>
        <w:top w:val="none" w:sz="0" w:space="0" w:color="auto"/>
        <w:left w:val="none" w:sz="0" w:space="0" w:color="auto"/>
        <w:bottom w:val="none" w:sz="0" w:space="0" w:color="auto"/>
        <w:right w:val="none" w:sz="0" w:space="0" w:color="auto"/>
      </w:divBdr>
    </w:div>
    <w:div w:id="1706979443">
      <w:bodyDiv w:val="1"/>
      <w:marLeft w:val="0"/>
      <w:marRight w:val="0"/>
      <w:marTop w:val="0"/>
      <w:marBottom w:val="0"/>
      <w:divBdr>
        <w:top w:val="none" w:sz="0" w:space="0" w:color="auto"/>
        <w:left w:val="none" w:sz="0" w:space="0" w:color="auto"/>
        <w:bottom w:val="none" w:sz="0" w:space="0" w:color="auto"/>
        <w:right w:val="none" w:sz="0" w:space="0" w:color="auto"/>
      </w:divBdr>
      <w:divsChild>
        <w:div w:id="1727022921">
          <w:marLeft w:val="0"/>
          <w:marRight w:val="0"/>
          <w:marTop w:val="0"/>
          <w:marBottom w:val="0"/>
          <w:divBdr>
            <w:top w:val="none" w:sz="0" w:space="0" w:color="auto"/>
            <w:left w:val="none" w:sz="0" w:space="0" w:color="auto"/>
            <w:bottom w:val="none" w:sz="0" w:space="0" w:color="auto"/>
            <w:right w:val="none" w:sz="0" w:space="0" w:color="auto"/>
          </w:divBdr>
          <w:divsChild>
            <w:div w:id="508060792">
              <w:marLeft w:val="0"/>
              <w:marRight w:val="0"/>
              <w:marTop w:val="0"/>
              <w:marBottom w:val="0"/>
              <w:divBdr>
                <w:top w:val="none" w:sz="0" w:space="0" w:color="auto"/>
                <w:left w:val="none" w:sz="0" w:space="0" w:color="auto"/>
                <w:bottom w:val="none" w:sz="0" w:space="0" w:color="auto"/>
                <w:right w:val="none" w:sz="0" w:space="0" w:color="auto"/>
              </w:divBdr>
              <w:divsChild>
                <w:div w:id="130172810">
                  <w:marLeft w:val="0"/>
                  <w:marRight w:val="0"/>
                  <w:marTop w:val="0"/>
                  <w:marBottom w:val="0"/>
                  <w:divBdr>
                    <w:top w:val="none" w:sz="0" w:space="0" w:color="auto"/>
                    <w:left w:val="none" w:sz="0" w:space="0" w:color="auto"/>
                    <w:bottom w:val="none" w:sz="0" w:space="0" w:color="auto"/>
                    <w:right w:val="none" w:sz="0" w:space="0" w:color="auto"/>
                  </w:divBdr>
                  <w:divsChild>
                    <w:div w:id="625046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371166">
          <w:marLeft w:val="0"/>
          <w:marRight w:val="0"/>
          <w:marTop w:val="0"/>
          <w:marBottom w:val="0"/>
          <w:divBdr>
            <w:top w:val="none" w:sz="0" w:space="0" w:color="auto"/>
            <w:left w:val="none" w:sz="0" w:space="0" w:color="auto"/>
            <w:bottom w:val="none" w:sz="0" w:space="0" w:color="auto"/>
            <w:right w:val="none" w:sz="0" w:space="0" w:color="auto"/>
          </w:divBdr>
          <w:divsChild>
            <w:div w:id="103311711">
              <w:marLeft w:val="0"/>
              <w:marRight w:val="0"/>
              <w:marTop w:val="0"/>
              <w:marBottom w:val="0"/>
              <w:divBdr>
                <w:top w:val="none" w:sz="0" w:space="0" w:color="auto"/>
                <w:left w:val="none" w:sz="0" w:space="0" w:color="auto"/>
                <w:bottom w:val="none" w:sz="0" w:space="0" w:color="auto"/>
                <w:right w:val="none" w:sz="0" w:space="0" w:color="auto"/>
              </w:divBdr>
              <w:divsChild>
                <w:div w:id="1533574693">
                  <w:marLeft w:val="0"/>
                  <w:marRight w:val="0"/>
                  <w:marTop w:val="0"/>
                  <w:marBottom w:val="0"/>
                  <w:divBdr>
                    <w:top w:val="none" w:sz="0" w:space="0" w:color="auto"/>
                    <w:left w:val="none" w:sz="0" w:space="0" w:color="auto"/>
                    <w:bottom w:val="none" w:sz="0" w:space="0" w:color="auto"/>
                    <w:right w:val="none" w:sz="0" w:space="0" w:color="auto"/>
                  </w:divBdr>
                  <w:divsChild>
                    <w:div w:id="125975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111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93/gerona/57.7.M428&amp;#8203;:contentReference[oaicite:0]{index=0}&amp;#8203;:contentReference[oaicite:1]{index=1}" TargetMode="External"/><Relationship Id="rId4" Type="http://schemas.openxmlformats.org/officeDocument/2006/relationships/webSettings" Target="web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4001</Words>
  <Characters>22806</Characters>
  <Application>Microsoft Office Word</Application>
  <DocSecurity>0</DocSecurity>
  <Lines>190</Lines>
  <Paragraphs>53</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26754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2</cp:revision>
  <dcterms:created xsi:type="dcterms:W3CDTF">2024-12-09T20:10:00Z</dcterms:created>
  <dcterms:modified xsi:type="dcterms:W3CDTF">2024-12-09T20:10:00Z</dcterms:modified>
</cp:coreProperties>
</file>