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50C9" w:rsidRDefault="00FD5280">
      <w:r>
        <w:t>Lewiss Edwards</w:t>
      </w:r>
    </w:p>
    <w:p w:rsidR="00FD5280" w:rsidRDefault="00FD5280">
      <w:r>
        <w:t>SWP</w:t>
      </w:r>
    </w:p>
    <w:p w:rsidR="00FD5280" w:rsidRDefault="00FD5280">
      <w:r>
        <w:t>PC6935</w:t>
      </w:r>
    </w:p>
    <w:p w:rsidR="00FD5280" w:rsidRDefault="00FD5280">
      <w:r>
        <w:t>Exam 2</w:t>
      </w:r>
    </w:p>
    <w:p w:rsidR="00FD5280" w:rsidRDefault="00FD5280">
      <w:r>
        <w:t>23/08/2021</w:t>
      </w:r>
    </w:p>
    <w:p w:rsidR="00FD5280" w:rsidRDefault="00FD5280"/>
    <w:p w:rsidR="00FD5280" w:rsidRDefault="00FD5280" w:rsidP="00FD5280">
      <w:pPr>
        <w:pStyle w:val="ListParagraph"/>
        <w:numPr>
          <w:ilvl w:val="0"/>
          <w:numId w:val="1"/>
        </w:numPr>
      </w:pPr>
      <w:r>
        <w:t>A person driving a mechanically propelled vehicle on a road must stop the vehicle on being required to do so by a constable in uniform or a traffic officer.</w:t>
      </w:r>
    </w:p>
    <w:p w:rsidR="00FD5280" w:rsidRDefault="00FD5280" w:rsidP="00FD5280">
      <w:pPr>
        <w:pStyle w:val="ListParagraph"/>
      </w:pPr>
      <w:r>
        <w:t>A person riding a cycle on a road must stop the cycle on being required to do so by a constable in uniform or a traffic officer.</w:t>
      </w:r>
    </w:p>
    <w:p w:rsidR="00FD5280" w:rsidRDefault="00FD5280" w:rsidP="00FD5280">
      <w:pPr>
        <w:pStyle w:val="ListParagraph"/>
      </w:pPr>
      <w:r>
        <w:t>Any person who fails to comply with this section is guilty of an offence.</w:t>
      </w:r>
    </w:p>
    <w:p w:rsidR="00FD5280" w:rsidRDefault="00FD5280" w:rsidP="00FD5280">
      <w:pPr>
        <w:pStyle w:val="ListParagraph"/>
      </w:pPr>
    </w:p>
    <w:p w:rsidR="00FD5280" w:rsidRDefault="00960EC8" w:rsidP="00FD5280">
      <w:pPr>
        <w:pStyle w:val="ListParagraph"/>
        <w:numPr>
          <w:ilvl w:val="0"/>
          <w:numId w:val="1"/>
        </w:numPr>
      </w:pPr>
      <w:r>
        <w:t>A constable may arrest a</w:t>
      </w:r>
      <w:r w:rsidR="00FD5280">
        <w:t>ny person who drives, attempts to drive or is in charge of a vehicle whilst</w:t>
      </w:r>
      <w:r>
        <w:t xml:space="preserve"> under the influence of drink or drugs.</w:t>
      </w:r>
    </w:p>
    <w:p w:rsidR="00FD5280" w:rsidRDefault="00FD5280" w:rsidP="00FD5280">
      <w:pPr>
        <w:pStyle w:val="ListParagraph"/>
      </w:pPr>
    </w:p>
    <w:p w:rsidR="00FD5280" w:rsidRDefault="00FD5280" w:rsidP="00FD5280">
      <w:pPr>
        <w:pStyle w:val="ListParagraph"/>
        <w:numPr>
          <w:ilvl w:val="0"/>
          <w:numId w:val="1"/>
        </w:numPr>
      </w:pPr>
      <w:r>
        <w:t>If a person drives a mechanically propelled vehicle on a road or public place without due care and attention or reasonable consideration for other people using the road or place he is guilty of an offence.</w:t>
      </w:r>
    </w:p>
    <w:p w:rsidR="00FD5280" w:rsidRDefault="00FD5280" w:rsidP="00FD5280">
      <w:pPr>
        <w:pStyle w:val="ListParagraph"/>
      </w:pPr>
    </w:p>
    <w:p w:rsidR="00FD5280" w:rsidRDefault="00960EC8" w:rsidP="00FD5280">
      <w:pPr>
        <w:pStyle w:val="ListParagraph"/>
        <w:numPr>
          <w:ilvl w:val="0"/>
          <w:numId w:val="1"/>
        </w:numPr>
      </w:pPr>
      <w:r>
        <w:t>If there is a d</w:t>
      </w:r>
      <w:r w:rsidR="00FD5280">
        <w:t>efect with the vehicle</w:t>
      </w:r>
    </w:p>
    <w:p w:rsidR="00FD5280" w:rsidRDefault="00960EC8" w:rsidP="00FD5280">
      <w:pPr>
        <w:pStyle w:val="ListParagraph"/>
      </w:pPr>
      <w:r>
        <w:t>If there is a g</w:t>
      </w:r>
      <w:r w:rsidR="00FD5280">
        <w:t>enuine emergency</w:t>
      </w:r>
      <w:r>
        <w:t xml:space="preserve"> (to protect life or limb)</w:t>
      </w:r>
    </w:p>
    <w:p w:rsidR="00960EC8" w:rsidRDefault="00960EC8" w:rsidP="00960EC8">
      <w:pPr>
        <w:pStyle w:val="ListParagraph"/>
      </w:pPr>
      <w:r>
        <w:t>If authority has already been given by the police</w:t>
      </w:r>
    </w:p>
    <w:p w:rsidR="00960EC8" w:rsidRDefault="00960EC8" w:rsidP="00960EC8">
      <w:pPr>
        <w:pStyle w:val="ListParagraph"/>
      </w:pPr>
    </w:p>
    <w:p w:rsidR="00FD5280" w:rsidRDefault="00FD5280" w:rsidP="00FD5280">
      <w:pPr>
        <w:pStyle w:val="ListParagraph"/>
      </w:pPr>
    </w:p>
    <w:p w:rsidR="00FD5280" w:rsidRDefault="00FD5280" w:rsidP="00FD5280">
      <w:pPr>
        <w:pStyle w:val="ListParagraph"/>
        <w:numPr>
          <w:ilvl w:val="0"/>
          <w:numId w:val="1"/>
        </w:numPr>
      </w:pPr>
      <w:r>
        <w:t>If a constable in uniform has reasonable grounds to believe a motor vehicle is or was being driven with no insurance (section 143), or</w:t>
      </w:r>
      <w:r w:rsidR="00645F88">
        <w:t xml:space="preserve"> being</w:t>
      </w:r>
      <w:r>
        <w:t xml:space="preserve"> driven without a licence or otherwise in accordance with a licence, or fails to stop and the constable has reasonable grounds to suspect any of the above then the vehicle is seized.</w:t>
      </w:r>
    </w:p>
    <w:p w:rsidR="00FD5280" w:rsidRDefault="00FD5280" w:rsidP="00FD5280"/>
    <w:p w:rsidR="00FD5280" w:rsidRDefault="00FD5280" w:rsidP="00FD5280">
      <w:pPr>
        <w:pStyle w:val="ListParagraph"/>
        <w:numPr>
          <w:ilvl w:val="0"/>
          <w:numId w:val="1"/>
        </w:numPr>
      </w:pPr>
      <w:r>
        <w:t>Owing to the presence of a mechanically propelled vehicle on a road or other public place, an accident occurs whereby;</w:t>
      </w:r>
    </w:p>
    <w:p w:rsidR="00FD5280" w:rsidRDefault="00FD5280" w:rsidP="00FD5280">
      <w:pPr>
        <w:ind w:left="720"/>
      </w:pPr>
      <w:r>
        <w:t>Personal injury is caused to any person (other than the driver of that MPV), or</w:t>
      </w:r>
    </w:p>
    <w:p w:rsidR="00FD5280" w:rsidRDefault="00FD5280" w:rsidP="00FD5280">
      <w:pPr>
        <w:ind w:left="720"/>
      </w:pPr>
      <w:r>
        <w:t>Damage is caused to a vehicle (other than that MPV or any trailer drawn by it), or</w:t>
      </w:r>
    </w:p>
    <w:p w:rsidR="00FD5280" w:rsidRDefault="00FD5280" w:rsidP="00FD5280">
      <w:pPr>
        <w:ind w:left="720"/>
      </w:pPr>
      <w:r>
        <w:t>Damage is caused to an animal (other than one in or on that MPV or any trailer drawn by it</w:t>
      </w:r>
      <w:r w:rsidR="00354312">
        <w:t>)</w:t>
      </w:r>
      <w:bookmarkStart w:id="0" w:name="_GoBack"/>
      <w:bookmarkEnd w:id="0"/>
      <w:r>
        <w:t>, or</w:t>
      </w:r>
    </w:p>
    <w:p w:rsidR="00FD5280" w:rsidRDefault="00FD5280" w:rsidP="00FD5280">
      <w:pPr>
        <w:ind w:left="720"/>
      </w:pPr>
      <w:r>
        <w:t>Damage is caused to any property constructed on, fixed to, growing in any land on which the road is situated or any land adjacent to such land.</w:t>
      </w:r>
    </w:p>
    <w:p w:rsidR="00FD5280" w:rsidRDefault="00FD5280" w:rsidP="00FD5280">
      <w:pPr>
        <w:pStyle w:val="ListParagraph"/>
        <w:numPr>
          <w:ilvl w:val="0"/>
          <w:numId w:val="1"/>
        </w:numPr>
      </w:pPr>
      <w:r>
        <w:t>Road – Any highway or road to which the public has access, including a bridge over which a road passes</w:t>
      </w:r>
    </w:p>
    <w:p w:rsidR="00FD5280" w:rsidRDefault="00FD5280" w:rsidP="00FD5280">
      <w:pPr>
        <w:pStyle w:val="ListParagraph"/>
      </w:pPr>
    </w:p>
    <w:p w:rsidR="00FD5280" w:rsidRDefault="00FD5280" w:rsidP="00FD5280">
      <w:pPr>
        <w:pStyle w:val="ListParagraph"/>
      </w:pPr>
      <w:r>
        <w:lastRenderedPageBreak/>
        <w:t>Public Place – Any place to which the public has access, which includes a place to which they would have to pay to access</w:t>
      </w:r>
    </w:p>
    <w:p w:rsidR="00FD5280" w:rsidRDefault="00FD5280" w:rsidP="00FD5280">
      <w:pPr>
        <w:pStyle w:val="ListParagraph"/>
      </w:pPr>
    </w:p>
    <w:p w:rsidR="00FD5280" w:rsidRDefault="00FD5280" w:rsidP="00FD5280">
      <w:pPr>
        <w:ind w:left="720"/>
      </w:pPr>
      <w:r>
        <w:t>Mechanically propelled vehicle – Any vehicle which has been constructed to be mechanically propelled</w:t>
      </w:r>
    </w:p>
    <w:p w:rsidR="00FD5280" w:rsidRDefault="00FD5280" w:rsidP="00FD5280">
      <w:pPr>
        <w:ind w:firstLine="720"/>
      </w:pPr>
      <w:r>
        <w:t>Animal – Any animal which is of financial value to a person (e.g cattle)</w:t>
      </w:r>
    </w:p>
    <w:p w:rsidR="00FD5280" w:rsidRDefault="00FD5280" w:rsidP="00FD5280">
      <w:pPr>
        <w:pStyle w:val="ListParagraph"/>
        <w:numPr>
          <w:ilvl w:val="0"/>
          <w:numId w:val="1"/>
        </w:numPr>
      </w:pPr>
      <w:r>
        <w:t>Following a reportable road traffic collision, a driver has a responsibility to provide details to anyone who has reasonable grounds to require</w:t>
      </w:r>
      <w:r w:rsidR="00960EC8">
        <w:t xml:space="preserve"> them</w:t>
      </w:r>
      <w:r>
        <w:t>. Details include</w:t>
      </w:r>
      <w:r w:rsidR="00960EC8">
        <w:t xml:space="preserve"> their insurance company, name and </w:t>
      </w:r>
      <w:r>
        <w:t>address. If there is no-one initially at the scene, the driver has an obligation to stay a reasonable amount of time for any person to appear to provide these details.</w:t>
      </w:r>
    </w:p>
    <w:p w:rsidR="00FD5280" w:rsidRDefault="00FD5280" w:rsidP="00FD5280"/>
    <w:p w:rsidR="00FD5280" w:rsidRDefault="00FD5280" w:rsidP="00FD5280">
      <w:pPr>
        <w:pStyle w:val="ListParagraph"/>
        <w:numPr>
          <w:ilvl w:val="0"/>
          <w:numId w:val="1"/>
        </w:numPr>
      </w:pPr>
      <w:r>
        <w:t xml:space="preserve">Section 6E gives a constable a power to enter a property if they have reasonable grounds to believe that a person is over the prescribed limit of alcohol or drugs and require them to provide a breath specimen. If a person has already failed a preliminary breath test and they’ve entered a property a constable can also enter a house using reasonable force. </w:t>
      </w:r>
      <w:r w:rsidR="00960EC8">
        <w:t xml:space="preserve">This is also outlined in section 17(c) of the Police And Criminal Evidence Act 1984. </w:t>
      </w:r>
    </w:p>
    <w:p w:rsidR="00FD5280" w:rsidRDefault="00FD5280" w:rsidP="00FD5280">
      <w:pPr>
        <w:pStyle w:val="ListParagraph"/>
      </w:pPr>
    </w:p>
    <w:p w:rsidR="00FD5280" w:rsidRDefault="00FD5280" w:rsidP="00FD5280">
      <w:pPr>
        <w:pStyle w:val="ListParagraph"/>
        <w:numPr>
          <w:ilvl w:val="0"/>
          <w:numId w:val="1"/>
        </w:numPr>
      </w:pPr>
      <w:r>
        <w:t>A person who causes the death of another person by driving a mechanically propelled vehicle dangerously on a road or other public place is guilty of an offence.</w:t>
      </w:r>
    </w:p>
    <w:p w:rsidR="00FD5280" w:rsidRDefault="00FD5280" w:rsidP="00FD5280">
      <w:pPr>
        <w:pStyle w:val="ListParagraph"/>
      </w:pPr>
    </w:p>
    <w:p w:rsidR="00FD5280" w:rsidRDefault="00FD5280" w:rsidP="00FD5280">
      <w:pPr>
        <w:pStyle w:val="ListParagraph"/>
        <w:numPr>
          <w:ilvl w:val="0"/>
          <w:numId w:val="1"/>
        </w:numPr>
      </w:pPr>
      <w:r>
        <w:t>35 micrograms of alcohol in 100 millilitres of breath</w:t>
      </w:r>
      <w:r>
        <w:br/>
        <w:t>80 milligrams of alcohol in 100 millilitres of blood</w:t>
      </w:r>
      <w:r>
        <w:br/>
        <w:t>107 milligrams of alcohol in 100 millilitres of urine</w:t>
      </w:r>
      <w:r>
        <w:br/>
        <w:t>2 micrograms of THC (cannabis) in 1 litre of blood</w:t>
      </w:r>
      <w:r>
        <w:br/>
        <w:t>10 micrograms of cocaine in 1 litre of blood</w:t>
      </w:r>
    </w:p>
    <w:p w:rsidR="00FD5280" w:rsidRDefault="00FD5280" w:rsidP="00FD5280">
      <w:pPr>
        <w:pStyle w:val="ListParagraph"/>
      </w:pPr>
    </w:p>
    <w:p w:rsidR="00FD5280" w:rsidRDefault="00FD5280" w:rsidP="00960EC8">
      <w:pPr>
        <w:pStyle w:val="ListParagraph"/>
        <w:numPr>
          <w:ilvl w:val="0"/>
          <w:numId w:val="1"/>
        </w:numPr>
      </w:pPr>
      <w:r>
        <w:t>Interpreter</w:t>
      </w:r>
      <w:r w:rsidR="00960EC8">
        <w:t xml:space="preserve"> – If the suspect does not speak English, an interpreter can help the suspect understand what the interviewing officers are asking.</w:t>
      </w:r>
      <w:r>
        <w:br/>
        <w:t>Solicitor</w:t>
      </w:r>
      <w:r w:rsidR="00960EC8">
        <w:t xml:space="preserve"> – A solicitor represents and supports their client who is a suspect by advising them on legal matters.</w:t>
      </w:r>
      <w:r>
        <w:br/>
        <w:t>Appropriate Adult</w:t>
      </w:r>
      <w:r w:rsidR="00960EC8">
        <w:t xml:space="preserve"> – This can be for anyone who has a mental impairment or a child under 18 who can help with understanding. The appropriate adult cannot just be an observer, and cannot be anyone who is involved in the case.</w:t>
      </w:r>
      <w:r w:rsidR="00960EC8">
        <w:br/>
        <w:t>Supporting officer – This can be a second officer to assist the interviewing officer.</w:t>
      </w:r>
      <w:r>
        <w:br/>
      </w:r>
    </w:p>
    <w:p w:rsidR="00FD5280" w:rsidRDefault="00FD5280" w:rsidP="00FD5280">
      <w:pPr>
        <w:pStyle w:val="ListParagraph"/>
      </w:pPr>
    </w:p>
    <w:p w:rsidR="00FD5280" w:rsidRDefault="00FD5280" w:rsidP="00FD5280">
      <w:pPr>
        <w:pStyle w:val="ListParagraph"/>
        <w:numPr>
          <w:ilvl w:val="0"/>
          <w:numId w:val="1"/>
        </w:numPr>
      </w:pPr>
      <w:r>
        <w:t>The national police interviewing model is abbreviated to PEACE and it is outlined as below;</w:t>
      </w:r>
    </w:p>
    <w:p w:rsidR="00FD5280" w:rsidRDefault="00FD5280" w:rsidP="00FD5280">
      <w:pPr>
        <w:pStyle w:val="ListParagraph"/>
      </w:pPr>
    </w:p>
    <w:p w:rsidR="00FD5280" w:rsidRDefault="00FD5280" w:rsidP="00FD5280">
      <w:pPr>
        <w:pStyle w:val="ListParagraph"/>
      </w:pPr>
      <w:r>
        <w:t>Planning and Preparation – this is where the police officer will plan important factors like a time and place for the interview and identify topics which they would like to discuss with the witness/suspect</w:t>
      </w:r>
    </w:p>
    <w:p w:rsidR="00FD5280" w:rsidRDefault="00FD5280" w:rsidP="00FD5280">
      <w:pPr>
        <w:pStyle w:val="ListParagraph"/>
      </w:pPr>
    </w:p>
    <w:p w:rsidR="00FD5280" w:rsidRDefault="00FD5280" w:rsidP="00FD5280">
      <w:pPr>
        <w:pStyle w:val="ListParagraph"/>
      </w:pPr>
      <w:r>
        <w:t>Engage and Explain – the officer will greet a witness (non-threatening conversation), explain the reason for the interview along with the routine and route map</w:t>
      </w:r>
    </w:p>
    <w:p w:rsidR="00FD5280" w:rsidRDefault="00FD5280" w:rsidP="00FD5280">
      <w:pPr>
        <w:pStyle w:val="ListParagraph"/>
      </w:pPr>
    </w:p>
    <w:p w:rsidR="00FD5280" w:rsidRDefault="00FD5280" w:rsidP="00FD5280">
      <w:pPr>
        <w:pStyle w:val="ListParagraph"/>
      </w:pPr>
      <w:r>
        <w:t>Account – the witness/suspect will be given an opportunity to give a free narrative and give every piece of information they know about the incident and the officer will ask open questions based on this to gain as much information as possible.</w:t>
      </w:r>
    </w:p>
    <w:p w:rsidR="00FD5280" w:rsidRDefault="00FD5280" w:rsidP="00FD5280">
      <w:pPr>
        <w:pStyle w:val="ListParagraph"/>
      </w:pPr>
    </w:p>
    <w:p w:rsidR="00FD5280" w:rsidRDefault="00FD5280" w:rsidP="00FD5280">
      <w:pPr>
        <w:pStyle w:val="ListParagraph"/>
      </w:pPr>
      <w:r>
        <w:t>Closure – the officer will summarise what has been said during the interview and advise the witness what happens next</w:t>
      </w:r>
    </w:p>
    <w:p w:rsidR="00FD5280" w:rsidRDefault="00FD5280" w:rsidP="00FD5280">
      <w:pPr>
        <w:pStyle w:val="ListParagraph"/>
      </w:pPr>
    </w:p>
    <w:p w:rsidR="00FD5280" w:rsidRDefault="00FD5280" w:rsidP="00FD5280">
      <w:pPr>
        <w:pStyle w:val="ListParagraph"/>
      </w:pPr>
      <w:r>
        <w:t>Evaluation – the officer will evaluate their own performance during the interview along with the course of the investigation</w:t>
      </w:r>
    </w:p>
    <w:p w:rsidR="00960EC8" w:rsidRDefault="00960EC8" w:rsidP="00FD5280">
      <w:pPr>
        <w:pStyle w:val="ListParagraph"/>
      </w:pPr>
    </w:p>
    <w:p w:rsidR="00FD5280" w:rsidRDefault="00FD5280" w:rsidP="00FD5280">
      <w:pPr>
        <w:pStyle w:val="ListParagraph"/>
        <w:numPr>
          <w:ilvl w:val="0"/>
          <w:numId w:val="1"/>
        </w:numPr>
      </w:pPr>
      <w:r>
        <w:t>A person (A) commits an offence if they repeatedly or continuously engage in behaviour towards another person (B) which is controlling or coercive. At the time of the behaviour, (A) and (B) are personally connected to each other. The behaviour has a serious effect on (B), and (A) knows or ought to know that the behaviour has a serious effect on (B).</w:t>
      </w:r>
    </w:p>
    <w:p w:rsidR="00FD5280" w:rsidRDefault="00FD5280" w:rsidP="00FD5280"/>
    <w:p w:rsidR="00FD5280" w:rsidRDefault="00960EC8" w:rsidP="00FD5280">
      <w:pPr>
        <w:pStyle w:val="ListParagraph"/>
        <w:numPr>
          <w:ilvl w:val="0"/>
          <w:numId w:val="1"/>
        </w:numPr>
      </w:pPr>
      <w:r>
        <w:t xml:space="preserve">Coercive control is important as it is very often an offence which is committed behind closed doors and can have a devastating effect on the victim. The behaviour of the offender is often very discreet to the outside world but they feel a sense of ownership of a person by telling them what they can and can’t do, who they can or can’t speak to, and where they can or can’t go. It makes the victim feel powerless and worthless, which can send them into a deep state of depression and fear, feeling like they have no option but to conform with what their offender tells them to do as the consequences of them not adhering could potentially be fatal. Coercive control often doesn’t involve physical contact, it’s where the offender manipulates and continuously instils a sense of power over the victim so they must always stay within their rules. </w:t>
      </w:r>
    </w:p>
    <w:p w:rsidR="00FD5280" w:rsidRDefault="00FD5280" w:rsidP="00FD5280">
      <w:pPr>
        <w:pStyle w:val="ListParagraph"/>
      </w:pPr>
    </w:p>
    <w:p w:rsidR="00FD5280" w:rsidRDefault="00EF1FD6" w:rsidP="00FD5280">
      <w:pPr>
        <w:pStyle w:val="ListParagraph"/>
        <w:numPr>
          <w:ilvl w:val="0"/>
          <w:numId w:val="1"/>
        </w:numPr>
      </w:pPr>
      <w:r>
        <w:t xml:space="preserve">If a police officer believes a child is at risk of significant harm, it is possible for them to take the child into police protection for no longer than 72 hours if it is not possible to contact social services or an appropriate family member is not able to safely take responsibility of the child. This is also known as a police protection order. The mnemonic ASPIRE helps to assist police officers in situations where they attend a property where there are clear signs of child neglect. Arresting the person who is responsible for neglecting the child ensures immediate safety and protection for the child from that person. Securing and preserving the evidence at the scene at the earliest opportunity helps with the investigation, which is also </w:t>
      </w:r>
      <w:r w:rsidR="00960EC8">
        <w:t>assisted by photographing everything you see, for instance empty food cupboards, out of date food and faeces around the house, whilst also using bodyworn it’s important to make observations on what you see whilst inspecting. Gathering initial first accounts is important as it will highlight the true effect of the discovery, then recording all the actions you’ve undertaken which includes PPN submissions and updating NICHE. Contacting the emergency duty team is imperative as it shapes the course for whoever will take responsibility of the child in the aftermath of this incident.</w:t>
      </w:r>
    </w:p>
    <w:p w:rsidR="00FD5280" w:rsidRDefault="00FD5280" w:rsidP="00FD5280">
      <w:pPr>
        <w:pStyle w:val="ListParagraph"/>
      </w:pPr>
    </w:p>
    <w:p w:rsidR="00FD5280" w:rsidRDefault="00FD5280" w:rsidP="00FD5280">
      <w:pPr>
        <w:pStyle w:val="ListParagraph"/>
        <w:numPr>
          <w:ilvl w:val="0"/>
          <w:numId w:val="1"/>
        </w:numPr>
      </w:pPr>
      <w:r>
        <w:t>It is an offence for a person aged 16 or over who, having responsibility for a child aged under 16, wilfully assaults, ill-treats, neglects, abandons or exposes the child in a manner which is likely to cause suffering or injury to health.</w:t>
      </w:r>
    </w:p>
    <w:p w:rsidR="00FD5280" w:rsidRDefault="00FD5280" w:rsidP="00FD5280">
      <w:pPr>
        <w:pStyle w:val="ListParagraph"/>
      </w:pPr>
    </w:p>
    <w:p w:rsidR="00FD5280" w:rsidRDefault="00960EC8" w:rsidP="00FD5280">
      <w:pPr>
        <w:pStyle w:val="ListParagraph"/>
        <w:numPr>
          <w:ilvl w:val="0"/>
          <w:numId w:val="1"/>
        </w:numPr>
      </w:pPr>
      <w:r>
        <w:lastRenderedPageBreak/>
        <w:t>The model which assists the police and other authorities to identify domestic abuse is the DASH model. DASH is abbreviated for “Domestic Abuse Stalking and Harassment (including honour based abuse and female genital mutilation)”. This model consists of 24 questions which are included in the PPN which is a mandatory requirement for police officers to complete when attending any of these types of incidents. Following asking the victim all these questions, they will be placed as Standard, Medium or High risk depending on the answers they provide, and any high risk victims will be referred to MARAC (Multi Agency Risk Assessment Conference) which includes agencies like social services, housing, IDVA and education who will come together and discuss the finding and propose suitable arrangements for the victim. MARAC helps to identify high risk offenders based on research of a history of domestic abuse cases. When completing a DASH submission, officers are advised not to use police jargon as the forms are needed to be understood by these other agencies.</w:t>
      </w:r>
    </w:p>
    <w:p w:rsidR="00FD5280" w:rsidRDefault="00FD5280" w:rsidP="00FD5280">
      <w:pPr>
        <w:pStyle w:val="ListParagraph"/>
      </w:pPr>
    </w:p>
    <w:p w:rsidR="00FD5280" w:rsidRDefault="00960EC8" w:rsidP="00FD5280">
      <w:pPr>
        <w:pStyle w:val="ListParagraph"/>
        <w:numPr>
          <w:ilvl w:val="0"/>
          <w:numId w:val="1"/>
        </w:numPr>
      </w:pPr>
      <w:r>
        <w:t xml:space="preserve">A Public Protection Notification (PPN) is a mandatory requirement for officers to complete and submit when attending any Domestic Abuse, Child Abuse, Stalking and Harassment, Honour Based Abuse or Female Genital Mutilation incident. It’s imperative that the attending officer takes as much information as possible from the victim and completes a PPN for anyone affected by the incident (particularly any children who reside at the address). The PPN consists a range of 29 questions, the answers of which will determine what category the victim is placed into (Standard, Medium or High) and this information will notify the PPN team who will follow up with the victim to offer advice and help about support that can be provided by agencies such as women’s aid, housing and social services. It’s important the victim is treated with compassion and to understand that very often this will be following a traumatic experience so they will need to have patience with the victim while they answer these sensitive questions. Regardless of how many times a victim has had a PPN submitted for them in the past, it is a mandatory requirement that one is completed for every incident.  </w:t>
      </w:r>
    </w:p>
    <w:p w:rsidR="00FD5280" w:rsidRDefault="00FD5280" w:rsidP="00FD5280">
      <w:pPr>
        <w:pStyle w:val="ListParagraph"/>
      </w:pPr>
    </w:p>
    <w:p w:rsidR="00FD5280" w:rsidRDefault="00960EC8" w:rsidP="00FD5280">
      <w:pPr>
        <w:pStyle w:val="ListParagraph"/>
        <w:numPr>
          <w:ilvl w:val="0"/>
          <w:numId w:val="1"/>
        </w:numPr>
      </w:pPr>
      <w:r>
        <w:t>A Domestic Violence Protection Notice (DVPN) can be applied for by the police in the immediate aftermath of a domestic violence incident. This notice prevents the offender from having contact with the victim, and prevents them from living at, attending or evicting the victim from the address where they reside. The police officer who applies for the DVPN must complete the relevant forms and have them checked by their sergeant before gaining authorisation which needs to be by a Superintendent or above, who is the authorising officer and must take into account the victims circumstances along with anyone else who resides at the address, and having reasonable grounds to believe that violence has been used and there is a significant risk of it happening again. The notice is served in person by the police to the offender. Once submitted, a DVPN must be heard by a magistrates court within 48 hours (which will be heard whether the offender is present or not) which is where a DVPO can be applied for which will impose further restrictions on the offender for a period between 14 and 28 days. This is to give the victim sufficient time to decide what they wish to do going forward and for them to gain as much support from the varying agencies following the submission of a PPN from the police officers. Breach of a DVPN/DVPO is a criminal offence, therefore the offender will be arrested if they do not adhere to the stipulations, which can also include not to come within a specified distance of the property/victim and not to contact them by mail/phone/social media.</w:t>
      </w:r>
    </w:p>
    <w:p w:rsidR="00FD5280" w:rsidRDefault="00FD5280" w:rsidP="00FD5280">
      <w:pPr>
        <w:pStyle w:val="ListParagraph"/>
      </w:pPr>
    </w:p>
    <w:p w:rsidR="00FD5280" w:rsidRDefault="00FD5280" w:rsidP="00FD5280">
      <w:pPr>
        <w:pStyle w:val="ListParagraph"/>
        <w:numPr>
          <w:ilvl w:val="0"/>
          <w:numId w:val="1"/>
        </w:numPr>
      </w:pPr>
      <w:r>
        <w:lastRenderedPageBreak/>
        <w:t>Child sexual exploitation is a form of child sexual abuse. It occurs when an individual or group take advantage of an imbalance of power to coerce, manipulate or deceive a child or young person under the age of 18 into sexual activity;</w:t>
      </w:r>
    </w:p>
    <w:p w:rsidR="00FD5280" w:rsidRDefault="00FD5280" w:rsidP="00FD5280">
      <w:pPr>
        <w:pStyle w:val="ListParagraph"/>
        <w:numPr>
          <w:ilvl w:val="0"/>
          <w:numId w:val="2"/>
        </w:numPr>
      </w:pPr>
      <w:r>
        <w:t>In exchange for something the victim needs or wants, and/or</w:t>
      </w:r>
    </w:p>
    <w:p w:rsidR="00FD5280" w:rsidRDefault="00FD5280" w:rsidP="00FD5280">
      <w:pPr>
        <w:pStyle w:val="ListParagraph"/>
        <w:numPr>
          <w:ilvl w:val="0"/>
          <w:numId w:val="2"/>
        </w:numPr>
      </w:pPr>
      <w:r>
        <w:t>For financial advantage or an increased status for the perpetrator or facilitator.</w:t>
      </w:r>
    </w:p>
    <w:p w:rsidR="00FD5280" w:rsidRDefault="00FD5280" w:rsidP="00FD5280">
      <w:pPr>
        <w:ind w:left="720"/>
      </w:pPr>
      <w:r>
        <w:t>A victim may have been sexually exploited even if the act appears consensual.</w:t>
      </w:r>
    </w:p>
    <w:p w:rsidR="00FD5280" w:rsidRDefault="00FD5280" w:rsidP="00FD5280">
      <w:pPr>
        <w:ind w:left="720"/>
      </w:pPr>
      <w:r>
        <w:t>Child sexual exploitation doesn’t always involve physical contact, it can also occur through the use of technology.</w:t>
      </w:r>
    </w:p>
    <w:p w:rsidR="00FD5280" w:rsidRDefault="00FD5280" w:rsidP="00FD5280">
      <w:pPr>
        <w:pStyle w:val="ListParagraph"/>
        <w:numPr>
          <w:ilvl w:val="0"/>
          <w:numId w:val="1"/>
        </w:numPr>
      </w:pPr>
      <w:r>
        <w:t>A person (A) is guilty of rape if he intentionally penetrates the anus, vagina or mouth of another person (B) with his penis, (B) does not consent to the penetration and (A) does not reasonably believe that (B) consents.</w:t>
      </w:r>
    </w:p>
    <w:p w:rsidR="00FD5280" w:rsidRDefault="00FD5280" w:rsidP="00FD5280">
      <w:pPr>
        <w:ind w:left="360"/>
      </w:pPr>
    </w:p>
    <w:p w:rsidR="00FD5280" w:rsidRDefault="00FD5280" w:rsidP="00FD5280">
      <w:pPr>
        <w:pStyle w:val="ListParagraph"/>
        <w:numPr>
          <w:ilvl w:val="0"/>
          <w:numId w:val="1"/>
        </w:numPr>
      </w:pPr>
      <w:r>
        <w:t>If a court has proven that a person has committed the sexual act and any of the evidential presumptions are present, then the person is guilty of the offence. Evidential presumptions include the following;</w:t>
      </w:r>
    </w:p>
    <w:p w:rsidR="00FD5280" w:rsidRDefault="00FD5280" w:rsidP="00FD5280">
      <w:pPr>
        <w:pStyle w:val="ListParagraph"/>
      </w:pPr>
    </w:p>
    <w:p w:rsidR="00FD5280" w:rsidRDefault="00FD5280" w:rsidP="00FD5280">
      <w:pPr>
        <w:pStyle w:val="ListParagraph"/>
      </w:pPr>
      <w:r>
        <w:t>The victim being unlawfully detained at the time of the act</w:t>
      </w:r>
    </w:p>
    <w:p w:rsidR="00FD5280" w:rsidRDefault="00FD5280" w:rsidP="00FD5280">
      <w:pPr>
        <w:pStyle w:val="ListParagraph"/>
      </w:pPr>
      <w:r>
        <w:t>Violence is being threatened against the victim</w:t>
      </w:r>
    </w:p>
    <w:p w:rsidR="00FD5280" w:rsidRDefault="00FD5280" w:rsidP="00FD5280">
      <w:pPr>
        <w:pStyle w:val="ListParagraph"/>
      </w:pPr>
      <w:r>
        <w:t>The victim is sleeping or otherwise unconscious</w:t>
      </w:r>
    </w:p>
    <w:p w:rsidR="00FD5280" w:rsidRDefault="00FD5280" w:rsidP="00FD5280">
      <w:pPr>
        <w:pStyle w:val="ListParagraph"/>
      </w:pPr>
      <w:r>
        <w:t>The victim has a disability which impairs them from being able to provide consent</w:t>
      </w:r>
    </w:p>
    <w:p w:rsidR="00FD5280" w:rsidRDefault="00FD5280" w:rsidP="00FD5280">
      <w:pPr>
        <w:pStyle w:val="ListParagraph"/>
      </w:pPr>
      <w:r>
        <w:t>Violence is being threatened towards another person and the victim feels they need to go ahead with the sexual act to prevent this from happening</w:t>
      </w:r>
    </w:p>
    <w:p w:rsidR="00FD5280" w:rsidRDefault="00FD5280" w:rsidP="00FD5280">
      <w:pPr>
        <w:pStyle w:val="ListParagraph"/>
      </w:pPr>
      <w:r>
        <w:t>The victim has been stupefied or drugged by a substance.</w:t>
      </w:r>
    </w:p>
    <w:p w:rsidR="00FD5280" w:rsidRDefault="00FD5280" w:rsidP="00FD5280">
      <w:pPr>
        <w:pStyle w:val="ListParagraph"/>
      </w:pPr>
    </w:p>
    <w:p w:rsidR="00FD5280" w:rsidRDefault="00FD5280" w:rsidP="00FD5280">
      <w:pPr>
        <w:pStyle w:val="ListParagraph"/>
        <w:numPr>
          <w:ilvl w:val="0"/>
          <w:numId w:val="1"/>
        </w:numPr>
      </w:pPr>
      <w:r>
        <w:t xml:space="preserve">Section 18 of PACE gives the police a power to search a property of a person following their arrest if they have reasonably grounds to believe there is evidence relating to the offence in the property. Authorisation </w:t>
      </w:r>
      <w:r w:rsidR="00960EC8">
        <w:t xml:space="preserve">to search </w:t>
      </w:r>
      <w:r>
        <w:t>is required by a bronze inspector or above.</w:t>
      </w:r>
    </w:p>
    <w:p w:rsidR="00960EC8" w:rsidRDefault="00960EC8" w:rsidP="00960EC8"/>
    <w:p w:rsidR="00960EC8" w:rsidRDefault="00960EC8" w:rsidP="00960EC8">
      <w:pPr>
        <w:pStyle w:val="ListParagraph"/>
        <w:numPr>
          <w:ilvl w:val="0"/>
          <w:numId w:val="1"/>
        </w:numPr>
      </w:pPr>
      <w:r>
        <w:t>The police have a power to seize any property which has been involved in the commission of an offence, or any implement which can be used to escape or harm others. This power involves exhibiting the seized property</w:t>
      </w:r>
      <w:r w:rsidR="00645F88">
        <w:t xml:space="preserve"> and it’s important to reference correctly for continuity when presented at court.</w:t>
      </w:r>
    </w:p>
    <w:p w:rsidR="00FD5280" w:rsidRDefault="00FD5280" w:rsidP="00FD5280">
      <w:pPr>
        <w:ind w:left="720"/>
      </w:pPr>
    </w:p>
    <w:sectPr w:rsidR="00FD5280" w:rsidSect="00461E8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0EC8" w:rsidRDefault="00960EC8" w:rsidP="00461E86">
      <w:pPr>
        <w:spacing w:after="0" w:line="240" w:lineRule="auto"/>
      </w:pPr>
      <w:r>
        <w:separator/>
      </w:r>
    </w:p>
  </w:endnote>
  <w:endnote w:type="continuationSeparator" w:id="0">
    <w:p w:rsidR="00960EC8" w:rsidRDefault="00960EC8" w:rsidP="00461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EC8" w:rsidRDefault="00354312" w:rsidP="00354312">
    <w:pPr>
      <w:pStyle w:val="Footer"/>
      <w:rPr>
        <w:color w:val="000000"/>
        <w:sz w:val="17"/>
      </w:rPr>
    </w:pPr>
    <w:bookmarkStart w:id="3" w:name="TITUS1FooterEvenPages"/>
    <w:r>
      <w:rPr>
        <w:color w:val="000000"/>
        <w:sz w:val="17"/>
      </w:rPr>
      <w:t> </w:t>
    </w:r>
  </w:p>
  <w:bookmarkEnd w:id="3"/>
  <w:p w:rsidR="00960EC8" w:rsidRDefault="00960EC8" w:rsidP="00FD5280">
    <w:pPr>
      <w:pStyle w:val="Footer"/>
    </w:pPr>
  </w:p>
  <w:p w:rsidR="00960EC8" w:rsidRDefault="00960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EC8" w:rsidRDefault="00354312" w:rsidP="00354312">
    <w:pPr>
      <w:pStyle w:val="Footer"/>
      <w:rPr>
        <w:color w:val="000000"/>
        <w:sz w:val="17"/>
      </w:rPr>
    </w:pPr>
    <w:bookmarkStart w:id="4" w:name="TITUS1FooterPrimary"/>
    <w:r>
      <w:rPr>
        <w:color w:val="000000"/>
        <w:sz w:val="17"/>
      </w:rPr>
      <w:t> </w:t>
    </w:r>
  </w:p>
  <w:bookmarkEnd w:id="4"/>
  <w:p w:rsidR="00960EC8" w:rsidRDefault="00960E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EC8" w:rsidRDefault="00354312" w:rsidP="00354312">
    <w:pPr>
      <w:pStyle w:val="Footer"/>
      <w:rPr>
        <w:color w:val="000000"/>
        <w:sz w:val="17"/>
      </w:rPr>
    </w:pPr>
    <w:bookmarkStart w:id="6" w:name="TITUS1FooterFirstPage"/>
    <w:r>
      <w:rPr>
        <w:color w:val="000000"/>
        <w:sz w:val="17"/>
      </w:rPr>
      <w:t> </w:t>
    </w:r>
  </w:p>
  <w:bookmarkEnd w:id="6"/>
  <w:p w:rsidR="00960EC8" w:rsidRDefault="00960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0EC8" w:rsidRDefault="00960EC8" w:rsidP="00461E86">
      <w:pPr>
        <w:spacing w:after="0" w:line="240" w:lineRule="auto"/>
      </w:pPr>
      <w:r>
        <w:separator/>
      </w:r>
    </w:p>
  </w:footnote>
  <w:footnote w:type="continuationSeparator" w:id="0">
    <w:p w:rsidR="00960EC8" w:rsidRDefault="00960EC8" w:rsidP="00461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EC8" w:rsidRDefault="00354312" w:rsidP="00354312">
    <w:pPr>
      <w:pStyle w:val="Header"/>
      <w:rPr>
        <w:color w:val="000000"/>
        <w:sz w:val="17"/>
      </w:rPr>
    </w:pPr>
    <w:bookmarkStart w:id="1" w:name="TITUS1HeaderEvenPages"/>
    <w:r>
      <w:rPr>
        <w:color w:val="000000"/>
        <w:sz w:val="17"/>
      </w:rPr>
      <w:t> </w:t>
    </w:r>
  </w:p>
  <w:bookmarkEnd w:id="1"/>
  <w:p w:rsidR="00960EC8" w:rsidRDefault="00960EC8" w:rsidP="00FD5280">
    <w:pPr>
      <w:pStyle w:val="Header"/>
    </w:pPr>
  </w:p>
  <w:p w:rsidR="00960EC8" w:rsidRDefault="00960E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EC8" w:rsidRDefault="00354312" w:rsidP="00354312">
    <w:pPr>
      <w:pStyle w:val="Header"/>
      <w:rPr>
        <w:color w:val="000000"/>
        <w:sz w:val="17"/>
      </w:rPr>
    </w:pPr>
    <w:bookmarkStart w:id="2" w:name="TITUS1HeaderPrimary"/>
    <w:r>
      <w:rPr>
        <w:color w:val="000000"/>
        <w:sz w:val="17"/>
      </w:rPr>
      <w:t> </w:t>
    </w:r>
  </w:p>
  <w:bookmarkEnd w:id="2"/>
  <w:p w:rsidR="00960EC8" w:rsidRDefault="00960E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EC8" w:rsidRDefault="00354312" w:rsidP="00354312">
    <w:pPr>
      <w:pStyle w:val="Header"/>
      <w:rPr>
        <w:color w:val="000000"/>
        <w:sz w:val="17"/>
      </w:rPr>
    </w:pPr>
    <w:bookmarkStart w:id="5" w:name="TITUS1HeaderFirstPage"/>
    <w:r>
      <w:rPr>
        <w:color w:val="000000"/>
        <w:sz w:val="17"/>
      </w:rPr>
      <w:t> </w:t>
    </w:r>
  </w:p>
  <w:bookmarkEnd w:id="5"/>
  <w:p w:rsidR="00960EC8" w:rsidRDefault="00960E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A16E0C"/>
    <w:multiLevelType w:val="hybridMultilevel"/>
    <w:tmpl w:val="DAAEF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C365E"/>
    <w:multiLevelType w:val="hybridMultilevel"/>
    <w:tmpl w:val="170A52AC"/>
    <w:lvl w:ilvl="0" w:tplc="B90804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E86"/>
    <w:rsid w:val="00354312"/>
    <w:rsid w:val="00461E86"/>
    <w:rsid w:val="00645F88"/>
    <w:rsid w:val="00960EC8"/>
    <w:rsid w:val="00BC50C9"/>
    <w:rsid w:val="00EF1FD6"/>
    <w:rsid w:val="00FD5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67DFB2"/>
  <w15:chartTrackingRefBased/>
  <w15:docId w15:val="{7180B998-CE6B-4713-B21F-52CD64098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1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E86"/>
  </w:style>
  <w:style w:type="paragraph" w:styleId="Footer">
    <w:name w:val="footer"/>
    <w:basedOn w:val="Normal"/>
    <w:link w:val="FooterChar"/>
    <w:uiPriority w:val="99"/>
    <w:unhideWhenUsed/>
    <w:rsid w:val="00461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E86"/>
  </w:style>
  <w:style w:type="paragraph" w:styleId="ListParagraph">
    <w:name w:val="List Paragraph"/>
    <w:basedOn w:val="Normal"/>
    <w:uiPriority w:val="34"/>
    <w:qFormat/>
    <w:rsid w:val="00FD52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5</Pages>
  <Words>2015</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Edwards,Lewiss swp6935</dc:creator>
  <cp:keywords/>
  <dc:description/>
  <cp:lastModifiedBy>Edwards,Lewiss swp6935</cp:lastModifiedBy>
  <cp:revision>4</cp:revision>
  <dcterms:created xsi:type="dcterms:W3CDTF">2021-08-23T11:55:00Z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86a4a2df-ed2c-4657-97ae-0567d779f4df</vt:lpwstr>
  </property>
  <property fmtid="{D5CDD505-2E9C-101B-9397-08002B2CF9AE}" pid="3" name="Classification">
    <vt:lpwstr>OFFICIAL</vt:lpwstr>
  </property>
  <property fmtid="{D5CDD505-2E9C-101B-9397-08002B2CF9AE}" pid="4" name="Visibility">
    <vt:lpwstr>NOT VISIBLE</vt:lpwstr>
  </property>
</Properties>
</file>