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7D366C" w14:textId="3AE3C3CF" w:rsidR="0086453B" w:rsidRPr="00EB482A" w:rsidRDefault="0086453B" w:rsidP="0086453B">
      <w:pPr>
        <w:outlineLvl w:val="0"/>
        <w:rPr>
          <w:rFonts w:ascii="Arial" w:hAnsi="Arial" w:cs="Arial"/>
          <w:b/>
          <w:bCs/>
          <w:color w:val="FFFFFF"/>
          <w:kern w:val="36"/>
          <w:sz w:val="22"/>
          <w:szCs w:val="22"/>
        </w:rPr>
      </w:pPr>
      <w:bookmarkStart w:id="0" w:name="_Toc213935659"/>
      <w:bookmarkStart w:id="1" w:name="_Toc213935799"/>
      <w:bookmarkStart w:id="2" w:name="_Toc214199962"/>
      <w:bookmarkStart w:id="3" w:name="_Toc214200165"/>
      <w:r w:rsidRPr="00EB482A">
        <w:rPr>
          <w:rFonts w:ascii="Arial" w:hAnsi="Arial" w:cs="Arial"/>
          <w:b/>
          <w:bCs/>
          <w:color w:val="FFFFFF"/>
          <w:kern w:val="36"/>
          <w:sz w:val="22"/>
          <w:szCs w:val="22"/>
        </w:rPr>
        <w:t>Research Methods and Field Study Experience (BMTP5022)</w:t>
      </w:r>
      <w:bookmarkEnd w:id="0"/>
      <w:bookmarkEnd w:id="1"/>
      <w:bookmarkEnd w:id="2"/>
      <w:bookmarkEnd w:id="3"/>
    </w:p>
    <w:p w14:paraId="1F57720F" w14:textId="77777777" w:rsidR="0086453B" w:rsidRPr="00EB482A" w:rsidRDefault="0086453B" w:rsidP="0086453B">
      <w:pPr>
        <w:jc w:val="center"/>
        <w:rPr>
          <w:rFonts w:ascii="Arial" w:hAnsi="Arial" w:cs="Arial"/>
          <w:sz w:val="22"/>
          <w:szCs w:val="22"/>
        </w:rPr>
      </w:pPr>
    </w:p>
    <w:p w14:paraId="3E9BC957" w14:textId="77777777" w:rsidR="0086453B" w:rsidRPr="00EB482A" w:rsidRDefault="0086453B" w:rsidP="0086453B">
      <w:pPr>
        <w:jc w:val="center"/>
        <w:rPr>
          <w:rFonts w:ascii="Arial" w:hAnsi="Arial" w:cs="Arial"/>
          <w:sz w:val="22"/>
          <w:szCs w:val="22"/>
        </w:rPr>
      </w:pPr>
    </w:p>
    <w:p w14:paraId="6FBC1144" w14:textId="77777777" w:rsidR="0086453B" w:rsidRPr="00EB482A" w:rsidRDefault="0086453B" w:rsidP="0086453B">
      <w:pPr>
        <w:jc w:val="center"/>
        <w:rPr>
          <w:rFonts w:ascii="Arial" w:hAnsi="Arial" w:cs="Arial"/>
          <w:sz w:val="22"/>
          <w:szCs w:val="22"/>
        </w:rPr>
      </w:pPr>
    </w:p>
    <w:p w14:paraId="22D342FC" w14:textId="77777777" w:rsidR="0086453B" w:rsidRPr="00EB482A" w:rsidRDefault="0086453B" w:rsidP="0086453B">
      <w:pPr>
        <w:jc w:val="center"/>
        <w:rPr>
          <w:rFonts w:ascii="Arial" w:hAnsi="Arial" w:cs="Arial"/>
          <w:sz w:val="22"/>
          <w:szCs w:val="22"/>
        </w:rPr>
      </w:pPr>
    </w:p>
    <w:p w14:paraId="07D6A2A8" w14:textId="77777777" w:rsidR="0086453B" w:rsidRPr="00EB482A" w:rsidRDefault="0086453B" w:rsidP="0086453B">
      <w:pPr>
        <w:jc w:val="center"/>
        <w:rPr>
          <w:rFonts w:ascii="Arial" w:hAnsi="Arial" w:cs="Arial"/>
          <w:sz w:val="22"/>
          <w:szCs w:val="22"/>
        </w:rPr>
      </w:pPr>
    </w:p>
    <w:p w14:paraId="603193B1" w14:textId="77777777" w:rsidR="00E02387" w:rsidRPr="00EB482A" w:rsidRDefault="00E02387" w:rsidP="0086453B">
      <w:pPr>
        <w:jc w:val="center"/>
        <w:rPr>
          <w:rFonts w:ascii="Arial" w:hAnsi="Arial" w:cs="Arial"/>
          <w:sz w:val="22"/>
          <w:szCs w:val="22"/>
        </w:rPr>
      </w:pPr>
    </w:p>
    <w:p w14:paraId="21BC9798" w14:textId="77777777" w:rsidR="00E02387" w:rsidRPr="00EB482A" w:rsidRDefault="00E02387" w:rsidP="0086453B">
      <w:pPr>
        <w:jc w:val="center"/>
        <w:rPr>
          <w:rFonts w:ascii="Arial" w:hAnsi="Arial" w:cs="Arial"/>
          <w:sz w:val="22"/>
          <w:szCs w:val="22"/>
        </w:rPr>
      </w:pPr>
    </w:p>
    <w:p w14:paraId="365005CD" w14:textId="77777777" w:rsidR="009D7E4A" w:rsidRPr="00EB482A" w:rsidRDefault="009D7E4A" w:rsidP="0086453B">
      <w:pPr>
        <w:jc w:val="center"/>
        <w:rPr>
          <w:rFonts w:ascii="Arial" w:hAnsi="Arial" w:cs="Arial"/>
          <w:sz w:val="22"/>
          <w:szCs w:val="22"/>
        </w:rPr>
      </w:pPr>
    </w:p>
    <w:p w14:paraId="619FCDF4" w14:textId="77777777" w:rsidR="009D7E4A" w:rsidRPr="00EB482A" w:rsidRDefault="009D7E4A" w:rsidP="0086453B">
      <w:pPr>
        <w:jc w:val="center"/>
        <w:rPr>
          <w:rFonts w:ascii="Arial" w:hAnsi="Arial" w:cs="Arial"/>
          <w:sz w:val="22"/>
          <w:szCs w:val="22"/>
        </w:rPr>
      </w:pPr>
    </w:p>
    <w:p w14:paraId="67E73D1A" w14:textId="77777777" w:rsidR="009D7E4A" w:rsidRDefault="009D7E4A" w:rsidP="0086453B">
      <w:pPr>
        <w:jc w:val="center"/>
        <w:rPr>
          <w:rFonts w:ascii="Arial" w:hAnsi="Arial" w:cs="Arial"/>
          <w:sz w:val="22"/>
          <w:szCs w:val="22"/>
        </w:rPr>
      </w:pPr>
    </w:p>
    <w:p w14:paraId="4BE6D549" w14:textId="77777777" w:rsidR="00EB482A" w:rsidRDefault="00EB482A" w:rsidP="0086453B">
      <w:pPr>
        <w:jc w:val="center"/>
        <w:rPr>
          <w:rFonts w:ascii="Arial" w:hAnsi="Arial" w:cs="Arial"/>
          <w:sz w:val="22"/>
          <w:szCs w:val="22"/>
        </w:rPr>
      </w:pPr>
    </w:p>
    <w:p w14:paraId="5F06B98E" w14:textId="77777777" w:rsidR="00EB482A" w:rsidRPr="00EB482A" w:rsidRDefault="00EB482A" w:rsidP="0086453B">
      <w:pPr>
        <w:jc w:val="center"/>
        <w:rPr>
          <w:rFonts w:ascii="Arial" w:hAnsi="Arial" w:cs="Arial"/>
          <w:sz w:val="22"/>
          <w:szCs w:val="22"/>
        </w:rPr>
      </w:pPr>
    </w:p>
    <w:p w14:paraId="3D2A5E2A" w14:textId="77777777" w:rsidR="009D7E4A" w:rsidRPr="00EB482A" w:rsidRDefault="009D7E4A" w:rsidP="0086453B">
      <w:pPr>
        <w:jc w:val="center"/>
        <w:rPr>
          <w:rFonts w:ascii="Arial" w:hAnsi="Arial" w:cs="Arial"/>
          <w:sz w:val="22"/>
          <w:szCs w:val="22"/>
        </w:rPr>
      </w:pPr>
    </w:p>
    <w:p w14:paraId="3829EFE2" w14:textId="77777777" w:rsidR="009D7E4A" w:rsidRPr="00EB482A" w:rsidRDefault="009D7E4A" w:rsidP="0086453B">
      <w:pPr>
        <w:jc w:val="center"/>
        <w:rPr>
          <w:rFonts w:ascii="Arial" w:hAnsi="Arial" w:cs="Arial"/>
          <w:sz w:val="22"/>
          <w:szCs w:val="22"/>
        </w:rPr>
      </w:pPr>
    </w:p>
    <w:p w14:paraId="4EB27C9B" w14:textId="77777777" w:rsidR="00010239" w:rsidRPr="00EB482A" w:rsidRDefault="00010239" w:rsidP="0086453B">
      <w:pPr>
        <w:jc w:val="center"/>
        <w:rPr>
          <w:rFonts w:ascii="Arial" w:hAnsi="Arial" w:cs="Arial"/>
          <w:sz w:val="22"/>
          <w:szCs w:val="22"/>
        </w:rPr>
      </w:pPr>
    </w:p>
    <w:p w14:paraId="4A3FEAE3" w14:textId="77777777" w:rsidR="009D7E4A" w:rsidRPr="00EB482A" w:rsidRDefault="009D7E4A" w:rsidP="0086453B">
      <w:pPr>
        <w:jc w:val="center"/>
        <w:rPr>
          <w:rFonts w:ascii="Arial" w:hAnsi="Arial" w:cs="Arial"/>
          <w:sz w:val="22"/>
          <w:szCs w:val="22"/>
        </w:rPr>
      </w:pPr>
    </w:p>
    <w:p w14:paraId="633F8088" w14:textId="77777777" w:rsidR="0086453B" w:rsidRPr="00EB482A" w:rsidRDefault="0086453B" w:rsidP="0086453B">
      <w:pPr>
        <w:jc w:val="center"/>
        <w:rPr>
          <w:rFonts w:ascii="Arial" w:hAnsi="Arial" w:cs="Arial"/>
          <w:sz w:val="22"/>
          <w:szCs w:val="22"/>
        </w:rPr>
      </w:pPr>
    </w:p>
    <w:p w14:paraId="35799836" w14:textId="77777777" w:rsidR="0086453B" w:rsidRPr="00EB482A" w:rsidRDefault="0086453B" w:rsidP="0086453B">
      <w:pPr>
        <w:jc w:val="center"/>
        <w:rPr>
          <w:rFonts w:ascii="Arial" w:hAnsi="Arial" w:cs="Arial"/>
          <w:sz w:val="22"/>
          <w:szCs w:val="22"/>
        </w:rPr>
      </w:pPr>
    </w:p>
    <w:p w14:paraId="1C866168" w14:textId="77777777" w:rsidR="00E02387" w:rsidRPr="00EB482A" w:rsidRDefault="00E02387" w:rsidP="0086453B">
      <w:pPr>
        <w:jc w:val="center"/>
        <w:rPr>
          <w:rFonts w:ascii="Arial" w:hAnsi="Arial" w:cs="Arial"/>
          <w:sz w:val="22"/>
          <w:szCs w:val="22"/>
        </w:rPr>
      </w:pPr>
    </w:p>
    <w:p w14:paraId="36CE8393" w14:textId="77777777" w:rsidR="0086453B" w:rsidRPr="00EB482A" w:rsidRDefault="0086453B" w:rsidP="0086453B">
      <w:pPr>
        <w:jc w:val="center"/>
        <w:rPr>
          <w:rFonts w:ascii="Arial" w:hAnsi="Arial" w:cs="Arial"/>
          <w:sz w:val="22"/>
          <w:szCs w:val="22"/>
        </w:rPr>
      </w:pPr>
    </w:p>
    <w:p w14:paraId="5DF2CBFD" w14:textId="56AC21EF" w:rsidR="0086453B" w:rsidRPr="00EB482A" w:rsidRDefault="0086453B" w:rsidP="009D7E4A">
      <w:pPr>
        <w:spacing w:line="360" w:lineRule="auto"/>
        <w:jc w:val="center"/>
        <w:rPr>
          <w:rFonts w:ascii="Arial" w:hAnsi="Arial" w:cs="Arial"/>
          <w:sz w:val="22"/>
          <w:szCs w:val="22"/>
        </w:rPr>
      </w:pPr>
      <w:r w:rsidRPr="00EB482A">
        <w:rPr>
          <w:rFonts w:ascii="Arial" w:hAnsi="Arial" w:cs="Arial"/>
          <w:sz w:val="22"/>
          <w:szCs w:val="22"/>
        </w:rPr>
        <w:t>Researching the Sustainability of Monorails in Public Transport.</w:t>
      </w:r>
    </w:p>
    <w:p w14:paraId="593F76AE" w14:textId="1509D6E3" w:rsidR="0086453B" w:rsidRPr="00EB482A" w:rsidRDefault="0086453B" w:rsidP="009D7E4A">
      <w:pPr>
        <w:spacing w:line="360" w:lineRule="auto"/>
        <w:jc w:val="center"/>
        <w:rPr>
          <w:rFonts w:ascii="Arial" w:hAnsi="Arial" w:cs="Arial"/>
          <w:sz w:val="22"/>
          <w:szCs w:val="22"/>
        </w:rPr>
      </w:pPr>
      <w:r w:rsidRPr="00EB482A">
        <w:rPr>
          <w:rFonts w:ascii="Arial" w:hAnsi="Arial" w:cs="Arial"/>
          <w:sz w:val="22"/>
          <w:szCs w:val="22"/>
        </w:rPr>
        <w:t>Research Methods and Field Study Experience</w:t>
      </w:r>
      <w:r w:rsidRPr="00EB482A">
        <w:rPr>
          <w:rFonts w:ascii="Arial" w:hAnsi="Arial" w:cs="Arial"/>
          <w:sz w:val="22"/>
          <w:szCs w:val="22"/>
        </w:rPr>
        <w:t>.</w:t>
      </w:r>
    </w:p>
    <w:p w14:paraId="190ABA43" w14:textId="7CB05DC2" w:rsidR="0086453B" w:rsidRPr="00EB482A" w:rsidRDefault="0086453B" w:rsidP="009D7E4A">
      <w:pPr>
        <w:spacing w:line="360" w:lineRule="auto"/>
        <w:jc w:val="center"/>
        <w:rPr>
          <w:rFonts w:ascii="Arial" w:hAnsi="Arial" w:cs="Arial"/>
          <w:sz w:val="22"/>
          <w:szCs w:val="22"/>
        </w:rPr>
      </w:pPr>
      <w:r w:rsidRPr="00EB482A">
        <w:rPr>
          <w:rFonts w:ascii="Arial" w:hAnsi="Arial" w:cs="Arial"/>
          <w:sz w:val="22"/>
          <w:szCs w:val="22"/>
        </w:rPr>
        <w:t>BMTP5022</w:t>
      </w:r>
      <w:r w:rsidRPr="00EB482A">
        <w:rPr>
          <w:rFonts w:ascii="Arial" w:hAnsi="Arial" w:cs="Arial"/>
          <w:sz w:val="22"/>
          <w:szCs w:val="22"/>
        </w:rPr>
        <w:t>.</w:t>
      </w:r>
    </w:p>
    <w:p w14:paraId="3ADE850D" w14:textId="51A57A43" w:rsidR="0086453B" w:rsidRPr="00EB482A" w:rsidRDefault="0086453B" w:rsidP="009D7E4A">
      <w:pPr>
        <w:spacing w:line="360" w:lineRule="auto"/>
        <w:jc w:val="center"/>
        <w:rPr>
          <w:rFonts w:ascii="Arial" w:hAnsi="Arial" w:cs="Arial"/>
          <w:sz w:val="22"/>
          <w:szCs w:val="22"/>
        </w:rPr>
      </w:pPr>
      <w:r w:rsidRPr="00EB482A">
        <w:rPr>
          <w:rFonts w:ascii="Arial" w:hAnsi="Arial" w:cs="Arial"/>
          <w:sz w:val="22"/>
          <w:szCs w:val="22"/>
        </w:rPr>
        <w:t xml:space="preserve">Lisa </w:t>
      </w:r>
      <w:proofErr w:type="spellStart"/>
      <w:r w:rsidRPr="00EB482A">
        <w:rPr>
          <w:rFonts w:ascii="Arial" w:hAnsi="Arial" w:cs="Arial"/>
          <w:sz w:val="22"/>
          <w:szCs w:val="22"/>
        </w:rPr>
        <w:t>Bassler</w:t>
      </w:r>
      <w:proofErr w:type="spellEnd"/>
      <w:r w:rsidRPr="00EB482A">
        <w:rPr>
          <w:rFonts w:ascii="Arial" w:hAnsi="Arial" w:cs="Arial"/>
          <w:sz w:val="22"/>
          <w:szCs w:val="22"/>
        </w:rPr>
        <w:t>.</w:t>
      </w:r>
    </w:p>
    <w:p w14:paraId="05A311BA" w14:textId="59E84852" w:rsidR="0086453B" w:rsidRPr="00EB482A" w:rsidRDefault="0086453B" w:rsidP="009D7E4A">
      <w:pPr>
        <w:spacing w:line="360" w:lineRule="auto"/>
        <w:jc w:val="center"/>
        <w:rPr>
          <w:rFonts w:ascii="Arial" w:hAnsi="Arial" w:cs="Arial"/>
          <w:sz w:val="22"/>
          <w:szCs w:val="22"/>
        </w:rPr>
      </w:pPr>
      <w:r w:rsidRPr="00EB482A">
        <w:rPr>
          <w:rFonts w:ascii="Arial" w:hAnsi="Arial" w:cs="Arial"/>
          <w:sz w:val="22"/>
          <w:szCs w:val="22"/>
        </w:rPr>
        <w:t xml:space="preserve">Nia </w:t>
      </w:r>
      <w:proofErr w:type="spellStart"/>
      <w:r w:rsidRPr="00EB482A">
        <w:rPr>
          <w:rFonts w:ascii="Arial" w:hAnsi="Arial" w:cs="Arial"/>
          <w:sz w:val="22"/>
          <w:szCs w:val="22"/>
        </w:rPr>
        <w:t>Mugford</w:t>
      </w:r>
      <w:proofErr w:type="spellEnd"/>
      <w:r w:rsidRPr="00EB482A">
        <w:rPr>
          <w:rFonts w:ascii="Arial" w:hAnsi="Arial" w:cs="Arial"/>
          <w:sz w:val="22"/>
          <w:szCs w:val="22"/>
        </w:rPr>
        <w:t>.</w:t>
      </w:r>
    </w:p>
    <w:p w14:paraId="5BEBC36B" w14:textId="3F2B56DE" w:rsidR="0086453B" w:rsidRPr="00EB482A" w:rsidRDefault="0086453B" w:rsidP="009D7E4A">
      <w:pPr>
        <w:spacing w:line="360" w:lineRule="auto"/>
        <w:jc w:val="center"/>
        <w:rPr>
          <w:rFonts w:ascii="Arial" w:hAnsi="Arial" w:cs="Arial"/>
          <w:sz w:val="22"/>
          <w:szCs w:val="22"/>
        </w:rPr>
      </w:pPr>
      <w:r w:rsidRPr="00EB482A">
        <w:rPr>
          <w:rFonts w:ascii="Arial" w:hAnsi="Arial" w:cs="Arial"/>
          <w:sz w:val="22"/>
          <w:szCs w:val="22"/>
        </w:rPr>
        <w:t>2404769</w:t>
      </w:r>
      <w:r w:rsidRPr="00EB482A">
        <w:rPr>
          <w:rFonts w:ascii="Arial" w:hAnsi="Arial" w:cs="Arial"/>
          <w:sz w:val="22"/>
          <w:szCs w:val="22"/>
        </w:rPr>
        <w:t>.</w:t>
      </w:r>
    </w:p>
    <w:p w14:paraId="06291737" w14:textId="719814FE" w:rsidR="0086453B" w:rsidRPr="00EB482A" w:rsidRDefault="0086453B" w:rsidP="009D7E4A">
      <w:pPr>
        <w:spacing w:line="360" w:lineRule="auto"/>
        <w:jc w:val="center"/>
        <w:rPr>
          <w:rFonts w:ascii="Arial" w:hAnsi="Arial" w:cs="Arial"/>
          <w:sz w:val="22"/>
          <w:szCs w:val="22"/>
        </w:rPr>
      </w:pPr>
      <w:r w:rsidRPr="00EB482A">
        <w:rPr>
          <w:rFonts w:ascii="Arial" w:hAnsi="Arial" w:cs="Arial"/>
          <w:sz w:val="22"/>
          <w:szCs w:val="22"/>
        </w:rPr>
        <w:t>Word count -</w:t>
      </w:r>
    </w:p>
    <w:p w14:paraId="22A8AD8C" w14:textId="77777777" w:rsidR="0086453B" w:rsidRPr="00EB482A" w:rsidRDefault="0086453B" w:rsidP="0086453B">
      <w:pPr>
        <w:jc w:val="center"/>
        <w:rPr>
          <w:rFonts w:ascii="Arial" w:hAnsi="Arial" w:cs="Arial"/>
          <w:sz w:val="22"/>
          <w:szCs w:val="22"/>
        </w:rPr>
      </w:pPr>
    </w:p>
    <w:p w14:paraId="1330742B" w14:textId="77777777" w:rsidR="0086453B" w:rsidRPr="00EB482A" w:rsidRDefault="0086453B" w:rsidP="0086453B">
      <w:pPr>
        <w:jc w:val="center"/>
        <w:rPr>
          <w:rFonts w:ascii="Arial" w:hAnsi="Arial" w:cs="Arial"/>
          <w:sz w:val="22"/>
          <w:szCs w:val="22"/>
        </w:rPr>
      </w:pPr>
    </w:p>
    <w:p w14:paraId="2B9C70F8" w14:textId="77777777" w:rsidR="0086453B" w:rsidRPr="00EB482A" w:rsidRDefault="0086453B" w:rsidP="0086453B">
      <w:pPr>
        <w:jc w:val="center"/>
        <w:rPr>
          <w:rFonts w:ascii="Arial" w:hAnsi="Arial" w:cs="Arial"/>
          <w:sz w:val="22"/>
          <w:szCs w:val="22"/>
        </w:rPr>
      </w:pPr>
    </w:p>
    <w:p w14:paraId="3565C897" w14:textId="77777777" w:rsidR="0086453B" w:rsidRPr="00EB482A" w:rsidRDefault="0086453B" w:rsidP="0086453B">
      <w:pPr>
        <w:jc w:val="center"/>
        <w:rPr>
          <w:rFonts w:ascii="Arial" w:hAnsi="Arial" w:cs="Arial"/>
          <w:sz w:val="22"/>
          <w:szCs w:val="22"/>
        </w:rPr>
      </w:pPr>
    </w:p>
    <w:p w14:paraId="2911E19D" w14:textId="77777777" w:rsidR="0086453B" w:rsidRPr="00EB482A" w:rsidRDefault="0086453B" w:rsidP="0086453B">
      <w:pPr>
        <w:jc w:val="center"/>
        <w:rPr>
          <w:rFonts w:ascii="Arial" w:hAnsi="Arial" w:cs="Arial"/>
          <w:sz w:val="22"/>
          <w:szCs w:val="22"/>
        </w:rPr>
      </w:pPr>
    </w:p>
    <w:p w14:paraId="2C116B79" w14:textId="77777777" w:rsidR="0086453B" w:rsidRPr="00EB482A" w:rsidRDefault="0086453B" w:rsidP="0086453B">
      <w:pPr>
        <w:jc w:val="center"/>
        <w:rPr>
          <w:rFonts w:ascii="Arial" w:hAnsi="Arial" w:cs="Arial"/>
          <w:sz w:val="22"/>
          <w:szCs w:val="22"/>
        </w:rPr>
      </w:pPr>
    </w:p>
    <w:p w14:paraId="59E1AFB4" w14:textId="77777777" w:rsidR="0086453B" w:rsidRPr="00EB482A" w:rsidRDefault="0086453B" w:rsidP="0086453B">
      <w:pPr>
        <w:jc w:val="center"/>
        <w:rPr>
          <w:rFonts w:ascii="Arial" w:hAnsi="Arial" w:cs="Arial"/>
          <w:sz w:val="22"/>
          <w:szCs w:val="22"/>
        </w:rPr>
      </w:pPr>
    </w:p>
    <w:p w14:paraId="22EB9B1E" w14:textId="77777777" w:rsidR="0086453B" w:rsidRPr="00EB482A" w:rsidRDefault="0086453B" w:rsidP="0086453B">
      <w:pPr>
        <w:jc w:val="center"/>
        <w:rPr>
          <w:rFonts w:ascii="Arial" w:hAnsi="Arial" w:cs="Arial"/>
          <w:sz w:val="22"/>
          <w:szCs w:val="22"/>
        </w:rPr>
      </w:pPr>
    </w:p>
    <w:p w14:paraId="11FD4179" w14:textId="77777777" w:rsidR="0086453B" w:rsidRPr="00EB482A" w:rsidRDefault="0086453B" w:rsidP="0086453B">
      <w:pPr>
        <w:rPr>
          <w:rFonts w:ascii="Arial" w:hAnsi="Arial" w:cs="Arial"/>
          <w:b/>
          <w:bCs/>
          <w:sz w:val="22"/>
          <w:szCs w:val="22"/>
        </w:rPr>
      </w:pPr>
    </w:p>
    <w:p w14:paraId="201485E3" w14:textId="77777777" w:rsidR="0086453B" w:rsidRPr="00EB482A" w:rsidRDefault="0086453B" w:rsidP="0086453B">
      <w:pPr>
        <w:rPr>
          <w:rFonts w:ascii="Arial" w:hAnsi="Arial" w:cs="Arial"/>
          <w:b/>
          <w:bCs/>
          <w:sz w:val="22"/>
          <w:szCs w:val="22"/>
        </w:rPr>
      </w:pPr>
    </w:p>
    <w:p w14:paraId="7EBD1365" w14:textId="77777777" w:rsidR="0086453B" w:rsidRPr="00EB482A" w:rsidRDefault="0086453B" w:rsidP="0086453B">
      <w:pPr>
        <w:rPr>
          <w:rFonts w:ascii="Arial" w:hAnsi="Arial" w:cs="Arial"/>
          <w:b/>
          <w:bCs/>
          <w:sz w:val="22"/>
          <w:szCs w:val="22"/>
        </w:rPr>
      </w:pPr>
    </w:p>
    <w:p w14:paraId="23AF2F0F" w14:textId="77777777" w:rsidR="009D7E4A" w:rsidRPr="00EB482A" w:rsidRDefault="009D7E4A" w:rsidP="0086453B">
      <w:pPr>
        <w:rPr>
          <w:rFonts w:ascii="Arial" w:hAnsi="Arial" w:cs="Arial"/>
          <w:b/>
          <w:bCs/>
          <w:sz w:val="22"/>
          <w:szCs w:val="22"/>
        </w:rPr>
      </w:pPr>
    </w:p>
    <w:p w14:paraId="709AEE5B" w14:textId="77777777" w:rsidR="009D7E4A" w:rsidRPr="00EB482A" w:rsidRDefault="009D7E4A" w:rsidP="0086453B">
      <w:pPr>
        <w:rPr>
          <w:rFonts w:ascii="Arial" w:hAnsi="Arial" w:cs="Arial"/>
          <w:b/>
          <w:bCs/>
          <w:sz w:val="22"/>
          <w:szCs w:val="22"/>
        </w:rPr>
      </w:pPr>
    </w:p>
    <w:p w14:paraId="4425FE89" w14:textId="77777777" w:rsidR="009D7E4A" w:rsidRPr="00EB482A" w:rsidRDefault="009D7E4A" w:rsidP="0086453B">
      <w:pPr>
        <w:rPr>
          <w:rFonts w:ascii="Arial" w:hAnsi="Arial" w:cs="Arial"/>
          <w:b/>
          <w:bCs/>
          <w:sz w:val="22"/>
          <w:szCs w:val="22"/>
        </w:rPr>
      </w:pPr>
    </w:p>
    <w:p w14:paraId="7CFBFDB6" w14:textId="77777777" w:rsidR="009D7E4A" w:rsidRPr="00EB482A" w:rsidRDefault="009D7E4A" w:rsidP="0086453B">
      <w:pPr>
        <w:rPr>
          <w:rFonts w:ascii="Arial" w:hAnsi="Arial" w:cs="Arial"/>
          <w:b/>
          <w:bCs/>
          <w:sz w:val="22"/>
          <w:szCs w:val="22"/>
        </w:rPr>
      </w:pPr>
    </w:p>
    <w:p w14:paraId="47EEFC9B" w14:textId="77777777" w:rsidR="009D7E4A" w:rsidRPr="00EB482A" w:rsidRDefault="009D7E4A" w:rsidP="0086453B">
      <w:pPr>
        <w:rPr>
          <w:rFonts w:ascii="Arial" w:hAnsi="Arial" w:cs="Arial"/>
          <w:b/>
          <w:bCs/>
          <w:sz w:val="22"/>
          <w:szCs w:val="22"/>
        </w:rPr>
      </w:pPr>
    </w:p>
    <w:p w14:paraId="42BE4D7E" w14:textId="77777777" w:rsidR="009D7E4A" w:rsidRPr="00EB482A" w:rsidRDefault="009D7E4A" w:rsidP="0086453B">
      <w:pPr>
        <w:rPr>
          <w:rFonts w:ascii="Arial" w:hAnsi="Arial" w:cs="Arial"/>
          <w:b/>
          <w:bCs/>
          <w:sz w:val="22"/>
          <w:szCs w:val="22"/>
        </w:rPr>
      </w:pPr>
    </w:p>
    <w:p w14:paraId="031E4ED1" w14:textId="77777777" w:rsidR="009D7E4A" w:rsidRPr="00EB482A" w:rsidRDefault="009D7E4A" w:rsidP="0086453B">
      <w:pPr>
        <w:rPr>
          <w:rFonts w:ascii="Arial" w:hAnsi="Arial" w:cs="Arial"/>
          <w:b/>
          <w:bCs/>
          <w:sz w:val="22"/>
          <w:szCs w:val="22"/>
        </w:rPr>
      </w:pPr>
    </w:p>
    <w:p w14:paraId="07618E49" w14:textId="77777777" w:rsidR="009D7E4A" w:rsidRPr="00EB482A" w:rsidRDefault="009D7E4A" w:rsidP="0086453B">
      <w:pPr>
        <w:rPr>
          <w:rFonts w:ascii="Arial" w:hAnsi="Arial" w:cs="Arial"/>
          <w:b/>
          <w:bCs/>
          <w:sz w:val="22"/>
          <w:szCs w:val="22"/>
        </w:rPr>
      </w:pPr>
    </w:p>
    <w:p w14:paraId="7014270E" w14:textId="77777777" w:rsidR="009D7E4A" w:rsidRPr="00EB482A" w:rsidRDefault="009D7E4A" w:rsidP="0086453B">
      <w:pPr>
        <w:rPr>
          <w:rFonts w:ascii="Arial" w:hAnsi="Arial" w:cs="Arial"/>
          <w:b/>
          <w:bCs/>
          <w:sz w:val="22"/>
          <w:szCs w:val="22"/>
        </w:rPr>
      </w:pPr>
    </w:p>
    <w:p w14:paraId="4B369D34" w14:textId="77777777" w:rsidR="0086453B" w:rsidRPr="00EB482A" w:rsidRDefault="0086453B" w:rsidP="0086453B">
      <w:pPr>
        <w:rPr>
          <w:rFonts w:ascii="Arial" w:hAnsi="Arial" w:cs="Arial"/>
          <w:b/>
          <w:bCs/>
          <w:sz w:val="22"/>
          <w:szCs w:val="22"/>
        </w:rPr>
      </w:pPr>
    </w:p>
    <w:sdt>
      <w:sdtPr>
        <w:id w:val="1258794482"/>
        <w:docPartObj>
          <w:docPartGallery w:val="Table of Contents"/>
          <w:docPartUnique/>
        </w:docPartObj>
      </w:sdtPr>
      <w:sdtEndPr>
        <w:rPr>
          <w:rFonts w:asciiTheme="minorHAnsi" w:eastAsiaTheme="minorEastAsia" w:hAnsiTheme="minorHAnsi" w:cstheme="minorBidi"/>
          <w:b w:val="0"/>
          <w:bCs w:val="0"/>
          <w:i/>
          <w:iCs/>
          <w:noProof/>
          <w:color w:val="auto"/>
          <w:kern w:val="2"/>
          <w:sz w:val="24"/>
          <w:szCs w:val="24"/>
          <w:lang w:val="en-GB" w:eastAsia="ko-KR"/>
          <w14:ligatures w14:val="standardContextual"/>
        </w:rPr>
      </w:sdtEndPr>
      <w:sdtContent>
        <w:p w14:paraId="04FDF40C" w14:textId="4A75D548" w:rsidR="0086453B" w:rsidRPr="0086453B" w:rsidRDefault="0086453B">
          <w:pPr>
            <w:pStyle w:val="TOCHeading"/>
            <w:rPr>
              <w:rFonts w:ascii="Arial" w:hAnsi="Arial" w:cs="Arial"/>
              <w:sz w:val="22"/>
              <w:szCs w:val="22"/>
            </w:rPr>
          </w:pPr>
          <w:r w:rsidRPr="0086453B">
            <w:rPr>
              <w:rFonts w:ascii="Arial" w:hAnsi="Arial" w:cs="Arial"/>
              <w:sz w:val="22"/>
              <w:szCs w:val="22"/>
            </w:rPr>
            <w:t>Table of Contents</w:t>
          </w:r>
        </w:p>
        <w:p w14:paraId="0A1C23FD" w14:textId="628F1D84" w:rsidR="00612D09" w:rsidRDefault="0086453B">
          <w:pPr>
            <w:pStyle w:val="TOC1"/>
            <w:tabs>
              <w:tab w:val="right" w:leader="dot" w:pos="9010"/>
            </w:tabs>
            <w:rPr>
              <w:b w:val="0"/>
              <w:bCs w:val="0"/>
              <w:i w:val="0"/>
              <w:iCs w:val="0"/>
              <w:noProof/>
            </w:rPr>
          </w:pPr>
          <w:r w:rsidRPr="0086453B">
            <w:rPr>
              <w:rFonts w:ascii="Arial" w:hAnsi="Arial" w:cs="Arial"/>
              <w:b w:val="0"/>
              <w:bCs w:val="0"/>
              <w:sz w:val="22"/>
              <w:szCs w:val="22"/>
            </w:rPr>
            <w:fldChar w:fldCharType="begin"/>
          </w:r>
          <w:r w:rsidRPr="0086453B">
            <w:rPr>
              <w:rFonts w:ascii="Arial" w:hAnsi="Arial" w:cs="Arial"/>
              <w:sz w:val="22"/>
              <w:szCs w:val="22"/>
            </w:rPr>
            <w:instrText xml:space="preserve"> TOC \o "1-3" \h \z \u </w:instrText>
          </w:r>
          <w:r w:rsidRPr="0086453B">
            <w:rPr>
              <w:rFonts w:ascii="Arial" w:hAnsi="Arial" w:cs="Arial"/>
              <w:b w:val="0"/>
              <w:bCs w:val="0"/>
              <w:sz w:val="22"/>
              <w:szCs w:val="22"/>
            </w:rPr>
            <w:fldChar w:fldCharType="separate"/>
          </w:r>
          <w:hyperlink w:anchor="_Toc214200166" w:history="1">
            <w:r w:rsidR="00612D09" w:rsidRPr="00573C90">
              <w:rPr>
                <w:rStyle w:val="Hyperlink"/>
                <w:rFonts w:ascii="Arial" w:hAnsi="Arial" w:cs="Arial"/>
                <w:noProof/>
              </w:rPr>
              <w:t>Introduction.</w:t>
            </w:r>
            <w:r w:rsidR="00612D09">
              <w:rPr>
                <w:noProof/>
                <w:webHidden/>
              </w:rPr>
              <w:tab/>
            </w:r>
            <w:r w:rsidR="00612D09">
              <w:rPr>
                <w:noProof/>
                <w:webHidden/>
              </w:rPr>
              <w:fldChar w:fldCharType="begin"/>
            </w:r>
            <w:r w:rsidR="00612D09">
              <w:rPr>
                <w:noProof/>
                <w:webHidden/>
              </w:rPr>
              <w:instrText xml:space="preserve"> PAGEREF _Toc214200166 \h </w:instrText>
            </w:r>
            <w:r w:rsidR="00612D09">
              <w:rPr>
                <w:noProof/>
                <w:webHidden/>
              </w:rPr>
            </w:r>
            <w:r w:rsidR="00612D09">
              <w:rPr>
                <w:noProof/>
                <w:webHidden/>
              </w:rPr>
              <w:fldChar w:fldCharType="separate"/>
            </w:r>
            <w:r w:rsidR="00B41FC0">
              <w:rPr>
                <w:noProof/>
                <w:webHidden/>
              </w:rPr>
              <w:t>3</w:t>
            </w:r>
            <w:r w:rsidR="00612D09">
              <w:rPr>
                <w:noProof/>
                <w:webHidden/>
              </w:rPr>
              <w:fldChar w:fldCharType="end"/>
            </w:r>
          </w:hyperlink>
        </w:p>
        <w:p w14:paraId="749D4732" w14:textId="7B7BE1DF" w:rsidR="00612D09" w:rsidRDefault="00612D09">
          <w:pPr>
            <w:pStyle w:val="TOC1"/>
            <w:tabs>
              <w:tab w:val="right" w:leader="dot" w:pos="9010"/>
            </w:tabs>
            <w:rPr>
              <w:b w:val="0"/>
              <w:bCs w:val="0"/>
              <w:i w:val="0"/>
              <w:iCs w:val="0"/>
              <w:noProof/>
            </w:rPr>
          </w:pPr>
          <w:hyperlink w:anchor="_Toc214200167" w:history="1">
            <w:r w:rsidRPr="00573C90">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_Toc214200167 \h </w:instrText>
            </w:r>
            <w:r>
              <w:rPr>
                <w:noProof/>
                <w:webHidden/>
              </w:rPr>
            </w:r>
            <w:r>
              <w:rPr>
                <w:noProof/>
                <w:webHidden/>
              </w:rPr>
              <w:fldChar w:fldCharType="separate"/>
            </w:r>
            <w:r w:rsidR="00B41FC0">
              <w:rPr>
                <w:noProof/>
                <w:webHidden/>
              </w:rPr>
              <w:t>3</w:t>
            </w:r>
            <w:r>
              <w:rPr>
                <w:noProof/>
                <w:webHidden/>
              </w:rPr>
              <w:fldChar w:fldCharType="end"/>
            </w:r>
          </w:hyperlink>
        </w:p>
        <w:p w14:paraId="50C14266" w14:textId="275FB5B7" w:rsidR="00612D09" w:rsidRDefault="00612D09">
          <w:pPr>
            <w:pStyle w:val="TOC1"/>
            <w:tabs>
              <w:tab w:val="right" w:leader="dot" w:pos="9010"/>
            </w:tabs>
            <w:rPr>
              <w:b w:val="0"/>
              <w:bCs w:val="0"/>
              <w:i w:val="0"/>
              <w:iCs w:val="0"/>
              <w:noProof/>
            </w:rPr>
          </w:pPr>
          <w:hyperlink w:anchor="_Toc214200168" w:history="1">
            <w:r w:rsidRPr="00573C90">
              <w:rPr>
                <w:rStyle w:val="Hyperlink"/>
                <w:rFonts w:ascii="Arial" w:hAnsi="Arial" w:cs="Arial"/>
                <w:noProof/>
              </w:rPr>
              <w:t>Significance of the Study.</w:t>
            </w:r>
            <w:r>
              <w:rPr>
                <w:noProof/>
                <w:webHidden/>
              </w:rPr>
              <w:tab/>
            </w:r>
            <w:r>
              <w:rPr>
                <w:noProof/>
                <w:webHidden/>
              </w:rPr>
              <w:fldChar w:fldCharType="begin"/>
            </w:r>
            <w:r>
              <w:rPr>
                <w:noProof/>
                <w:webHidden/>
              </w:rPr>
              <w:instrText xml:space="preserve"> PAGEREF _Toc214200168 \h </w:instrText>
            </w:r>
            <w:r>
              <w:rPr>
                <w:noProof/>
                <w:webHidden/>
              </w:rPr>
            </w:r>
            <w:r>
              <w:rPr>
                <w:noProof/>
                <w:webHidden/>
              </w:rPr>
              <w:fldChar w:fldCharType="separate"/>
            </w:r>
            <w:r w:rsidR="00B41FC0">
              <w:rPr>
                <w:noProof/>
                <w:webHidden/>
              </w:rPr>
              <w:t>4</w:t>
            </w:r>
            <w:r>
              <w:rPr>
                <w:noProof/>
                <w:webHidden/>
              </w:rPr>
              <w:fldChar w:fldCharType="end"/>
            </w:r>
          </w:hyperlink>
        </w:p>
        <w:p w14:paraId="211D18DA" w14:textId="0D4FAFB8" w:rsidR="00612D09" w:rsidRDefault="00612D09">
          <w:pPr>
            <w:pStyle w:val="TOC1"/>
            <w:tabs>
              <w:tab w:val="right" w:leader="dot" w:pos="9010"/>
            </w:tabs>
            <w:rPr>
              <w:b w:val="0"/>
              <w:bCs w:val="0"/>
              <w:i w:val="0"/>
              <w:iCs w:val="0"/>
              <w:noProof/>
            </w:rPr>
          </w:pPr>
          <w:hyperlink w:anchor="_Toc214200169" w:history="1">
            <w:r w:rsidRPr="00573C90">
              <w:rPr>
                <w:rStyle w:val="Hyperlink"/>
                <w:rFonts w:ascii="Arial" w:hAnsi="Arial" w:cs="Arial"/>
                <w:noProof/>
              </w:rPr>
              <w:t>Timeline &amp; Budget.</w:t>
            </w:r>
            <w:r>
              <w:rPr>
                <w:noProof/>
                <w:webHidden/>
              </w:rPr>
              <w:tab/>
            </w:r>
            <w:r>
              <w:rPr>
                <w:noProof/>
                <w:webHidden/>
              </w:rPr>
              <w:fldChar w:fldCharType="begin"/>
            </w:r>
            <w:r>
              <w:rPr>
                <w:noProof/>
                <w:webHidden/>
              </w:rPr>
              <w:instrText xml:space="preserve"> PAGEREF _Toc214200169 \h </w:instrText>
            </w:r>
            <w:r>
              <w:rPr>
                <w:noProof/>
                <w:webHidden/>
              </w:rPr>
            </w:r>
            <w:r>
              <w:rPr>
                <w:noProof/>
                <w:webHidden/>
              </w:rPr>
              <w:fldChar w:fldCharType="separate"/>
            </w:r>
            <w:r w:rsidR="00B41FC0">
              <w:rPr>
                <w:noProof/>
                <w:webHidden/>
              </w:rPr>
              <w:t>5</w:t>
            </w:r>
            <w:r>
              <w:rPr>
                <w:noProof/>
                <w:webHidden/>
              </w:rPr>
              <w:fldChar w:fldCharType="end"/>
            </w:r>
          </w:hyperlink>
        </w:p>
        <w:p w14:paraId="744F15D8" w14:textId="4D5A7F85" w:rsidR="00612D09" w:rsidRDefault="00612D09">
          <w:pPr>
            <w:pStyle w:val="TOC1"/>
            <w:tabs>
              <w:tab w:val="right" w:leader="dot" w:pos="9010"/>
            </w:tabs>
            <w:rPr>
              <w:b w:val="0"/>
              <w:bCs w:val="0"/>
              <w:i w:val="0"/>
              <w:iCs w:val="0"/>
              <w:noProof/>
            </w:rPr>
          </w:pPr>
          <w:hyperlink w:anchor="_Toc214200170" w:history="1">
            <w:r w:rsidRPr="00573C90">
              <w:rPr>
                <w:rStyle w:val="Hyperlink"/>
                <w:rFonts w:ascii="Arial" w:hAnsi="Arial" w:cs="Arial"/>
                <w:noProof/>
              </w:rPr>
              <w:t>Conclusions &amp; Limitations.</w:t>
            </w:r>
            <w:r>
              <w:rPr>
                <w:noProof/>
                <w:webHidden/>
              </w:rPr>
              <w:tab/>
            </w:r>
            <w:r>
              <w:rPr>
                <w:noProof/>
                <w:webHidden/>
              </w:rPr>
              <w:fldChar w:fldCharType="begin"/>
            </w:r>
            <w:r>
              <w:rPr>
                <w:noProof/>
                <w:webHidden/>
              </w:rPr>
              <w:instrText xml:space="preserve"> PAGEREF _Toc214200170 \h </w:instrText>
            </w:r>
            <w:r>
              <w:rPr>
                <w:noProof/>
                <w:webHidden/>
              </w:rPr>
            </w:r>
            <w:r>
              <w:rPr>
                <w:noProof/>
                <w:webHidden/>
              </w:rPr>
              <w:fldChar w:fldCharType="separate"/>
            </w:r>
            <w:r w:rsidR="00B41FC0">
              <w:rPr>
                <w:noProof/>
                <w:webHidden/>
              </w:rPr>
              <w:t>5</w:t>
            </w:r>
            <w:r>
              <w:rPr>
                <w:noProof/>
                <w:webHidden/>
              </w:rPr>
              <w:fldChar w:fldCharType="end"/>
            </w:r>
          </w:hyperlink>
        </w:p>
        <w:p w14:paraId="1905F795" w14:textId="200094C4" w:rsidR="00612D09" w:rsidRDefault="00612D09">
          <w:pPr>
            <w:pStyle w:val="TOC1"/>
            <w:tabs>
              <w:tab w:val="right" w:leader="dot" w:pos="9010"/>
            </w:tabs>
            <w:rPr>
              <w:b w:val="0"/>
              <w:bCs w:val="0"/>
              <w:i w:val="0"/>
              <w:iCs w:val="0"/>
              <w:noProof/>
            </w:rPr>
          </w:pPr>
          <w:hyperlink w:anchor="_Toc214200171" w:history="1">
            <w:r w:rsidRPr="00573C9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_Toc214200171 \h </w:instrText>
            </w:r>
            <w:r>
              <w:rPr>
                <w:noProof/>
                <w:webHidden/>
              </w:rPr>
            </w:r>
            <w:r>
              <w:rPr>
                <w:noProof/>
                <w:webHidden/>
              </w:rPr>
              <w:fldChar w:fldCharType="separate"/>
            </w:r>
            <w:r w:rsidR="00B41FC0">
              <w:rPr>
                <w:noProof/>
                <w:webHidden/>
              </w:rPr>
              <w:t>5</w:t>
            </w:r>
            <w:r>
              <w:rPr>
                <w:noProof/>
                <w:webHidden/>
              </w:rPr>
              <w:fldChar w:fldCharType="end"/>
            </w:r>
          </w:hyperlink>
        </w:p>
        <w:p w14:paraId="68CED030" w14:textId="14F7C934" w:rsidR="0086453B" w:rsidRPr="00612D09" w:rsidRDefault="0086453B" w:rsidP="00612D09">
          <w:pPr>
            <w:pStyle w:val="TOC1"/>
            <w:tabs>
              <w:tab w:val="right" w:leader="dot" w:pos="9010"/>
            </w:tabs>
            <w:rPr>
              <w:b w:val="0"/>
              <w:bCs w:val="0"/>
              <w:i w:val="0"/>
              <w:iCs w:val="0"/>
              <w:noProof/>
            </w:rPr>
          </w:pPr>
          <w:r w:rsidRPr="0086453B">
            <w:rPr>
              <w:rFonts w:ascii="Arial" w:hAnsi="Arial" w:cs="Arial"/>
              <w:b w:val="0"/>
              <w:bCs w:val="0"/>
              <w:noProof/>
              <w:sz w:val="22"/>
              <w:szCs w:val="22"/>
            </w:rPr>
            <w:fldChar w:fldCharType="end"/>
          </w:r>
        </w:p>
      </w:sdtContent>
    </w:sdt>
    <w:p w14:paraId="1AA702C5" w14:textId="77777777" w:rsidR="0086453B" w:rsidRDefault="0086453B" w:rsidP="0086453B">
      <w:pPr>
        <w:rPr>
          <w:rFonts w:ascii="Arial" w:hAnsi="Arial" w:cs="Arial"/>
          <w:b/>
          <w:bCs/>
          <w:sz w:val="22"/>
          <w:szCs w:val="22"/>
        </w:rPr>
      </w:pPr>
    </w:p>
    <w:p w14:paraId="77DCE2FD" w14:textId="77777777" w:rsidR="0086453B" w:rsidRDefault="0086453B" w:rsidP="0086453B">
      <w:pPr>
        <w:rPr>
          <w:rFonts w:ascii="Arial" w:hAnsi="Arial" w:cs="Arial"/>
          <w:b/>
          <w:bCs/>
          <w:sz w:val="22"/>
          <w:szCs w:val="22"/>
        </w:rPr>
      </w:pPr>
    </w:p>
    <w:p w14:paraId="58939E48" w14:textId="77777777" w:rsidR="0086453B" w:rsidRDefault="0086453B" w:rsidP="0086453B">
      <w:pPr>
        <w:rPr>
          <w:rFonts w:ascii="Arial" w:hAnsi="Arial" w:cs="Arial"/>
          <w:b/>
          <w:bCs/>
          <w:sz w:val="22"/>
          <w:szCs w:val="22"/>
        </w:rPr>
      </w:pPr>
    </w:p>
    <w:p w14:paraId="5F8541ED" w14:textId="77777777" w:rsidR="0086453B" w:rsidRDefault="0086453B" w:rsidP="0086453B">
      <w:pPr>
        <w:rPr>
          <w:rFonts w:ascii="Arial" w:hAnsi="Arial" w:cs="Arial"/>
          <w:b/>
          <w:bCs/>
          <w:sz w:val="22"/>
          <w:szCs w:val="22"/>
        </w:rPr>
      </w:pPr>
    </w:p>
    <w:p w14:paraId="0C41376D" w14:textId="77777777" w:rsidR="0086453B" w:rsidRDefault="0086453B" w:rsidP="0086453B">
      <w:pPr>
        <w:rPr>
          <w:rFonts w:ascii="Arial" w:hAnsi="Arial" w:cs="Arial"/>
          <w:b/>
          <w:bCs/>
          <w:sz w:val="22"/>
          <w:szCs w:val="22"/>
        </w:rPr>
      </w:pPr>
    </w:p>
    <w:p w14:paraId="14F179D9" w14:textId="77777777" w:rsidR="0086453B" w:rsidRDefault="0086453B" w:rsidP="0086453B">
      <w:pPr>
        <w:rPr>
          <w:rFonts w:ascii="Arial" w:hAnsi="Arial" w:cs="Arial"/>
          <w:b/>
          <w:bCs/>
          <w:sz w:val="22"/>
          <w:szCs w:val="22"/>
        </w:rPr>
      </w:pPr>
    </w:p>
    <w:p w14:paraId="3286218F" w14:textId="77777777" w:rsidR="0086453B" w:rsidRDefault="0086453B" w:rsidP="0086453B">
      <w:pPr>
        <w:rPr>
          <w:rFonts w:ascii="Arial" w:hAnsi="Arial" w:cs="Arial"/>
          <w:b/>
          <w:bCs/>
          <w:sz w:val="22"/>
          <w:szCs w:val="22"/>
        </w:rPr>
      </w:pPr>
    </w:p>
    <w:p w14:paraId="5B51E806" w14:textId="77777777" w:rsidR="0086453B" w:rsidRDefault="0086453B" w:rsidP="0086453B">
      <w:pPr>
        <w:rPr>
          <w:rFonts w:ascii="Arial" w:hAnsi="Arial" w:cs="Arial"/>
          <w:b/>
          <w:bCs/>
          <w:sz w:val="22"/>
          <w:szCs w:val="22"/>
        </w:rPr>
      </w:pPr>
    </w:p>
    <w:p w14:paraId="006E943F" w14:textId="77777777" w:rsidR="009D7E4A" w:rsidRDefault="009D7E4A" w:rsidP="00612D09">
      <w:pPr>
        <w:pStyle w:val="Heading1"/>
        <w:jc w:val="both"/>
        <w:rPr>
          <w:rFonts w:ascii="Arial" w:hAnsi="Arial" w:cs="Arial"/>
          <w:b/>
          <w:bCs/>
          <w:color w:val="000000" w:themeColor="text1"/>
          <w:sz w:val="22"/>
          <w:szCs w:val="22"/>
          <w:u w:val="single"/>
        </w:rPr>
      </w:pPr>
      <w:bookmarkStart w:id="4" w:name="_Toc214200166"/>
    </w:p>
    <w:p w14:paraId="225A6089" w14:textId="77777777" w:rsidR="009D7E4A" w:rsidRDefault="009D7E4A" w:rsidP="00612D09">
      <w:pPr>
        <w:pStyle w:val="Heading1"/>
        <w:jc w:val="both"/>
        <w:rPr>
          <w:rFonts w:ascii="Arial" w:hAnsi="Arial" w:cs="Arial"/>
          <w:b/>
          <w:bCs/>
          <w:color w:val="000000" w:themeColor="text1"/>
          <w:sz w:val="22"/>
          <w:szCs w:val="22"/>
          <w:u w:val="single"/>
        </w:rPr>
      </w:pPr>
    </w:p>
    <w:p w14:paraId="3BC9478E" w14:textId="77777777" w:rsidR="009D7E4A" w:rsidRDefault="009D7E4A" w:rsidP="00612D09">
      <w:pPr>
        <w:pStyle w:val="Heading1"/>
        <w:jc w:val="both"/>
        <w:rPr>
          <w:rFonts w:ascii="Arial" w:hAnsi="Arial" w:cs="Arial"/>
          <w:b/>
          <w:bCs/>
          <w:color w:val="000000" w:themeColor="text1"/>
          <w:sz w:val="22"/>
          <w:szCs w:val="22"/>
          <w:u w:val="single"/>
        </w:rPr>
      </w:pPr>
    </w:p>
    <w:p w14:paraId="315941E3" w14:textId="77777777" w:rsidR="009D7E4A" w:rsidRDefault="009D7E4A" w:rsidP="00612D09">
      <w:pPr>
        <w:pStyle w:val="Heading1"/>
        <w:jc w:val="both"/>
        <w:rPr>
          <w:rFonts w:ascii="Arial" w:hAnsi="Arial" w:cs="Arial"/>
          <w:b/>
          <w:bCs/>
          <w:color w:val="000000" w:themeColor="text1"/>
          <w:sz w:val="22"/>
          <w:szCs w:val="22"/>
          <w:u w:val="single"/>
        </w:rPr>
      </w:pPr>
    </w:p>
    <w:p w14:paraId="5E771824" w14:textId="77777777" w:rsidR="00215300" w:rsidRDefault="00215300" w:rsidP="00215300"/>
    <w:p w14:paraId="2943A442" w14:textId="77777777" w:rsidR="00215300" w:rsidRDefault="00215300" w:rsidP="00215300"/>
    <w:p w14:paraId="7F73ECBB" w14:textId="77777777" w:rsidR="00215300" w:rsidRDefault="00215300" w:rsidP="00215300"/>
    <w:p w14:paraId="4AC46E65" w14:textId="77777777" w:rsidR="00215300" w:rsidRDefault="00215300" w:rsidP="00215300"/>
    <w:p w14:paraId="68F8A7FF" w14:textId="77777777" w:rsidR="00215300" w:rsidRDefault="00215300" w:rsidP="00215300"/>
    <w:p w14:paraId="2B55292E" w14:textId="77777777" w:rsidR="00215300" w:rsidRDefault="00215300" w:rsidP="00215300"/>
    <w:p w14:paraId="592046DD" w14:textId="77777777" w:rsidR="00215300" w:rsidRDefault="00215300" w:rsidP="00215300"/>
    <w:p w14:paraId="55E467EF" w14:textId="77777777" w:rsidR="00215300" w:rsidRDefault="00215300" w:rsidP="00215300"/>
    <w:p w14:paraId="1F8F5F80" w14:textId="77777777" w:rsidR="00215300" w:rsidRDefault="00215300" w:rsidP="00215300"/>
    <w:p w14:paraId="344BCC33" w14:textId="77777777" w:rsidR="00215300" w:rsidRDefault="00215300" w:rsidP="00215300"/>
    <w:p w14:paraId="323AFE08" w14:textId="77777777" w:rsidR="00215300" w:rsidRDefault="00215300" w:rsidP="00215300"/>
    <w:p w14:paraId="0544F6AA" w14:textId="77777777" w:rsidR="00215300" w:rsidRDefault="00215300" w:rsidP="00215300"/>
    <w:p w14:paraId="3B53B83A" w14:textId="77777777" w:rsidR="00215300" w:rsidRDefault="00215300" w:rsidP="00215300"/>
    <w:p w14:paraId="4D43B6A6" w14:textId="77777777" w:rsidR="00215300" w:rsidRDefault="00215300" w:rsidP="00215300"/>
    <w:p w14:paraId="0204DF77" w14:textId="77777777" w:rsidR="00215300" w:rsidRDefault="00215300" w:rsidP="00215300"/>
    <w:p w14:paraId="0A7E4C1B" w14:textId="77777777" w:rsidR="00215300" w:rsidRDefault="00215300" w:rsidP="00215300"/>
    <w:p w14:paraId="1F1CCB0B" w14:textId="77777777" w:rsidR="00215300" w:rsidRPr="00215300" w:rsidRDefault="00215300" w:rsidP="00215300"/>
    <w:p w14:paraId="633200DB" w14:textId="1E90BAC1" w:rsidR="0086453B" w:rsidRPr="00612D09" w:rsidRDefault="0086453B" w:rsidP="00612D09">
      <w:pPr>
        <w:pStyle w:val="Heading1"/>
        <w:jc w:val="both"/>
        <w:rPr>
          <w:rFonts w:ascii="Arial" w:hAnsi="Arial" w:cs="Arial"/>
          <w:b/>
          <w:bCs/>
          <w:color w:val="000000" w:themeColor="text1"/>
          <w:sz w:val="22"/>
          <w:szCs w:val="22"/>
          <w:u w:val="single"/>
        </w:rPr>
      </w:pPr>
      <w:r w:rsidRPr="00612D09">
        <w:rPr>
          <w:rFonts w:ascii="Arial" w:hAnsi="Arial" w:cs="Arial"/>
          <w:b/>
          <w:bCs/>
          <w:color w:val="000000" w:themeColor="text1"/>
          <w:sz w:val="22"/>
          <w:szCs w:val="22"/>
          <w:u w:val="single"/>
        </w:rPr>
        <w:lastRenderedPageBreak/>
        <w:t>Intro</w:t>
      </w:r>
      <w:r w:rsidR="00612D09">
        <w:rPr>
          <w:rFonts w:ascii="Arial" w:hAnsi="Arial" w:cs="Arial"/>
          <w:b/>
          <w:bCs/>
          <w:color w:val="000000" w:themeColor="text1"/>
          <w:sz w:val="22"/>
          <w:szCs w:val="22"/>
          <w:u w:val="single"/>
        </w:rPr>
        <w:t>duction</w:t>
      </w:r>
      <w:r w:rsidRPr="00612D09">
        <w:rPr>
          <w:rFonts w:ascii="Arial" w:hAnsi="Arial" w:cs="Arial"/>
          <w:b/>
          <w:bCs/>
          <w:color w:val="000000" w:themeColor="text1"/>
          <w:sz w:val="22"/>
          <w:szCs w:val="22"/>
          <w:u w:val="single"/>
        </w:rPr>
        <w:t>.</w:t>
      </w:r>
      <w:bookmarkEnd w:id="4"/>
    </w:p>
    <w:p w14:paraId="5FD74338" w14:textId="4E6629B4" w:rsidR="00612D09" w:rsidRDefault="0086453B" w:rsidP="00612D09">
      <w:pPr>
        <w:jc w:val="both"/>
        <w:rPr>
          <w:rFonts w:ascii="Arial" w:hAnsi="Arial" w:cs="Arial"/>
          <w:color w:val="000000"/>
          <w:sz w:val="22"/>
          <w:szCs w:val="22"/>
        </w:rPr>
      </w:pPr>
      <w:r w:rsidRPr="0086453B">
        <w:rPr>
          <w:rFonts w:ascii="Arial" w:hAnsi="Arial" w:cs="Arial"/>
          <w:sz w:val="22"/>
          <w:szCs w:val="22"/>
        </w:rPr>
        <w:t xml:space="preserve">This research project aims to cover the subject of </w:t>
      </w:r>
      <w:r>
        <w:rPr>
          <w:rFonts w:ascii="Arial" w:hAnsi="Arial" w:cs="Arial"/>
          <w:sz w:val="22"/>
          <w:szCs w:val="22"/>
        </w:rPr>
        <w:t xml:space="preserve">sustainability in the usage of monorails as a form of public transport, with a focus on their usage in China as a country. Throughout Asia as a continent, the monorail holds particular relevance in the context of infrastructure expansion, as well as the development of urban development </w:t>
      </w:r>
      <w:r>
        <w:rPr>
          <w:rFonts w:ascii="Arial" w:hAnsi="Arial" w:cs="Arial"/>
          <w:color w:val="000000"/>
          <w:sz w:val="22"/>
          <w:szCs w:val="22"/>
        </w:rPr>
        <w:t xml:space="preserve">(Kikuchi and </w:t>
      </w:r>
      <w:proofErr w:type="spellStart"/>
      <w:r>
        <w:rPr>
          <w:rFonts w:ascii="Arial" w:hAnsi="Arial" w:cs="Arial"/>
          <w:color w:val="000000"/>
          <w:sz w:val="22"/>
          <w:szCs w:val="22"/>
        </w:rPr>
        <w:t>Onaka</w:t>
      </w:r>
      <w:proofErr w:type="spellEnd"/>
      <w:r>
        <w:rPr>
          <w:rFonts w:ascii="Arial" w:hAnsi="Arial" w:cs="Arial"/>
          <w:color w:val="000000"/>
          <w:sz w:val="22"/>
          <w:szCs w:val="22"/>
        </w:rPr>
        <w:t>, 1988)</w:t>
      </w:r>
      <w:r>
        <w:rPr>
          <w:rFonts w:ascii="Arial" w:hAnsi="Arial" w:cs="Arial"/>
          <w:color w:val="000000"/>
          <w:sz w:val="22"/>
          <w:szCs w:val="22"/>
        </w:rPr>
        <w:t xml:space="preserve">. Monorails are predominantly utilised in Asia due to their abilities to carry high volumes of passengers, whilst more traditional methods of transportation pose several challenges, such as disruption to urban areas, as well as high costs </w:t>
      </w:r>
      <w:r>
        <w:rPr>
          <w:rFonts w:ascii="Arial" w:hAnsi="Arial" w:cs="Arial"/>
          <w:color w:val="000000"/>
          <w:sz w:val="22"/>
          <w:szCs w:val="22"/>
        </w:rPr>
        <w:t>(</w:t>
      </w:r>
      <w:proofErr w:type="spellStart"/>
      <w:r>
        <w:rPr>
          <w:rFonts w:ascii="Arial" w:hAnsi="Arial" w:cs="Arial"/>
          <w:color w:val="000000"/>
          <w:sz w:val="22"/>
          <w:szCs w:val="22"/>
        </w:rPr>
        <w:t>Timan</w:t>
      </w:r>
      <w:proofErr w:type="spellEnd"/>
      <w:r>
        <w:rPr>
          <w:rFonts w:ascii="Arial" w:hAnsi="Arial" w:cs="Arial"/>
          <w:color w:val="000000"/>
          <w:sz w:val="22"/>
          <w:szCs w:val="22"/>
        </w:rPr>
        <w:t>, 2015)</w:t>
      </w:r>
      <w:r>
        <w:rPr>
          <w:rFonts w:ascii="Arial" w:hAnsi="Arial" w:cs="Arial"/>
          <w:color w:val="000000"/>
          <w:sz w:val="22"/>
          <w:szCs w:val="22"/>
        </w:rPr>
        <w:t xml:space="preserve">. Furthermore, the recent developments in technology have helped to position monorails to be an alternative in more metropolitan areas, due to </w:t>
      </w:r>
      <w:r w:rsidRPr="0086453B">
        <w:rPr>
          <w:rFonts w:ascii="Arial" w:hAnsi="Arial" w:cs="Arial"/>
          <w:color w:val="000000"/>
          <w:sz w:val="22"/>
          <w:szCs w:val="22"/>
        </w:rPr>
        <w:t>environmental considerations</w:t>
      </w:r>
      <w:r>
        <w:rPr>
          <w:rFonts w:ascii="Arial" w:hAnsi="Arial" w:cs="Arial"/>
          <w:color w:val="000000"/>
          <w:sz w:val="22"/>
          <w:szCs w:val="22"/>
        </w:rPr>
        <w:t xml:space="preserve">, as well as their ability to balance capacity appropriately </w:t>
      </w:r>
      <w:r>
        <w:rPr>
          <w:rFonts w:ascii="Arial" w:hAnsi="Arial" w:cs="Arial"/>
          <w:color w:val="000000"/>
          <w:sz w:val="22"/>
          <w:szCs w:val="22"/>
        </w:rPr>
        <w:t>(</w:t>
      </w:r>
      <w:proofErr w:type="spellStart"/>
      <w:r>
        <w:rPr>
          <w:rFonts w:ascii="Arial" w:hAnsi="Arial" w:cs="Arial"/>
          <w:color w:val="000000"/>
          <w:sz w:val="22"/>
          <w:szCs w:val="22"/>
        </w:rPr>
        <w:t>Timan</w:t>
      </w:r>
      <w:proofErr w:type="spellEnd"/>
      <w:r>
        <w:rPr>
          <w:rFonts w:ascii="Arial" w:hAnsi="Arial" w:cs="Arial"/>
          <w:color w:val="000000"/>
          <w:sz w:val="22"/>
          <w:szCs w:val="22"/>
        </w:rPr>
        <w:t>, 2015).</w:t>
      </w:r>
      <w:r>
        <w:rPr>
          <w:rFonts w:ascii="Arial" w:hAnsi="Arial" w:cs="Arial"/>
          <w:color w:val="000000"/>
          <w:sz w:val="22"/>
          <w:szCs w:val="22"/>
        </w:rPr>
        <w:t xml:space="preserve"> Monorail systems within the country of China have been developed with a major usage of the ‘straddle’ monorail type, which entails the usage of rubber wheels, as well as a pre-cast concrete track beam. This structure is further characterised by features such as a small turning radius, a reduction in land occupation, low noise for surrounding areas, as well as low running costs </w:t>
      </w:r>
      <w:r>
        <w:rPr>
          <w:rFonts w:ascii="Arial" w:hAnsi="Arial" w:cs="Arial"/>
          <w:color w:val="000000"/>
          <w:sz w:val="22"/>
          <w:szCs w:val="22"/>
        </w:rPr>
        <w:t>(He, 2015)</w:t>
      </w:r>
      <w:r>
        <w:rPr>
          <w:rFonts w:ascii="Arial" w:hAnsi="Arial" w:cs="Arial"/>
          <w:color w:val="000000"/>
          <w:sz w:val="22"/>
          <w:szCs w:val="22"/>
        </w:rPr>
        <w:t xml:space="preserve">. Monorails have been under major development over the last decade, in particular since 2008, when the Chinese government issued a large-scale funding initiative in order to help develop and improve the already-existing railways, highways, and general urban rail transit. </w:t>
      </w:r>
    </w:p>
    <w:p w14:paraId="1057C207" w14:textId="5E7C1B86" w:rsidR="0086453B" w:rsidRPr="00612D09" w:rsidRDefault="0086453B" w:rsidP="00612D09">
      <w:pPr>
        <w:pStyle w:val="Heading1"/>
        <w:rPr>
          <w:rFonts w:ascii="Arial" w:hAnsi="Arial" w:cs="Arial"/>
          <w:b/>
          <w:bCs/>
          <w:color w:val="000000" w:themeColor="text1"/>
          <w:sz w:val="22"/>
          <w:szCs w:val="22"/>
          <w:u w:val="single"/>
        </w:rPr>
      </w:pPr>
      <w:bookmarkStart w:id="5" w:name="_Toc214200167"/>
      <w:r w:rsidRPr="00612D09">
        <w:rPr>
          <w:rFonts w:ascii="Arial" w:hAnsi="Arial" w:cs="Arial"/>
          <w:b/>
          <w:bCs/>
          <w:color w:val="000000" w:themeColor="text1"/>
          <w:sz w:val="22"/>
          <w:szCs w:val="22"/>
          <w:u w:val="single"/>
        </w:rPr>
        <w:t>Research methodology.</w:t>
      </w:r>
      <w:bookmarkEnd w:id="5"/>
    </w:p>
    <w:p w14:paraId="323E9558" w14:textId="09B0BC80" w:rsidR="00612D09" w:rsidRDefault="00612D09" w:rsidP="00612D09">
      <w:pPr>
        <w:jc w:val="both"/>
        <w:rPr>
          <w:rFonts w:ascii="Arial" w:hAnsi="Arial" w:cs="Arial"/>
          <w:color w:val="000000"/>
          <w:sz w:val="22"/>
          <w:szCs w:val="22"/>
        </w:rPr>
      </w:pPr>
      <w:r>
        <w:rPr>
          <w:rFonts w:ascii="Arial" w:hAnsi="Arial" w:cs="Arial"/>
          <w:color w:val="000000" w:themeColor="text1"/>
          <w:sz w:val="22"/>
          <w:szCs w:val="22"/>
        </w:rPr>
        <w:t xml:space="preserve">For this report, the planned research methods for this proposal consists of both qualitative and quantitative research. As the majority of the research focusing on China, the researcher has deemed it difficult to gain any primary research surrounding the topic, due to the lack of cultural understanding and awareness held in the United Kingdom surrounding monorail transportation and what a vital role it plays in countries across the globe. As a result of these difficulties, it has been decided that the most beneficial method of research is secondary research, as it helps and allows the researcher to consider new questions through using existing data, which can include diverse data </w:t>
      </w:r>
      <w:r>
        <w:rPr>
          <w:rFonts w:ascii="Arial" w:hAnsi="Arial" w:cs="Arial"/>
          <w:color w:val="000000"/>
          <w:sz w:val="22"/>
          <w:szCs w:val="22"/>
        </w:rPr>
        <w:t>(Haile, 2024)</w:t>
      </w:r>
      <w:r>
        <w:rPr>
          <w:rFonts w:ascii="Arial" w:hAnsi="Arial" w:cs="Arial"/>
          <w:color w:val="000000"/>
          <w:sz w:val="22"/>
          <w:szCs w:val="22"/>
        </w:rPr>
        <w:t xml:space="preserve">. Through this, it is possible to analyse elements of the subject that may be impractical, or resource-intensive through solely independent research, which can help to provide an efficient and effective way in advancing knowledge in the field of research </w:t>
      </w:r>
      <w:r>
        <w:rPr>
          <w:rFonts w:ascii="Arial" w:hAnsi="Arial" w:cs="Arial"/>
          <w:color w:val="000000"/>
          <w:sz w:val="22"/>
          <w:szCs w:val="22"/>
        </w:rPr>
        <w:t>(Haile, 2024)</w:t>
      </w:r>
      <w:r>
        <w:rPr>
          <w:rFonts w:ascii="Arial" w:hAnsi="Arial" w:cs="Arial"/>
          <w:color w:val="000000"/>
          <w:sz w:val="22"/>
          <w:szCs w:val="22"/>
        </w:rPr>
        <w:t xml:space="preserve">. It is also possible that through utilising secondary research, the analysis of data that has already been collected- such as the use of monorail transportation in China- may be facilitated, without the necessity to develop new data </w:t>
      </w:r>
      <w:r>
        <w:rPr>
          <w:rFonts w:ascii="Arial" w:hAnsi="Arial" w:cs="Arial"/>
          <w:color w:val="000000"/>
          <w:sz w:val="22"/>
          <w:szCs w:val="22"/>
        </w:rPr>
        <w:t>(Haile, 2024)</w:t>
      </w:r>
      <w:r>
        <w:rPr>
          <w:rFonts w:ascii="Arial" w:hAnsi="Arial" w:cs="Arial"/>
          <w:color w:val="000000"/>
          <w:sz w:val="22"/>
          <w:szCs w:val="22"/>
        </w:rPr>
        <w:t xml:space="preserve">. </w:t>
      </w:r>
    </w:p>
    <w:p w14:paraId="3685B48E" w14:textId="57982028" w:rsidR="00612D09" w:rsidRDefault="00612D09" w:rsidP="00612D09">
      <w:pPr>
        <w:jc w:val="both"/>
        <w:rPr>
          <w:rFonts w:ascii="Arial" w:hAnsi="Arial" w:cs="Arial"/>
          <w:color w:val="000000"/>
          <w:sz w:val="22"/>
          <w:szCs w:val="22"/>
        </w:rPr>
      </w:pPr>
      <w:r>
        <w:rPr>
          <w:rFonts w:ascii="Arial" w:hAnsi="Arial" w:cs="Arial"/>
          <w:color w:val="000000"/>
          <w:sz w:val="22"/>
          <w:szCs w:val="22"/>
        </w:rPr>
        <w:t xml:space="preserve">The usage of both qualitative and quantitative research will be used. The use of quantitative secondary research, including statistics from government-based surveys and questionnaires, is beneficial as it allows the researcher to examine existing data, which can aid the research in that it is far more time-effective to utilise data already available </w:t>
      </w:r>
      <w:r>
        <w:rPr>
          <w:rFonts w:ascii="Arial" w:hAnsi="Arial" w:cs="Arial"/>
          <w:color w:val="000000"/>
          <w:sz w:val="22"/>
          <w:szCs w:val="22"/>
        </w:rPr>
        <w:t>(Lim, 2024)</w:t>
      </w:r>
      <w:r>
        <w:rPr>
          <w:rFonts w:ascii="Arial" w:hAnsi="Arial" w:cs="Arial"/>
          <w:color w:val="000000"/>
          <w:sz w:val="22"/>
          <w:szCs w:val="22"/>
        </w:rPr>
        <w:t xml:space="preserve">. The researcher may also address new questions through utilising the pre-existing data, whilst also benefitting from the readily available data which may oftentimes be large and widespread, whilst also consisting of mixed research methodologies to enable a full-bodied statistical analysis, in order to help generalise findings </w:t>
      </w:r>
      <w:r>
        <w:rPr>
          <w:rFonts w:ascii="Arial" w:hAnsi="Arial" w:cs="Arial"/>
          <w:color w:val="000000"/>
          <w:sz w:val="22"/>
          <w:szCs w:val="22"/>
        </w:rPr>
        <w:t>(Lim, 2024)</w:t>
      </w:r>
      <w:r>
        <w:rPr>
          <w:rFonts w:ascii="Arial" w:hAnsi="Arial" w:cs="Arial"/>
          <w:color w:val="000000"/>
          <w:sz w:val="22"/>
          <w:szCs w:val="22"/>
        </w:rPr>
        <w:t xml:space="preserve">. Furthermore, the usage of government statistics and research helps to provide insights from an evidence-based practice, which is derived from a national, large scale level, helping the researcher to inform on policy, such as applying the research to sustainability policies for the country of China, which can help to gauge the country’s probability of reaching their sustainability goals </w:t>
      </w:r>
      <w:r>
        <w:rPr>
          <w:rFonts w:ascii="Arial" w:hAnsi="Arial" w:cs="Arial"/>
          <w:color w:val="000000"/>
          <w:sz w:val="22"/>
          <w:szCs w:val="22"/>
        </w:rPr>
        <w:t>(Gilmore, 2017)</w:t>
      </w:r>
      <w:r>
        <w:rPr>
          <w:rFonts w:ascii="Arial" w:hAnsi="Arial" w:cs="Arial"/>
          <w:color w:val="000000"/>
          <w:sz w:val="22"/>
          <w:szCs w:val="22"/>
        </w:rPr>
        <w:t xml:space="preserve">, such as reaching their goal of peak emissions by 2030, and decreasing their coal usage progressively between 2025-2030 </w:t>
      </w:r>
      <w:r>
        <w:rPr>
          <w:rFonts w:ascii="Arial" w:hAnsi="Arial" w:cs="Arial"/>
          <w:color w:val="000000"/>
          <w:sz w:val="22"/>
          <w:szCs w:val="22"/>
        </w:rPr>
        <w:t>(</w:t>
      </w:r>
      <w:proofErr w:type="spellStart"/>
      <w:r>
        <w:rPr>
          <w:rFonts w:ascii="Arial" w:hAnsi="Arial" w:cs="Arial"/>
          <w:color w:val="000000"/>
          <w:sz w:val="22"/>
          <w:szCs w:val="22"/>
        </w:rPr>
        <w:t>Myllyvirta</w:t>
      </w:r>
      <w:proofErr w:type="spellEnd"/>
      <w:r>
        <w:rPr>
          <w:rFonts w:ascii="Arial" w:hAnsi="Arial" w:cs="Arial"/>
          <w:color w:val="000000"/>
          <w:sz w:val="22"/>
          <w:szCs w:val="22"/>
        </w:rPr>
        <w:t>, 2025)</w:t>
      </w:r>
      <w:r>
        <w:rPr>
          <w:rFonts w:ascii="Arial" w:hAnsi="Arial" w:cs="Arial"/>
          <w:color w:val="000000"/>
          <w:sz w:val="22"/>
          <w:szCs w:val="22"/>
        </w:rPr>
        <w:t xml:space="preserve">. </w:t>
      </w:r>
    </w:p>
    <w:p w14:paraId="3630E25C" w14:textId="4AE060FB" w:rsidR="00612D09" w:rsidRDefault="00612D09" w:rsidP="00612D09">
      <w:pPr>
        <w:jc w:val="both"/>
        <w:rPr>
          <w:rFonts w:ascii="Arial" w:hAnsi="Arial" w:cs="Arial"/>
          <w:color w:val="000000"/>
          <w:sz w:val="22"/>
          <w:szCs w:val="22"/>
        </w:rPr>
      </w:pPr>
      <w:r>
        <w:rPr>
          <w:rFonts w:ascii="Arial" w:hAnsi="Arial" w:cs="Arial"/>
          <w:color w:val="000000"/>
          <w:sz w:val="22"/>
          <w:szCs w:val="22"/>
        </w:rPr>
        <w:t xml:space="preserve">Utilising qualitative secondary sources, such as books, journals, government reports, and online materials such as blog posts, has been deemed viable for this research project, due to several advantages. One of these advantages is the ability for the researcher to analyse data that is difficult to collect through primary research, including data for areas that are hard to reach, thus helping the researcher to feasibly gather sufficient data and information that can </w:t>
      </w:r>
      <w:r>
        <w:rPr>
          <w:rFonts w:ascii="Arial" w:hAnsi="Arial" w:cs="Arial"/>
          <w:color w:val="000000"/>
          <w:sz w:val="22"/>
          <w:szCs w:val="22"/>
        </w:rPr>
        <w:lastRenderedPageBreak/>
        <w:t xml:space="preserve">be utilised; in this instance, it would be difficult and would be impractical to attempt to gather primary qualitative research surrounding the topic of sustainability and public transport in China, due to the distance between the researcher and the country of interest and the lack of discussion surrounding the aforementioned subjects </w:t>
      </w:r>
      <w:r>
        <w:rPr>
          <w:rFonts w:ascii="Arial" w:hAnsi="Arial" w:cs="Arial"/>
          <w:color w:val="000000"/>
          <w:sz w:val="22"/>
          <w:szCs w:val="22"/>
        </w:rPr>
        <w:t>(Chatfield, 2020)</w:t>
      </w:r>
      <w:r>
        <w:rPr>
          <w:rFonts w:ascii="Arial" w:hAnsi="Arial" w:cs="Arial"/>
          <w:color w:val="000000"/>
          <w:sz w:val="22"/>
          <w:szCs w:val="22"/>
        </w:rPr>
        <w:t xml:space="preserve">. Furthermore, the availability of good quality qualitative data helps to support the feasibility of secondary research through providing vast resources to provoke new questions within the field </w:t>
      </w:r>
      <w:r>
        <w:rPr>
          <w:rFonts w:ascii="Arial" w:hAnsi="Arial" w:cs="Arial"/>
          <w:color w:val="000000"/>
          <w:sz w:val="22"/>
          <w:szCs w:val="22"/>
        </w:rPr>
        <w:t>(Crossman and Bordia, 2021)</w:t>
      </w:r>
      <w:r>
        <w:rPr>
          <w:rFonts w:ascii="Arial" w:hAnsi="Arial" w:cs="Arial"/>
          <w:color w:val="000000"/>
          <w:sz w:val="22"/>
          <w:szCs w:val="22"/>
        </w:rPr>
        <w:t>.</w:t>
      </w:r>
    </w:p>
    <w:p w14:paraId="0C296692" w14:textId="63465A1E" w:rsidR="00612D09" w:rsidRDefault="00612D09" w:rsidP="00612D09">
      <w:pPr>
        <w:jc w:val="both"/>
        <w:rPr>
          <w:rFonts w:ascii="Arial" w:hAnsi="Arial" w:cs="Arial"/>
          <w:color w:val="000000"/>
          <w:sz w:val="22"/>
          <w:szCs w:val="22"/>
        </w:rPr>
      </w:pPr>
      <w:r>
        <w:rPr>
          <w:rFonts w:ascii="Arial" w:hAnsi="Arial" w:cs="Arial"/>
          <w:color w:val="000000"/>
          <w:sz w:val="22"/>
          <w:szCs w:val="22"/>
        </w:rPr>
        <w:t xml:space="preserve">Despite the lack of primary research, there are still several ethical considerations to make when conducting research dependent on secondary sources. It is still vital to remain considerate of the protection of varying populations, including instances where research concerning children or the elderly is involved; despite the difference in context between primary and secondary research, it is important to enforce participant safety and maintain informed consent, particularly when handling sensitive or personal information from the secondary research </w:t>
      </w:r>
      <w:r>
        <w:rPr>
          <w:rFonts w:ascii="Arial" w:hAnsi="Arial" w:cs="Arial"/>
          <w:color w:val="000000"/>
          <w:sz w:val="22"/>
          <w:szCs w:val="22"/>
        </w:rPr>
        <w:t xml:space="preserve">(Dubois, </w:t>
      </w:r>
      <w:proofErr w:type="spellStart"/>
      <w:r>
        <w:rPr>
          <w:rFonts w:ascii="Arial" w:hAnsi="Arial" w:cs="Arial"/>
          <w:color w:val="000000"/>
          <w:sz w:val="22"/>
          <w:szCs w:val="22"/>
        </w:rPr>
        <w:t>Lahaye</w:t>
      </w:r>
      <w:proofErr w:type="spellEnd"/>
      <w:r>
        <w:rPr>
          <w:rFonts w:ascii="Arial" w:hAnsi="Arial" w:cs="Arial"/>
          <w:color w:val="000000"/>
          <w:sz w:val="22"/>
          <w:szCs w:val="22"/>
        </w:rPr>
        <w:t xml:space="preserve"> and </w:t>
      </w:r>
      <w:proofErr w:type="spellStart"/>
      <w:r>
        <w:rPr>
          <w:rFonts w:ascii="Arial" w:hAnsi="Arial" w:cs="Arial"/>
          <w:color w:val="000000"/>
          <w:sz w:val="22"/>
          <w:szCs w:val="22"/>
        </w:rPr>
        <w:t>Aujoulat</w:t>
      </w:r>
      <w:proofErr w:type="spellEnd"/>
      <w:r>
        <w:rPr>
          <w:rFonts w:ascii="Arial" w:hAnsi="Arial" w:cs="Arial"/>
          <w:color w:val="000000"/>
          <w:sz w:val="22"/>
          <w:szCs w:val="22"/>
        </w:rPr>
        <w:t>, 2021)</w:t>
      </w:r>
      <w:r>
        <w:rPr>
          <w:rFonts w:ascii="Arial" w:hAnsi="Arial" w:cs="Arial"/>
          <w:color w:val="000000"/>
          <w:sz w:val="22"/>
          <w:szCs w:val="22"/>
        </w:rPr>
        <w:t>.</w:t>
      </w:r>
    </w:p>
    <w:p w14:paraId="71267CFD" w14:textId="66986532" w:rsidR="00B41FC0" w:rsidRDefault="00612D09" w:rsidP="00B41FC0">
      <w:pPr>
        <w:jc w:val="both"/>
        <w:rPr>
          <w:rFonts w:ascii="Arial" w:hAnsi="Arial" w:cs="Arial"/>
          <w:color w:val="000000"/>
          <w:sz w:val="22"/>
          <w:szCs w:val="22"/>
        </w:rPr>
      </w:pPr>
      <w:r>
        <w:rPr>
          <w:rFonts w:ascii="Arial" w:hAnsi="Arial" w:cs="Arial"/>
          <w:color w:val="000000"/>
          <w:sz w:val="22"/>
          <w:szCs w:val="22"/>
        </w:rPr>
        <w:t xml:space="preserve">Methodologically speaking, </w:t>
      </w:r>
      <w:r w:rsidR="00BB6A8F">
        <w:rPr>
          <w:rFonts w:ascii="Arial" w:hAnsi="Arial" w:cs="Arial"/>
          <w:color w:val="000000"/>
          <w:sz w:val="22"/>
          <w:szCs w:val="22"/>
        </w:rPr>
        <w:t>it is vital</w:t>
      </w:r>
      <w:r>
        <w:rPr>
          <w:rFonts w:ascii="Arial" w:hAnsi="Arial" w:cs="Arial"/>
          <w:color w:val="000000"/>
          <w:sz w:val="22"/>
          <w:szCs w:val="22"/>
        </w:rPr>
        <w:t xml:space="preserve"> to pay close attention to the </w:t>
      </w:r>
      <w:r w:rsidR="00BB6A8F">
        <w:rPr>
          <w:rFonts w:ascii="Arial" w:hAnsi="Arial" w:cs="Arial"/>
          <w:color w:val="000000"/>
          <w:sz w:val="22"/>
          <w:szCs w:val="22"/>
        </w:rPr>
        <w:t>context of the original data</w:t>
      </w:r>
      <w:r>
        <w:rPr>
          <w:rFonts w:ascii="Arial" w:hAnsi="Arial" w:cs="Arial"/>
          <w:color w:val="000000"/>
          <w:sz w:val="22"/>
          <w:szCs w:val="22"/>
        </w:rPr>
        <w:t xml:space="preserve"> and method of collection when utilising secondary research. Mixed methods of qualitative and quantitative data require an awareness of differences between the two approaches, in both a philosophical and procedural manner. It is important for researchers to carefully consider varying perspective and viewpoints that are inherent in the original data, as well as the possible differences in methodological context when utilising data from different sources and areas of expertise </w:t>
      </w:r>
      <w:r>
        <w:rPr>
          <w:rFonts w:ascii="Arial" w:hAnsi="Arial" w:cs="Arial"/>
          <w:color w:val="000000"/>
          <w:sz w:val="22"/>
          <w:szCs w:val="22"/>
        </w:rPr>
        <w:t>(</w:t>
      </w:r>
      <w:proofErr w:type="spellStart"/>
      <w:r>
        <w:rPr>
          <w:rFonts w:ascii="Arial" w:hAnsi="Arial" w:cs="Arial"/>
          <w:color w:val="000000"/>
          <w:sz w:val="22"/>
          <w:szCs w:val="22"/>
        </w:rPr>
        <w:t>Fàbregues</w:t>
      </w:r>
      <w:proofErr w:type="spellEnd"/>
      <w:r>
        <w:rPr>
          <w:rFonts w:ascii="Arial" w:hAnsi="Arial" w:cs="Arial"/>
          <w:color w:val="000000"/>
          <w:sz w:val="22"/>
          <w:szCs w:val="22"/>
        </w:rPr>
        <w:t xml:space="preserve"> et al., 2021)</w:t>
      </w:r>
      <w:r>
        <w:rPr>
          <w:rFonts w:ascii="Arial" w:hAnsi="Arial" w:cs="Arial"/>
          <w:color w:val="000000"/>
          <w:sz w:val="22"/>
          <w:szCs w:val="22"/>
        </w:rPr>
        <w:t xml:space="preserve">. </w:t>
      </w:r>
      <w:bookmarkStart w:id="6" w:name="_Toc214200168"/>
      <w:r>
        <w:rPr>
          <w:rFonts w:ascii="Arial" w:hAnsi="Arial" w:cs="Arial"/>
          <w:color w:val="000000"/>
          <w:sz w:val="22"/>
          <w:szCs w:val="22"/>
        </w:rPr>
        <w:t>This particularly comes into consideration when the research addresses complex topics and discussions, such as sustainable transportation as it handles topics such as environmental and social factors.</w:t>
      </w:r>
    </w:p>
    <w:p w14:paraId="72E8B0A2" w14:textId="77777777" w:rsidR="00B41FC0" w:rsidRDefault="00B41FC0" w:rsidP="00B41FC0">
      <w:pPr>
        <w:jc w:val="both"/>
        <w:rPr>
          <w:rFonts w:ascii="Arial" w:hAnsi="Arial" w:cs="Arial"/>
          <w:color w:val="000000"/>
          <w:sz w:val="22"/>
          <w:szCs w:val="22"/>
        </w:rPr>
      </w:pPr>
    </w:p>
    <w:p w14:paraId="4A66B70E" w14:textId="77777777" w:rsidR="00B41FC0" w:rsidRDefault="0086453B" w:rsidP="00B41FC0">
      <w:pPr>
        <w:jc w:val="both"/>
        <w:rPr>
          <w:rFonts w:ascii="Arial" w:hAnsi="Arial" w:cs="Arial"/>
          <w:b/>
          <w:bCs/>
          <w:color w:val="000000" w:themeColor="text1"/>
          <w:sz w:val="22"/>
          <w:szCs w:val="22"/>
          <w:u w:val="single"/>
        </w:rPr>
      </w:pPr>
      <w:r w:rsidRPr="00612D09">
        <w:rPr>
          <w:rFonts w:ascii="Arial" w:hAnsi="Arial" w:cs="Arial"/>
          <w:b/>
          <w:bCs/>
          <w:color w:val="000000" w:themeColor="text1"/>
          <w:sz w:val="22"/>
          <w:szCs w:val="22"/>
          <w:u w:val="single"/>
        </w:rPr>
        <w:t>Significance of the Study.</w:t>
      </w:r>
      <w:bookmarkEnd w:id="6"/>
    </w:p>
    <w:p w14:paraId="63A80D8D" w14:textId="4B015E02" w:rsidR="00010239" w:rsidRPr="00B41FC0" w:rsidRDefault="00612D09" w:rsidP="00B41FC0">
      <w:pPr>
        <w:jc w:val="both"/>
        <w:rPr>
          <w:rFonts w:ascii="Arial" w:hAnsi="Arial" w:cs="Arial"/>
          <w:color w:val="000000"/>
          <w:sz w:val="23"/>
          <w:szCs w:val="23"/>
          <w:shd w:val="clear" w:color="auto" w:fill="FFFFFF"/>
        </w:rPr>
      </w:pPr>
      <w:r w:rsidRPr="00B41FC0">
        <w:rPr>
          <w:rFonts w:ascii="Arial" w:hAnsi="Arial" w:cs="Arial"/>
          <w:color w:val="000000" w:themeColor="text1"/>
          <w:sz w:val="22"/>
          <w:szCs w:val="22"/>
        </w:rPr>
        <w:t xml:space="preserve">The study at hand will help contribute to the research of sustainable transportation in several ways, including filling gaps in evidence on the sustainability of monorail systems, helping with the advancement of comparative sustainable transportation analysis, as well as working to integrating sustainable mobility within tourism studies. </w:t>
      </w:r>
      <w:r w:rsidR="00607737" w:rsidRPr="00B41FC0">
        <w:rPr>
          <w:rFonts w:ascii="Arial" w:hAnsi="Arial" w:cs="Arial"/>
          <w:color w:val="000000" w:themeColor="text1"/>
          <w:sz w:val="22"/>
          <w:szCs w:val="22"/>
        </w:rPr>
        <w:t xml:space="preserve">It’s believed that monorail systems could help provide possible solutions to several challenges faced by metropolitan areas, through meeting the demand for reliable, high-capacity, and </w:t>
      </w:r>
      <w:proofErr w:type="gramStart"/>
      <w:r w:rsidR="00607737" w:rsidRPr="00B41FC0">
        <w:rPr>
          <w:rFonts w:ascii="Arial" w:hAnsi="Arial" w:cs="Arial"/>
          <w:color w:val="000000" w:themeColor="text1"/>
          <w:sz w:val="22"/>
          <w:szCs w:val="22"/>
        </w:rPr>
        <w:t>environmental</w:t>
      </w:r>
      <w:proofErr w:type="gramEnd"/>
      <w:r w:rsidR="00607737" w:rsidRPr="00B41FC0">
        <w:rPr>
          <w:rFonts w:ascii="Arial" w:hAnsi="Arial" w:cs="Arial"/>
          <w:color w:val="000000" w:themeColor="text1"/>
          <w:sz w:val="22"/>
          <w:szCs w:val="22"/>
        </w:rPr>
        <w:t xml:space="preserve"> friendly public transport. In most areas, such as London, the highest-capacity mode of public transportation would be the London Underground system- a system that ranks above Paris, Madrid, and Berlin for its track length- and sees over 1.2 billion passengers annually </w:t>
      </w:r>
      <w:r w:rsidR="00607737" w:rsidRPr="00B41FC0">
        <w:rPr>
          <w:rFonts w:ascii="Arial" w:hAnsi="Arial" w:cs="Arial"/>
          <w:color w:val="000000" w:themeColor="text1"/>
          <w:sz w:val="22"/>
          <w:szCs w:val="22"/>
        </w:rPr>
        <w:t>(Statista, 2024</w:t>
      </w:r>
      <w:r w:rsidR="00607737">
        <w:rPr>
          <w:rFonts w:ascii="Arial" w:hAnsi="Arial" w:cs="Arial"/>
          <w:color w:val="000000"/>
          <w:sz w:val="22"/>
          <w:szCs w:val="22"/>
        </w:rPr>
        <w:t>)</w:t>
      </w:r>
      <w:r w:rsidR="00607737">
        <w:rPr>
          <w:rFonts w:ascii="Arial" w:hAnsi="Arial" w:cs="Arial"/>
          <w:color w:val="000000"/>
          <w:sz w:val="22"/>
          <w:szCs w:val="22"/>
        </w:rPr>
        <w:t xml:space="preserve">. However, whilst there are little to no CO2 emissions from the London Underground system, the system does create black particles of residual metal from the train as it brakes on the track, which are incredibly damaging to the human lungs- it was actually found that pollution and air quality was up to 30 times worse on the Underground platform in comparison to roadside pollution </w:t>
      </w:r>
      <w:r w:rsidR="00607737">
        <w:rPr>
          <w:rFonts w:ascii="Arial" w:hAnsi="Arial" w:cs="Arial"/>
          <w:color w:val="000000"/>
          <w:sz w:val="22"/>
          <w:szCs w:val="22"/>
        </w:rPr>
        <w:t>(Howell, 2020)</w:t>
      </w:r>
      <w:r w:rsidR="00607737">
        <w:rPr>
          <w:rFonts w:ascii="Arial" w:hAnsi="Arial" w:cs="Arial"/>
          <w:color w:val="000000"/>
          <w:sz w:val="22"/>
          <w:szCs w:val="22"/>
        </w:rPr>
        <w:t xml:space="preserve">. There have been recent developments in the monorail systems globally, </w:t>
      </w:r>
      <w:r w:rsidR="008D5CD7">
        <w:rPr>
          <w:rFonts w:ascii="Arial" w:hAnsi="Arial" w:cs="Arial"/>
          <w:color w:val="000000"/>
          <w:sz w:val="22"/>
          <w:szCs w:val="22"/>
        </w:rPr>
        <w:t>for example,</w:t>
      </w:r>
      <w:r w:rsidR="00607737">
        <w:rPr>
          <w:rFonts w:ascii="Arial" w:hAnsi="Arial" w:cs="Arial"/>
          <w:color w:val="000000"/>
          <w:sz w:val="22"/>
          <w:szCs w:val="22"/>
        </w:rPr>
        <w:t xml:space="preserve"> Bombardier’s INNOVIA Monorail 300 system, which as positioned monorails to become the most viable mainstream mode of transportation that is able to address the issues of existing mainstream public transportation through holding a higher capacity, alongside less infrastructural </w:t>
      </w:r>
      <w:proofErr w:type="gramStart"/>
      <w:r w:rsidR="00607737">
        <w:rPr>
          <w:rFonts w:ascii="Arial" w:hAnsi="Arial" w:cs="Arial"/>
          <w:color w:val="000000"/>
          <w:sz w:val="22"/>
          <w:szCs w:val="22"/>
        </w:rPr>
        <w:t>disruption</w:t>
      </w:r>
      <w:proofErr w:type="gramEnd"/>
      <w:r w:rsidR="00607737">
        <w:rPr>
          <w:rFonts w:ascii="Arial" w:hAnsi="Arial" w:cs="Arial"/>
          <w:color w:val="000000"/>
          <w:sz w:val="22"/>
          <w:szCs w:val="22"/>
        </w:rPr>
        <w:t xml:space="preserve"> and environmental impacts </w:t>
      </w:r>
      <w:r w:rsidR="00607737">
        <w:rPr>
          <w:rFonts w:ascii="Arial" w:hAnsi="Arial" w:cs="Arial"/>
          <w:color w:val="000000"/>
          <w:sz w:val="22"/>
          <w:szCs w:val="22"/>
        </w:rPr>
        <w:t>(</w:t>
      </w:r>
      <w:proofErr w:type="spellStart"/>
      <w:r w:rsidR="00607737">
        <w:rPr>
          <w:rFonts w:ascii="Arial" w:hAnsi="Arial" w:cs="Arial"/>
          <w:color w:val="000000"/>
          <w:sz w:val="22"/>
          <w:szCs w:val="22"/>
        </w:rPr>
        <w:t>Timan</w:t>
      </w:r>
      <w:proofErr w:type="spellEnd"/>
      <w:r w:rsidR="00607737">
        <w:rPr>
          <w:rFonts w:ascii="Arial" w:hAnsi="Arial" w:cs="Arial"/>
          <w:color w:val="000000"/>
          <w:sz w:val="22"/>
          <w:szCs w:val="22"/>
        </w:rPr>
        <w:t>, 2015)</w:t>
      </w:r>
      <w:r w:rsidR="00607737">
        <w:rPr>
          <w:rFonts w:ascii="Arial" w:hAnsi="Arial" w:cs="Arial"/>
          <w:color w:val="000000"/>
          <w:sz w:val="22"/>
          <w:szCs w:val="22"/>
        </w:rPr>
        <w:t>.</w:t>
      </w:r>
      <w:r w:rsidR="00010239">
        <w:rPr>
          <w:rFonts w:ascii="Arial" w:hAnsi="Arial" w:cs="Arial"/>
          <w:color w:val="000000"/>
          <w:sz w:val="22"/>
          <w:szCs w:val="22"/>
        </w:rPr>
        <w:t xml:space="preserve"> Furthermore, there are several evidence gaps within the transportation sector, which further highlights the need for further research surrounding various modes of transportation; it is also worth noting that the existing evidence is heavily focused on road-based infrastructure, such as busses and cars, with fewer studies focused on other travel sectors, including waterway transport and rail-based transport </w:t>
      </w:r>
      <w:r w:rsidR="00010239">
        <w:rPr>
          <w:rFonts w:ascii="Arial" w:hAnsi="Arial" w:cs="Arial"/>
          <w:color w:val="000000"/>
          <w:sz w:val="22"/>
          <w:szCs w:val="22"/>
        </w:rPr>
        <w:t>(Malhotra et al., 2021)</w:t>
      </w:r>
      <w:r w:rsidR="00010239">
        <w:rPr>
          <w:rFonts w:ascii="Arial" w:hAnsi="Arial" w:cs="Arial"/>
          <w:color w:val="000000"/>
          <w:sz w:val="22"/>
          <w:szCs w:val="22"/>
        </w:rPr>
        <w:t>.</w:t>
      </w:r>
    </w:p>
    <w:p w14:paraId="1330FA1D" w14:textId="46CDE3C6" w:rsidR="00010239" w:rsidRDefault="00010239" w:rsidP="00010239">
      <w:pPr>
        <w:pStyle w:val="NormalWeb"/>
        <w:jc w:val="both"/>
        <w:rPr>
          <w:rFonts w:ascii="Arial" w:hAnsi="Arial" w:cs="Arial"/>
          <w:color w:val="000000"/>
          <w:sz w:val="22"/>
          <w:szCs w:val="22"/>
        </w:rPr>
      </w:pPr>
      <w:r>
        <w:rPr>
          <w:rFonts w:ascii="Arial" w:hAnsi="Arial" w:cs="Arial"/>
          <w:color w:val="000000"/>
          <w:sz w:val="22"/>
          <w:szCs w:val="22"/>
        </w:rPr>
        <w:t xml:space="preserve">The introduction of monorail systems may better benefit visitor dense tourist destinations; for example, throughout the UK in 2023, road-based transportation accounted for 90% of transportation, with only 9% of transport being accredited to rail transport </w:t>
      </w:r>
      <w:r>
        <w:rPr>
          <w:rFonts w:ascii="Arial" w:hAnsi="Arial" w:cs="Arial"/>
          <w:color w:val="000000"/>
          <w:sz w:val="22"/>
          <w:szCs w:val="22"/>
        </w:rPr>
        <w:t>(Department for Transport, 2024)</w:t>
      </w:r>
      <w:r>
        <w:rPr>
          <w:rFonts w:ascii="Arial" w:hAnsi="Arial" w:cs="Arial"/>
          <w:color w:val="000000"/>
          <w:sz w:val="22"/>
          <w:szCs w:val="22"/>
        </w:rPr>
        <w:t xml:space="preserve">. In densely built urban areas, a single-track railway such as monorail would benefit these destinations- such as London, for example- where space is limited. The introduction of monorail systems world-wide can help to alleviate the traffic congestion in these </w:t>
      </w:r>
      <w:r>
        <w:rPr>
          <w:rFonts w:ascii="Arial" w:hAnsi="Arial" w:cs="Arial"/>
          <w:color w:val="000000"/>
          <w:sz w:val="22"/>
          <w:szCs w:val="22"/>
        </w:rPr>
        <w:lastRenderedPageBreak/>
        <w:t xml:space="preserve">populated areas, through providing dedicated transport that is not impacted by surface level traffic conditions; the separation from road based traffic can help to improve reliability whilst also reducing delays, which can be beneficial to not only high-demand tourist locations, but also for areas that are known for hosting wide-spread and popular events- such as concerts or sporting events- that typically see high levels of attendance </w:t>
      </w:r>
      <w:r>
        <w:rPr>
          <w:rFonts w:ascii="Arial" w:hAnsi="Arial" w:cs="Arial"/>
          <w:color w:val="000000"/>
          <w:sz w:val="22"/>
          <w:szCs w:val="22"/>
        </w:rPr>
        <w:t>(</w:t>
      </w:r>
      <w:proofErr w:type="spellStart"/>
      <w:r>
        <w:rPr>
          <w:rFonts w:ascii="Arial" w:hAnsi="Arial" w:cs="Arial"/>
          <w:color w:val="000000"/>
          <w:sz w:val="22"/>
          <w:szCs w:val="22"/>
        </w:rPr>
        <w:t>Zhai</w:t>
      </w:r>
      <w:proofErr w:type="spellEnd"/>
      <w:r>
        <w:rPr>
          <w:rFonts w:ascii="Arial" w:hAnsi="Arial" w:cs="Arial"/>
          <w:color w:val="000000"/>
          <w:sz w:val="22"/>
          <w:szCs w:val="22"/>
        </w:rPr>
        <w:t xml:space="preserve"> et al., 2025)</w:t>
      </w:r>
    </w:p>
    <w:p w14:paraId="5A5F58F0" w14:textId="74E9F874" w:rsidR="0086453B" w:rsidRDefault="0086453B" w:rsidP="00612D09">
      <w:pPr>
        <w:pStyle w:val="Heading1"/>
        <w:rPr>
          <w:rFonts w:ascii="Arial" w:hAnsi="Arial" w:cs="Arial"/>
          <w:b/>
          <w:bCs/>
          <w:color w:val="000000" w:themeColor="text1"/>
          <w:sz w:val="22"/>
          <w:szCs w:val="22"/>
          <w:u w:val="single"/>
        </w:rPr>
      </w:pPr>
      <w:bookmarkStart w:id="7" w:name="_Toc214200169"/>
      <w:r w:rsidRPr="00612D09">
        <w:rPr>
          <w:rFonts w:ascii="Arial" w:hAnsi="Arial" w:cs="Arial"/>
          <w:b/>
          <w:bCs/>
          <w:color w:val="000000" w:themeColor="text1"/>
          <w:sz w:val="22"/>
          <w:szCs w:val="22"/>
          <w:u w:val="single"/>
        </w:rPr>
        <w:t>Timeline &amp; Budget.</w:t>
      </w:r>
      <w:bookmarkEnd w:id="7"/>
    </w:p>
    <w:p w14:paraId="6D56E33D" w14:textId="6D2CB996" w:rsidR="00C735A8" w:rsidRDefault="00C735A8" w:rsidP="00C735A8">
      <w:pPr>
        <w:jc w:val="both"/>
        <w:rPr>
          <w:rFonts w:ascii="Arial" w:hAnsi="Arial" w:cs="Arial"/>
          <w:sz w:val="22"/>
          <w:szCs w:val="22"/>
        </w:rPr>
      </w:pPr>
      <w:r>
        <w:rPr>
          <w:rFonts w:ascii="Arial" w:hAnsi="Arial" w:cs="Arial"/>
          <w:sz w:val="22"/>
          <w:szCs w:val="22"/>
        </w:rPr>
        <w:t xml:space="preserve">Due to the sole use of secondary research, there are fewer limitations for the research project when considering factors such as timeline and budget constraints. The researcher has allocated approximately 6 weeks, or a month and a half, to researching and analysing the pre-existing literature on the subject. This is due to the importance of needing time to understand several elements of the subject at hand, including key themes, gaps within the field, and the evolution of sustainable transportation and the development of monorail usage </w:t>
      </w:r>
      <w:r>
        <w:rPr>
          <w:rFonts w:ascii="Arial" w:hAnsi="Arial" w:cs="Arial"/>
          <w:color w:val="000000"/>
          <w:sz w:val="22"/>
          <w:szCs w:val="22"/>
        </w:rPr>
        <w:t>(Nogueira and Montenegro, 2025)</w:t>
      </w:r>
      <w:r>
        <w:rPr>
          <w:rFonts w:ascii="Arial" w:hAnsi="Arial" w:cs="Arial"/>
          <w:sz w:val="22"/>
          <w:szCs w:val="22"/>
        </w:rPr>
        <w:t xml:space="preserve">. Dedicating sufficient time to analysing the secondary research utilised for the project helps to provide insights into how sustainable tourism has developed over recent years, whilst also serving to highlight areas that may need further research and investigation </w:t>
      </w:r>
      <w:r>
        <w:rPr>
          <w:rFonts w:ascii="Arial" w:hAnsi="Arial" w:cs="Arial"/>
          <w:color w:val="000000"/>
          <w:sz w:val="22"/>
          <w:szCs w:val="22"/>
        </w:rPr>
        <w:t>(Nogueira and Montenegro, 2025)</w:t>
      </w:r>
      <w:r>
        <w:rPr>
          <w:rFonts w:ascii="Arial" w:hAnsi="Arial" w:cs="Arial"/>
          <w:color w:val="000000"/>
          <w:sz w:val="22"/>
          <w:szCs w:val="22"/>
        </w:rPr>
        <w:t xml:space="preserve">. Allotting this time to research thoroughly can also aid the decision-making process, as well as helping to develop efficient strategies in order to address challenges surrounding sustainability within tourism </w:t>
      </w:r>
      <w:r>
        <w:rPr>
          <w:rFonts w:ascii="Arial" w:hAnsi="Arial" w:cs="Arial"/>
          <w:color w:val="000000"/>
          <w:sz w:val="22"/>
          <w:szCs w:val="22"/>
        </w:rPr>
        <w:t>(Nogueira and Montenegro, 2025)</w:t>
      </w:r>
      <w:r>
        <w:rPr>
          <w:rFonts w:ascii="Arial" w:hAnsi="Arial" w:cs="Arial"/>
          <w:color w:val="000000"/>
          <w:sz w:val="22"/>
          <w:szCs w:val="22"/>
        </w:rPr>
        <w:t>. The remaining three weeks will be spent cohesively condensing the information into the final research project, presenting their findings clearly with sufficient time to conclude their results. There is a budget of approximately £30 allocated to the project, in order to access databases that provide relevant and useful information for the researcher. Due to the lack of necessity to travel and conduct research, the budget remains low.</w:t>
      </w:r>
    </w:p>
    <w:p w14:paraId="16E3E1D5" w14:textId="77777777" w:rsidR="0086453B" w:rsidRDefault="0086453B" w:rsidP="00612D09">
      <w:pPr>
        <w:pStyle w:val="Heading1"/>
        <w:rPr>
          <w:rFonts w:ascii="Arial" w:hAnsi="Arial" w:cs="Arial"/>
          <w:b/>
          <w:bCs/>
          <w:color w:val="000000" w:themeColor="text1"/>
          <w:sz w:val="22"/>
          <w:szCs w:val="22"/>
          <w:u w:val="single"/>
        </w:rPr>
      </w:pPr>
      <w:bookmarkStart w:id="8" w:name="_Toc214200170"/>
      <w:r w:rsidRPr="00612D09">
        <w:rPr>
          <w:rFonts w:ascii="Arial" w:hAnsi="Arial" w:cs="Arial"/>
          <w:b/>
          <w:bCs/>
          <w:color w:val="000000" w:themeColor="text1"/>
          <w:sz w:val="22"/>
          <w:szCs w:val="22"/>
          <w:u w:val="single"/>
        </w:rPr>
        <w:t>Conclusions &amp; Limitations.</w:t>
      </w:r>
      <w:bookmarkEnd w:id="8"/>
    </w:p>
    <w:p w14:paraId="420B756B" w14:textId="1AE57B4A" w:rsidR="00EB482A" w:rsidRDefault="00EB482A" w:rsidP="00EB482A">
      <w:pPr>
        <w:jc w:val="both"/>
        <w:rPr>
          <w:rFonts w:ascii="Arial" w:hAnsi="Arial" w:cs="Arial"/>
          <w:sz w:val="22"/>
          <w:szCs w:val="22"/>
        </w:rPr>
      </w:pPr>
      <w:r>
        <w:rPr>
          <w:rFonts w:ascii="Arial" w:hAnsi="Arial" w:cs="Arial"/>
          <w:sz w:val="22"/>
          <w:szCs w:val="22"/>
        </w:rPr>
        <w:t xml:space="preserve">To conclude this research proposal, the aim of the research is to find evidence to suggest that implementing monorail transportation systems in more countries, following the success of these systems in countries such as China and its neighbouring nations, is viable and advisable for sustainability efforts. The research also aims to showcase the accessibility of monorail transportation, in contrast to pre-existing, widespread public transport, such as taxis or busses. </w:t>
      </w:r>
    </w:p>
    <w:p w14:paraId="4976DCFF" w14:textId="77777777" w:rsidR="00EB482A" w:rsidRDefault="00EB482A" w:rsidP="00EB482A">
      <w:pPr>
        <w:jc w:val="both"/>
        <w:rPr>
          <w:rFonts w:ascii="Arial" w:hAnsi="Arial" w:cs="Arial"/>
          <w:sz w:val="22"/>
          <w:szCs w:val="22"/>
        </w:rPr>
      </w:pPr>
    </w:p>
    <w:p w14:paraId="49BF2148" w14:textId="265E990B" w:rsidR="00EB482A" w:rsidRPr="00EB482A" w:rsidRDefault="00EB482A" w:rsidP="00EB482A">
      <w:pPr>
        <w:jc w:val="both"/>
        <w:rPr>
          <w:rFonts w:ascii="Arial" w:hAnsi="Arial" w:cs="Arial"/>
          <w:color w:val="000000" w:themeColor="text1"/>
          <w:sz w:val="22"/>
          <w:szCs w:val="22"/>
        </w:rPr>
      </w:pPr>
      <w:r>
        <w:rPr>
          <w:rFonts w:ascii="Arial" w:hAnsi="Arial" w:cs="Arial"/>
          <w:sz w:val="22"/>
          <w:szCs w:val="22"/>
        </w:rPr>
        <w:t xml:space="preserve">Considering that secondary research alone will be utilised, there are several limitations to consider. One limitation is linked to the nature of collecting data from secondary sources, which can often include purpose-specific data. This means that gaps could occur in results, where there is a lack of relevant data and research causes leads to questions remaining unanswered, meaning that secondary data may be lacking in the required variability required for specific analyses </w:t>
      </w:r>
      <w:r>
        <w:rPr>
          <w:rFonts w:ascii="Arial" w:hAnsi="Arial" w:cs="Arial"/>
          <w:color w:val="000000"/>
          <w:sz w:val="22"/>
          <w:szCs w:val="22"/>
        </w:rPr>
        <w:t xml:space="preserve">(Hoffmann, </w:t>
      </w:r>
      <w:proofErr w:type="spellStart"/>
      <w:r>
        <w:rPr>
          <w:rFonts w:ascii="Arial" w:hAnsi="Arial" w:cs="Arial"/>
          <w:color w:val="000000"/>
          <w:sz w:val="22"/>
          <w:szCs w:val="22"/>
        </w:rPr>
        <w:t>Bobrowski</w:t>
      </w:r>
      <w:proofErr w:type="spellEnd"/>
      <w:r>
        <w:rPr>
          <w:rFonts w:ascii="Arial" w:hAnsi="Arial" w:cs="Arial"/>
          <w:color w:val="000000"/>
          <w:sz w:val="22"/>
          <w:szCs w:val="22"/>
        </w:rPr>
        <w:t xml:space="preserve"> and </w:t>
      </w:r>
      <w:proofErr w:type="spellStart"/>
      <w:r>
        <w:rPr>
          <w:rFonts w:ascii="Arial" w:hAnsi="Arial" w:cs="Arial"/>
          <w:color w:val="000000"/>
          <w:sz w:val="22"/>
          <w:szCs w:val="22"/>
        </w:rPr>
        <w:t>Fendrich</w:t>
      </w:r>
      <w:proofErr w:type="spellEnd"/>
      <w:r>
        <w:rPr>
          <w:rFonts w:ascii="Arial" w:hAnsi="Arial" w:cs="Arial"/>
          <w:color w:val="000000"/>
          <w:sz w:val="22"/>
          <w:szCs w:val="22"/>
        </w:rPr>
        <w:t>, 2008)</w:t>
      </w:r>
      <w:r>
        <w:rPr>
          <w:rFonts w:ascii="Arial" w:hAnsi="Arial" w:cs="Arial"/>
          <w:color w:val="000000"/>
          <w:sz w:val="22"/>
          <w:szCs w:val="22"/>
        </w:rPr>
        <w:t xml:space="preserve">. It is possible for legal and regulatory constraints to cause limitations to the research; the European Union’s General Data Protection Regulation </w:t>
      </w:r>
      <w:r w:rsidR="00D36FBA">
        <w:rPr>
          <w:rFonts w:ascii="Arial" w:hAnsi="Arial" w:cs="Arial"/>
          <w:color w:val="000000"/>
          <w:sz w:val="22"/>
          <w:szCs w:val="22"/>
        </w:rPr>
        <w:t>implemented</w:t>
      </w:r>
      <w:r>
        <w:rPr>
          <w:rFonts w:ascii="Arial" w:hAnsi="Arial" w:cs="Arial"/>
          <w:color w:val="000000"/>
          <w:sz w:val="22"/>
          <w:szCs w:val="22"/>
        </w:rPr>
        <w:t xml:space="preserve"> a number of restraints for </w:t>
      </w:r>
      <w:r w:rsidR="00D36FBA">
        <w:rPr>
          <w:rFonts w:ascii="Arial" w:hAnsi="Arial" w:cs="Arial"/>
          <w:color w:val="000000"/>
          <w:sz w:val="22"/>
          <w:szCs w:val="22"/>
        </w:rPr>
        <w:t>the inclusion of personal data within secondary sources</w:t>
      </w:r>
      <w:r>
        <w:rPr>
          <w:rFonts w:ascii="Arial" w:hAnsi="Arial" w:cs="Arial"/>
          <w:color w:val="000000"/>
          <w:sz w:val="22"/>
          <w:szCs w:val="22"/>
        </w:rPr>
        <w:t xml:space="preserve">- the varying national implementations can restrict opportunities for the use of secondary data, which could cause potential disruptions in research activities, whilst also limiting access to valuable research information </w:t>
      </w:r>
      <w:bookmarkStart w:id="9" w:name="_Toc214200171"/>
      <w:r>
        <w:rPr>
          <w:rFonts w:ascii="Arial" w:hAnsi="Arial" w:cs="Arial"/>
          <w:color w:val="000000"/>
          <w:sz w:val="22"/>
          <w:szCs w:val="22"/>
        </w:rPr>
        <w:t>(Peloquin et al., 2020</w:t>
      </w:r>
      <w:r w:rsidRPr="00EB482A">
        <w:rPr>
          <w:rFonts w:ascii="Arial" w:hAnsi="Arial" w:cs="Arial"/>
          <w:color w:val="000000"/>
          <w:sz w:val="22"/>
          <w:szCs w:val="22"/>
        </w:rPr>
        <w:t>)</w:t>
      </w:r>
      <w:r w:rsidRPr="00EB482A">
        <w:rPr>
          <w:rFonts w:ascii="Arial" w:hAnsi="Arial" w:cs="Arial"/>
          <w:color w:val="000000" w:themeColor="text1"/>
          <w:sz w:val="22"/>
          <w:szCs w:val="22"/>
        </w:rPr>
        <w:t>.</w:t>
      </w:r>
    </w:p>
    <w:p w14:paraId="39437BE6" w14:textId="77777777" w:rsidR="00EB482A" w:rsidRDefault="00EB482A" w:rsidP="00EB482A">
      <w:pPr>
        <w:jc w:val="both"/>
        <w:rPr>
          <w:rFonts w:ascii="Arial" w:hAnsi="Arial" w:cs="Arial"/>
          <w:b/>
          <w:bCs/>
          <w:color w:val="000000" w:themeColor="text1"/>
          <w:sz w:val="22"/>
          <w:szCs w:val="22"/>
          <w:u w:val="single"/>
        </w:rPr>
      </w:pPr>
    </w:p>
    <w:p w14:paraId="0B00B831" w14:textId="77777777" w:rsidR="00EB482A" w:rsidRDefault="00EB482A" w:rsidP="00EB482A">
      <w:pPr>
        <w:jc w:val="both"/>
        <w:rPr>
          <w:rFonts w:ascii="Arial" w:hAnsi="Arial" w:cs="Arial"/>
          <w:b/>
          <w:bCs/>
          <w:color w:val="000000" w:themeColor="text1"/>
          <w:sz w:val="22"/>
          <w:szCs w:val="22"/>
          <w:u w:val="single"/>
        </w:rPr>
      </w:pPr>
    </w:p>
    <w:p w14:paraId="5CF43D47" w14:textId="77777777" w:rsidR="00EB482A" w:rsidRDefault="00EB482A" w:rsidP="00EB482A">
      <w:pPr>
        <w:jc w:val="both"/>
        <w:rPr>
          <w:rFonts w:ascii="Arial" w:hAnsi="Arial" w:cs="Arial"/>
          <w:color w:val="000000"/>
          <w:sz w:val="22"/>
          <w:szCs w:val="22"/>
        </w:rPr>
      </w:pPr>
    </w:p>
    <w:p w14:paraId="52898879" w14:textId="77777777" w:rsidR="00B41FC0" w:rsidRDefault="00B41FC0" w:rsidP="00EB482A">
      <w:pPr>
        <w:jc w:val="both"/>
        <w:rPr>
          <w:rFonts w:ascii="Arial" w:hAnsi="Arial" w:cs="Arial"/>
          <w:color w:val="000000"/>
          <w:sz w:val="22"/>
          <w:szCs w:val="22"/>
        </w:rPr>
      </w:pPr>
    </w:p>
    <w:p w14:paraId="5F79AA9D" w14:textId="77777777" w:rsidR="00B41FC0" w:rsidRDefault="00B41FC0" w:rsidP="00EB482A">
      <w:pPr>
        <w:jc w:val="both"/>
        <w:rPr>
          <w:rFonts w:ascii="Arial" w:hAnsi="Arial" w:cs="Arial"/>
          <w:color w:val="000000"/>
          <w:sz w:val="22"/>
          <w:szCs w:val="22"/>
        </w:rPr>
      </w:pPr>
    </w:p>
    <w:p w14:paraId="7FE6C364" w14:textId="77777777" w:rsidR="00B41FC0" w:rsidRPr="00EB482A" w:rsidRDefault="00B41FC0" w:rsidP="00EB482A">
      <w:pPr>
        <w:jc w:val="both"/>
        <w:rPr>
          <w:rFonts w:ascii="Arial" w:hAnsi="Arial" w:cs="Arial"/>
          <w:color w:val="000000"/>
          <w:sz w:val="22"/>
          <w:szCs w:val="22"/>
        </w:rPr>
      </w:pPr>
    </w:p>
    <w:p w14:paraId="252AB0B0" w14:textId="71C9268D" w:rsidR="00EB482A" w:rsidRPr="00EB482A" w:rsidRDefault="0086453B" w:rsidP="00EB482A">
      <w:pPr>
        <w:pStyle w:val="Heading1"/>
        <w:rPr>
          <w:rFonts w:ascii="Arial" w:hAnsi="Arial" w:cs="Arial"/>
          <w:b/>
          <w:bCs/>
          <w:color w:val="000000" w:themeColor="text1"/>
          <w:sz w:val="22"/>
          <w:szCs w:val="22"/>
          <w:u w:val="single"/>
        </w:rPr>
      </w:pPr>
      <w:r w:rsidRPr="00612D09">
        <w:rPr>
          <w:rFonts w:ascii="Arial" w:hAnsi="Arial" w:cs="Arial"/>
          <w:b/>
          <w:bCs/>
          <w:color w:val="000000" w:themeColor="text1"/>
          <w:sz w:val="22"/>
          <w:szCs w:val="22"/>
          <w:u w:val="single"/>
        </w:rPr>
        <w:lastRenderedPageBreak/>
        <w:t>References.</w:t>
      </w:r>
      <w:bookmarkEnd w:id="9"/>
    </w:p>
    <w:p w14:paraId="3F14B5EA"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Chatfield, S. (2020). Recommendations for Secondary Analysis of Qualitative Data.</w:t>
      </w:r>
      <w:r>
        <w:rPr>
          <w:rStyle w:val="apple-converted-space"/>
          <w:rFonts w:ascii="Arial" w:eastAsiaTheme="majorEastAsia" w:hAnsi="Arial" w:cs="Arial"/>
          <w:color w:val="000000"/>
          <w:sz w:val="22"/>
          <w:szCs w:val="22"/>
        </w:rPr>
        <w:t> </w:t>
      </w:r>
      <w:r>
        <w:rPr>
          <w:rFonts w:ascii="Arial" w:hAnsi="Arial" w:cs="Arial"/>
          <w:i/>
          <w:iCs/>
          <w:color w:val="000000"/>
          <w:sz w:val="22"/>
          <w:szCs w:val="22"/>
        </w:rPr>
        <w:t>The Qualitative Report</w:t>
      </w:r>
      <w:r>
        <w:rPr>
          <w:rFonts w:ascii="Arial" w:hAnsi="Arial" w:cs="Arial"/>
          <w:color w:val="000000"/>
          <w:sz w:val="22"/>
          <w:szCs w:val="22"/>
        </w:rPr>
        <w:t xml:space="preserve">, 25(3), pp.833–842. </w:t>
      </w:r>
      <w:proofErr w:type="spellStart"/>
      <w:r>
        <w:rPr>
          <w:rFonts w:ascii="Arial" w:hAnsi="Arial" w:cs="Arial"/>
          <w:color w:val="000000"/>
          <w:sz w:val="22"/>
          <w:szCs w:val="22"/>
        </w:rPr>
        <w:t>doi:https</w:t>
      </w:r>
      <w:proofErr w:type="spellEnd"/>
      <w:r>
        <w:rPr>
          <w:rFonts w:ascii="Arial" w:hAnsi="Arial" w:cs="Arial"/>
          <w:color w:val="000000"/>
          <w:sz w:val="22"/>
          <w:szCs w:val="22"/>
        </w:rPr>
        <w:t>://doi.org/10.46743/2160-3715/2020.4092.</w:t>
      </w:r>
    </w:p>
    <w:p w14:paraId="18939838"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Crossman, J. and Bordia, S. (2021).</w:t>
      </w:r>
      <w:r>
        <w:rPr>
          <w:rStyle w:val="apple-converted-space"/>
          <w:rFonts w:ascii="Arial" w:eastAsiaTheme="majorEastAsia" w:hAnsi="Arial" w:cs="Arial"/>
          <w:color w:val="000000"/>
          <w:sz w:val="22"/>
          <w:szCs w:val="22"/>
        </w:rPr>
        <w:t> </w:t>
      </w:r>
      <w:r>
        <w:rPr>
          <w:rFonts w:ascii="Arial" w:hAnsi="Arial" w:cs="Arial"/>
          <w:i/>
          <w:iCs/>
          <w:color w:val="000000"/>
          <w:sz w:val="22"/>
          <w:szCs w:val="22"/>
        </w:rPr>
        <w:t>Handbook of Qualitative Research Methodologies in Workplace Contexts</w:t>
      </w:r>
      <w:r>
        <w:rPr>
          <w:rFonts w:ascii="Arial" w:hAnsi="Arial" w:cs="Arial"/>
          <w:color w:val="000000"/>
          <w:sz w:val="22"/>
          <w:szCs w:val="22"/>
        </w:rPr>
        <w:t xml:space="preserve">. Edward Elgar Publishing. </w:t>
      </w:r>
      <w:proofErr w:type="spellStart"/>
      <w:r>
        <w:rPr>
          <w:rFonts w:ascii="Arial" w:hAnsi="Arial" w:cs="Arial"/>
          <w:color w:val="000000"/>
          <w:sz w:val="22"/>
          <w:szCs w:val="22"/>
        </w:rPr>
        <w:t>doi:https</w:t>
      </w:r>
      <w:proofErr w:type="spellEnd"/>
      <w:r>
        <w:rPr>
          <w:rFonts w:ascii="Arial" w:hAnsi="Arial" w:cs="Arial"/>
          <w:color w:val="000000"/>
          <w:sz w:val="22"/>
          <w:szCs w:val="22"/>
        </w:rPr>
        <w:t>://doi.org/10.4337/9781789904345.</w:t>
      </w:r>
    </w:p>
    <w:p w14:paraId="71435762" w14:textId="004686BF"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Department for Transport (2024).</w:t>
      </w:r>
      <w:r>
        <w:rPr>
          <w:rStyle w:val="apple-converted-space"/>
          <w:rFonts w:ascii="Arial" w:eastAsiaTheme="majorEastAsia" w:hAnsi="Arial" w:cs="Arial"/>
          <w:color w:val="000000"/>
          <w:sz w:val="22"/>
          <w:szCs w:val="22"/>
        </w:rPr>
        <w:t> </w:t>
      </w:r>
      <w:r>
        <w:rPr>
          <w:rFonts w:ascii="Arial" w:hAnsi="Arial" w:cs="Arial"/>
          <w:i/>
          <w:iCs/>
          <w:color w:val="000000"/>
          <w:sz w:val="22"/>
          <w:szCs w:val="22"/>
        </w:rPr>
        <w:t>Transport Statistics Great Britain: 2023 Domestic Travel</w:t>
      </w:r>
      <w:r>
        <w:rPr>
          <w:rFonts w:ascii="Arial" w:hAnsi="Arial" w:cs="Arial"/>
          <w:color w:val="000000"/>
          <w:sz w:val="22"/>
          <w:szCs w:val="22"/>
        </w:rPr>
        <w:t xml:space="preserve">. </w:t>
      </w:r>
      <w:r>
        <w:rPr>
          <w:rFonts w:ascii="Arial" w:hAnsi="Arial" w:cs="Arial"/>
          <w:color w:val="000000"/>
          <w:sz w:val="22"/>
          <w:szCs w:val="22"/>
        </w:rPr>
        <w:t>(</w:t>
      </w:r>
      <w:r>
        <w:rPr>
          <w:rFonts w:ascii="Arial" w:hAnsi="Arial" w:cs="Arial"/>
          <w:color w:val="000000"/>
          <w:sz w:val="22"/>
          <w:szCs w:val="22"/>
        </w:rPr>
        <w:t>online</w:t>
      </w:r>
      <w:r>
        <w:rPr>
          <w:rFonts w:ascii="Arial" w:hAnsi="Arial" w:cs="Arial"/>
          <w:color w:val="000000"/>
          <w:sz w:val="22"/>
          <w:szCs w:val="22"/>
        </w:rPr>
        <w:t>)</w:t>
      </w:r>
      <w:r>
        <w:rPr>
          <w:rFonts w:ascii="Arial" w:hAnsi="Arial" w:cs="Arial"/>
          <w:color w:val="000000"/>
          <w:sz w:val="22"/>
          <w:szCs w:val="22"/>
        </w:rPr>
        <w:t xml:space="preserve"> GOV.UK. Available at: https://www.gov.uk/government/statistics/transport-statistics-great-britain-2024/transport-statistics-great-britain-2023-domestic-travel </w:t>
      </w:r>
      <w:r>
        <w:rPr>
          <w:rFonts w:ascii="Arial" w:hAnsi="Arial" w:cs="Arial"/>
          <w:color w:val="000000"/>
          <w:sz w:val="22"/>
          <w:szCs w:val="22"/>
        </w:rPr>
        <w:t>(</w:t>
      </w:r>
      <w:r>
        <w:rPr>
          <w:rFonts w:ascii="Arial" w:hAnsi="Arial" w:cs="Arial"/>
          <w:color w:val="000000"/>
          <w:sz w:val="22"/>
          <w:szCs w:val="22"/>
        </w:rPr>
        <w:t>Accessed 17 Nov. 2025</w:t>
      </w:r>
      <w:r>
        <w:rPr>
          <w:rFonts w:ascii="Arial" w:hAnsi="Arial" w:cs="Arial"/>
          <w:color w:val="000000"/>
          <w:sz w:val="22"/>
          <w:szCs w:val="22"/>
        </w:rPr>
        <w:t>)</w:t>
      </w:r>
    </w:p>
    <w:p w14:paraId="3F7C4FE6"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Dubois, A., </w:t>
      </w:r>
      <w:proofErr w:type="spellStart"/>
      <w:r>
        <w:rPr>
          <w:rFonts w:ascii="Arial" w:hAnsi="Arial" w:cs="Arial"/>
          <w:color w:val="000000"/>
          <w:sz w:val="22"/>
          <w:szCs w:val="22"/>
        </w:rPr>
        <w:t>Lahaye</w:t>
      </w:r>
      <w:proofErr w:type="spellEnd"/>
      <w:r>
        <w:rPr>
          <w:rFonts w:ascii="Arial" w:hAnsi="Arial" w:cs="Arial"/>
          <w:color w:val="000000"/>
          <w:sz w:val="22"/>
          <w:szCs w:val="22"/>
        </w:rPr>
        <w:t xml:space="preserve">, M. and </w:t>
      </w:r>
      <w:proofErr w:type="spellStart"/>
      <w:r>
        <w:rPr>
          <w:rFonts w:ascii="Arial" w:hAnsi="Arial" w:cs="Arial"/>
          <w:color w:val="000000"/>
          <w:sz w:val="22"/>
          <w:szCs w:val="22"/>
        </w:rPr>
        <w:t>Aujoulat</w:t>
      </w:r>
      <w:proofErr w:type="spellEnd"/>
      <w:r>
        <w:rPr>
          <w:rFonts w:ascii="Arial" w:hAnsi="Arial" w:cs="Arial"/>
          <w:color w:val="000000"/>
          <w:sz w:val="22"/>
          <w:szCs w:val="22"/>
        </w:rPr>
        <w:t>, I. (2021). From research ‘on’ to research ‘with’ children about their family lives: A scoping review of ethical and methodological challenges.</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Child: Care, </w:t>
      </w:r>
      <w:proofErr w:type="gramStart"/>
      <w:r>
        <w:rPr>
          <w:rFonts w:ascii="Arial" w:hAnsi="Arial" w:cs="Arial"/>
          <w:i/>
          <w:iCs/>
          <w:color w:val="000000"/>
          <w:sz w:val="22"/>
          <w:szCs w:val="22"/>
        </w:rPr>
        <w:t>Health</w:t>
      </w:r>
      <w:proofErr w:type="gramEnd"/>
      <w:r>
        <w:rPr>
          <w:rFonts w:ascii="Arial" w:hAnsi="Arial" w:cs="Arial"/>
          <w:i/>
          <w:iCs/>
          <w:color w:val="000000"/>
          <w:sz w:val="22"/>
          <w:szCs w:val="22"/>
        </w:rPr>
        <w:t xml:space="preserve"> and Development</w:t>
      </w:r>
      <w:r>
        <w:rPr>
          <w:rFonts w:ascii="Arial" w:hAnsi="Arial" w:cs="Arial"/>
          <w:color w:val="000000"/>
          <w:sz w:val="22"/>
          <w:szCs w:val="22"/>
        </w:rPr>
        <w:t xml:space="preserve">, 48(2), pp.203–216. </w:t>
      </w:r>
      <w:proofErr w:type="spellStart"/>
      <w:r>
        <w:rPr>
          <w:rFonts w:ascii="Arial" w:hAnsi="Arial" w:cs="Arial"/>
          <w:color w:val="000000"/>
          <w:sz w:val="22"/>
          <w:szCs w:val="22"/>
        </w:rPr>
        <w:t>doi:https</w:t>
      </w:r>
      <w:proofErr w:type="spellEnd"/>
      <w:r>
        <w:rPr>
          <w:rFonts w:ascii="Arial" w:hAnsi="Arial" w:cs="Arial"/>
          <w:color w:val="000000"/>
          <w:sz w:val="22"/>
          <w:szCs w:val="22"/>
        </w:rPr>
        <w:t>://doi.org/10.1111/cch.12937.</w:t>
      </w:r>
    </w:p>
    <w:p w14:paraId="1F1209CA"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Fàbregues</w:t>
      </w:r>
      <w:proofErr w:type="spellEnd"/>
      <w:r>
        <w:rPr>
          <w:rFonts w:ascii="Arial" w:hAnsi="Arial" w:cs="Arial"/>
          <w:color w:val="000000"/>
          <w:sz w:val="22"/>
          <w:szCs w:val="22"/>
        </w:rPr>
        <w:t>, S., Escalante-Barrios, E.L., Molina-</w:t>
      </w:r>
      <w:proofErr w:type="spellStart"/>
      <w:r>
        <w:rPr>
          <w:rFonts w:ascii="Arial" w:hAnsi="Arial" w:cs="Arial"/>
          <w:color w:val="000000"/>
          <w:sz w:val="22"/>
          <w:szCs w:val="22"/>
        </w:rPr>
        <w:t>Azorin</w:t>
      </w:r>
      <w:proofErr w:type="spellEnd"/>
      <w:r>
        <w:rPr>
          <w:rFonts w:ascii="Arial" w:hAnsi="Arial" w:cs="Arial"/>
          <w:color w:val="000000"/>
          <w:sz w:val="22"/>
          <w:szCs w:val="22"/>
        </w:rPr>
        <w:t>, J.F., H</w:t>
      </w:r>
      <w:proofErr w:type="spellStart"/>
      <w:r>
        <w:rPr>
          <w:rFonts w:ascii="Arial" w:hAnsi="Arial" w:cs="Arial"/>
          <w:color w:val="000000"/>
          <w:sz w:val="22"/>
          <w:szCs w:val="22"/>
        </w:rPr>
        <w:t>ong, Q</w:t>
      </w:r>
      <w:proofErr w:type="spellEnd"/>
      <w:r>
        <w:rPr>
          <w:rFonts w:ascii="Arial" w:hAnsi="Arial" w:cs="Arial"/>
          <w:color w:val="000000"/>
          <w:sz w:val="22"/>
          <w:szCs w:val="22"/>
        </w:rPr>
        <w:t>.N. and Verd, J.M. (2021). Taking a critical stance towards mixed methods research: A cross-disciplinary qualitative secondary analysis of researchers’ views.</w:t>
      </w:r>
      <w:r>
        <w:rPr>
          <w:rStyle w:val="apple-converted-space"/>
          <w:rFonts w:ascii="Arial" w:eastAsiaTheme="majorEastAsia" w:hAnsi="Arial" w:cs="Arial"/>
          <w:color w:val="000000"/>
          <w:sz w:val="22"/>
          <w:szCs w:val="22"/>
        </w:rPr>
        <w:t> </w:t>
      </w:r>
      <w:r>
        <w:rPr>
          <w:rFonts w:ascii="Arial" w:hAnsi="Arial" w:cs="Arial"/>
          <w:i/>
          <w:iCs/>
          <w:color w:val="000000"/>
          <w:sz w:val="22"/>
          <w:szCs w:val="22"/>
        </w:rPr>
        <w:t>PLOS ONE</w:t>
      </w:r>
      <w:r>
        <w:rPr>
          <w:rFonts w:ascii="Arial" w:hAnsi="Arial" w:cs="Arial"/>
          <w:color w:val="000000"/>
          <w:sz w:val="22"/>
          <w:szCs w:val="22"/>
        </w:rPr>
        <w:t xml:space="preserve">, 16(7), p.e0252014. </w:t>
      </w:r>
      <w:proofErr w:type="spellStart"/>
      <w:r>
        <w:rPr>
          <w:rFonts w:ascii="Arial" w:hAnsi="Arial" w:cs="Arial"/>
          <w:color w:val="000000"/>
          <w:sz w:val="22"/>
          <w:szCs w:val="22"/>
        </w:rPr>
        <w:t>doi:https</w:t>
      </w:r>
      <w:proofErr w:type="spellEnd"/>
      <w:r>
        <w:rPr>
          <w:rFonts w:ascii="Arial" w:hAnsi="Arial" w:cs="Arial"/>
          <w:color w:val="000000"/>
          <w:sz w:val="22"/>
          <w:szCs w:val="22"/>
        </w:rPr>
        <w:t>://doi.org/10.1371/journal.pone.0252014.</w:t>
      </w:r>
    </w:p>
    <w:p w14:paraId="120E5F0E" w14:textId="01B09CD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Gilmore, S. (2017). Melanoma screening: Informing public health policy with quantitative modelling.</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PLoS</w:t>
      </w:r>
      <w:proofErr w:type="spellEnd"/>
      <w:r>
        <w:rPr>
          <w:rFonts w:ascii="Arial" w:hAnsi="Arial" w:cs="Arial"/>
          <w:i/>
          <w:iCs/>
          <w:color w:val="000000"/>
          <w:sz w:val="22"/>
          <w:szCs w:val="22"/>
        </w:rPr>
        <w:t xml:space="preserve"> ONE</w:t>
      </w:r>
      <w:r>
        <w:rPr>
          <w:rFonts w:ascii="Arial" w:hAnsi="Arial" w:cs="Arial"/>
          <w:color w:val="000000"/>
          <w:sz w:val="22"/>
          <w:szCs w:val="22"/>
        </w:rPr>
        <w:t xml:space="preserve">, (online) 12(9). </w:t>
      </w:r>
      <w:proofErr w:type="spellStart"/>
      <w:r>
        <w:rPr>
          <w:rFonts w:ascii="Arial" w:hAnsi="Arial" w:cs="Arial"/>
          <w:color w:val="000000"/>
          <w:sz w:val="22"/>
          <w:szCs w:val="22"/>
        </w:rPr>
        <w:t>doi:https</w:t>
      </w:r>
      <w:proofErr w:type="spellEnd"/>
      <w:r>
        <w:rPr>
          <w:rFonts w:ascii="Arial" w:hAnsi="Arial" w:cs="Arial"/>
          <w:color w:val="000000"/>
          <w:sz w:val="22"/>
          <w:szCs w:val="22"/>
        </w:rPr>
        <w:t>://doi.org/10.1371/journal.pone.0182349.</w:t>
      </w:r>
    </w:p>
    <w:p w14:paraId="4C61594D"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Haile, Z.T. (2024). The Utility of Secondary Data Analysis in Breastfeeding Research: Opportunities and Challenges.</w:t>
      </w:r>
      <w:r>
        <w:rPr>
          <w:rStyle w:val="apple-converted-space"/>
          <w:rFonts w:ascii="Arial" w:eastAsiaTheme="majorEastAsia" w:hAnsi="Arial" w:cs="Arial"/>
          <w:color w:val="000000"/>
          <w:sz w:val="22"/>
          <w:szCs w:val="22"/>
        </w:rPr>
        <w:t> </w:t>
      </w:r>
      <w:r>
        <w:rPr>
          <w:rFonts w:ascii="Arial" w:hAnsi="Arial" w:cs="Arial"/>
          <w:i/>
          <w:iCs/>
          <w:color w:val="000000"/>
          <w:sz w:val="22"/>
          <w:szCs w:val="22"/>
        </w:rPr>
        <w:t>Journal of Human Lactation</w:t>
      </w:r>
      <w:r>
        <w:rPr>
          <w:rFonts w:ascii="Arial" w:hAnsi="Arial" w:cs="Arial"/>
          <w:color w:val="000000"/>
          <w:sz w:val="22"/>
          <w:szCs w:val="22"/>
        </w:rPr>
        <w:t xml:space="preserve">, 41(1). </w:t>
      </w:r>
      <w:proofErr w:type="spellStart"/>
      <w:r>
        <w:rPr>
          <w:rFonts w:ascii="Arial" w:hAnsi="Arial" w:cs="Arial"/>
          <w:color w:val="000000"/>
          <w:sz w:val="22"/>
          <w:szCs w:val="22"/>
        </w:rPr>
        <w:t>doi:https</w:t>
      </w:r>
      <w:proofErr w:type="spellEnd"/>
      <w:r>
        <w:rPr>
          <w:rFonts w:ascii="Arial" w:hAnsi="Arial" w:cs="Arial"/>
          <w:color w:val="000000"/>
          <w:sz w:val="22"/>
          <w:szCs w:val="22"/>
        </w:rPr>
        <w:t>://doi.org/10.1177/08903344241304623.</w:t>
      </w:r>
    </w:p>
    <w:p w14:paraId="4DABC82C"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He, X. (2015). Application and Prospect of Straddle Monorail Transit System in China.</w:t>
      </w:r>
      <w:r>
        <w:rPr>
          <w:rStyle w:val="apple-converted-space"/>
          <w:rFonts w:ascii="Arial" w:eastAsiaTheme="majorEastAsia" w:hAnsi="Arial" w:cs="Arial"/>
          <w:color w:val="000000"/>
          <w:sz w:val="22"/>
          <w:szCs w:val="22"/>
        </w:rPr>
        <w:t> </w:t>
      </w:r>
      <w:r>
        <w:rPr>
          <w:rFonts w:ascii="Arial" w:hAnsi="Arial" w:cs="Arial"/>
          <w:i/>
          <w:iCs/>
          <w:color w:val="000000"/>
          <w:sz w:val="22"/>
          <w:szCs w:val="22"/>
        </w:rPr>
        <w:t>Urban Rail Transit</w:t>
      </w:r>
      <w:r>
        <w:rPr>
          <w:rFonts w:ascii="Arial" w:hAnsi="Arial" w:cs="Arial"/>
          <w:color w:val="000000"/>
          <w:sz w:val="22"/>
          <w:szCs w:val="22"/>
        </w:rPr>
        <w:t xml:space="preserve">, 1(1), pp.26–34. </w:t>
      </w:r>
      <w:proofErr w:type="spellStart"/>
      <w:r>
        <w:rPr>
          <w:rFonts w:ascii="Arial" w:hAnsi="Arial" w:cs="Arial"/>
          <w:color w:val="000000"/>
          <w:sz w:val="22"/>
          <w:szCs w:val="22"/>
        </w:rPr>
        <w:t>doi:https</w:t>
      </w:r>
      <w:proofErr w:type="spellEnd"/>
      <w:r>
        <w:rPr>
          <w:rFonts w:ascii="Arial" w:hAnsi="Arial" w:cs="Arial"/>
          <w:color w:val="000000"/>
          <w:sz w:val="22"/>
          <w:szCs w:val="22"/>
        </w:rPr>
        <w:t>://doi.org/10.1007/s40864-015-0006-9.</w:t>
      </w:r>
    </w:p>
    <w:p w14:paraId="522B1AB9" w14:textId="41B9AEF5"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Hoffmann, W., </w:t>
      </w:r>
      <w:proofErr w:type="spellStart"/>
      <w:r>
        <w:rPr>
          <w:rFonts w:ascii="Arial" w:hAnsi="Arial" w:cs="Arial"/>
          <w:color w:val="000000"/>
          <w:sz w:val="22"/>
          <w:szCs w:val="22"/>
        </w:rPr>
        <w:t>Bobrowski</w:t>
      </w:r>
      <w:proofErr w:type="spellEnd"/>
      <w:r>
        <w:rPr>
          <w:rFonts w:ascii="Arial" w:hAnsi="Arial" w:cs="Arial"/>
          <w:color w:val="000000"/>
          <w:sz w:val="22"/>
          <w:szCs w:val="22"/>
        </w:rPr>
        <w:t xml:space="preserve">, C. and </w:t>
      </w:r>
      <w:proofErr w:type="spellStart"/>
      <w:r>
        <w:rPr>
          <w:rFonts w:ascii="Arial" w:hAnsi="Arial" w:cs="Arial"/>
          <w:color w:val="000000"/>
          <w:sz w:val="22"/>
          <w:szCs w:val="22"/>
        </w:rPr>
        <w:t>Fendrich</w:t>
      </w:r>
      <w:proofErr w:type="spellEnd"/>
      <w:r>
        <w:rPr>
          <w:rFonts w:ascii="Arial" w:hAnsi="Arial" w:cs="Arial"/>
          <w:color w:val="000000"/>
          <w:sz w:val="22"/>
          <w:szCs w:val="22"/>
        </w:rPr>
        <w:t>, K. (2008). [Secondary data analysis in the field of epidemiology of health care. Potential and limitations].</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Bundesgesundheitsblatt</w:t>
      </w:r>
      <w:proofErr w:type="spellEnd"/>
      <w:r>
        <w:rPr>
          <w:rFonts w:ascii="Arial" w:hAnsi="Arial" w:cs="Arial"/>
          <w:i/>
          <w:iCs/>
          <w:color w:val="000000"/>
          <w:sz w:val="22"/>
          <w:szCs w:val="22"/>
        </w:rPr>
        <w:t xml:space="preserve">, </w:t>
      </w:r>
      <w:proofErr w:type="spellStart"/>
      <w:r>
        <w:rPr>
          <w:rFonts w:ascii="Arial" w:hAnsi="Arial" w:cs="Arial"/>
          <w:i/>
          <w:iCs/>
          <w:color w:val="000000"/>
          <w:sz w:val="22"/>
          <w:szCs w:val="22"/>
        </w:rPr>
        <w:t>Gesundheitsforschung</w:t>
      </w:r>
      <w:proofErr w:type="spellEnd"/>
      <w:r>
        <w:rPr>
          <w:rFonts w:ascii="Arial" w:hAnsi="Arial" w:cs="Arial"/>
          <w:i/>
          <w:iCs/>
          <w:color w:val="000000"/>
          <w:sz w:val="22"/>
          <w:szCs w:val="22"/>
        </w:rPr>
        <w:t xml:space="preserve">, </w:t>
      </w:r>
      <w:proofErr w:type="spellStart"/>
      <w:r>
        <w:rPr>
          <w:rFonts w:ascii="Arial" w:hAnsi="Arial" w:cs="Arial"/>
          <w:i/>
          <w:iCs/>
          <w:color w:val="000000"/>
          <w:sz w:val="22"/>
          <w:szCs w:val="22"/>
        </w:rPr>
        <w:t>Gesundheitsschutz</w:t>
      </w:r>
      <w:proofErr w:type="spellEnd"/>
      <w:r>
        <w:rPr>
          <w:rFonts w:ascii="Arial" w:hAnsi="Arial" w:cs="Arial"/>
          <w:color w:val="000000"/>
          <w:sz w:val="22"/>
          <w:szCs w:val="22"/>
        </w:rPr>
        <w:t xml:space="preserve">, (online) 51(10), pp.1193–1201. </w:t>
      </w:r>
      <w:proofErr w:type="spellStart"/>
      <w:r>
        <w:rPr>
          <w:rFonts w:ascii="Arial" w:hAnsi="Arial" w:cs="Arial"/>
          <w:color w:val="000000"/>
          <w:sz w:val="22"/>
          <w:szCs w:val="22"/>
        </w:rPr>
        <w:t>doi:https</w:t>
      </w:r>
      <w:proofErr w:type="spellEnd"/>
      <w:r>
        <w:rPr>
          <w:rFonts w:ascii="Arial" w:hAnsi="Arial" w:cs="Arial"/>
          <w:color w:val="000000"/>
          <w:sz w:val="22"/>
          <w:szCs w:val="22"/>
        </w:rPr>
        <w:t>://doi.org/10.1007/s00103-008-0654-y.</w:t>
      </w:r>
    </w:p>
    <w:p w14:paraId="5AAD03C5" w14:textId="5C19EA06"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Howell, B. (2020).</w:t>
      </w:r>
      <w:r>
        <w:rPr>
          <w:rStyle w:val="apple-converted-space"/>
          <w:rFonts w:ascii="Arial" w:eastAsiaTheme="majorEastAsia" w:hAnsi="Arial" w:cs="Arial"/>
          <w:color w:val="000000"/>
          <w:sz w:val="22"/>
          <w:szCs w:val="22"/>
        </w:rPr>
        <w:t> </w:t>
      </w:r>
      <w:r>
        <w:rPr>
          <w:rFonts w:ascii="Arial" w:hAnsi="Arial" w:cs="Arial"/>
          <w:i/>
          <w:iCs/>
          <w:color w:val="000000"/>
          <w:sz w:val="22"/>
          <w:szCs w:val="22"/>
        </w:rPr>
        <w:t>Bus vs Tube: Which is Worse for the Environment? | Eco Experts</w:t>
      </w:r>
      <w:r>
        <w:rPr>
          <w:rFonts w:ascii="Arial" w:hAnsi="Arial" w:cs="Arial"/>
          <w:color w:val="000000"/>
          <w:sz w:val="22"/>
          <w:szCs w:val="22"/>
        </w:rPr>
        <w:t xml:space="preserve">. </w:t>
      </w:r>
      <w:r>
        <w:rPr>
          <w:rFonts w:ascii="Arial" w:hAnsi="Arial" w:cs="Arial"/>
          <w:color w:val="000000"/>
          <w:sz w:val="22"/>
          <w:szCs w:val="22"/>
        </w:rPr>
        <w:t xml:space="preserve">(online) The Eco Experts. Available at: https://www.theecoexperts.co.uk/news/bus-vs-tube </w:t>
      </w:r>
      <w:r>
        <w:rPr>
          <w:rFonts w:ascii="Arial" w:hAnsi="Arial" w:cs="Arial"/>
          <w:color w:val="000000"/>
          <w:sz w:val="22"/>
          <w:szCs w:val="22"/>
        </w:rPr>
        <w:t>(</w:t>
      </w:r>
      <w:r>
        <w:rPr>
          <w:rFonts w:ascii="Arial" w:hAnsi="Arial" w:cs="Arial"/>
          <w:color w:val="000000"/>
          <w:sz w:val="22"/>
          <w:szCs w:val="22"/>
        </w:rPr>
        <w:t>Accessed 17 Nov. 2025</w:t>
      </w:r>
      <w:r>
        <w:rPr>
          <w:rFonts w:ascii="Arial" w:hAnsi="Arial" w:cs="Arial"/>
          <w:color w:val="000000"/>
          <w:sz w:val="22"/>
          <w:szCs w:val="22"/>
        </w:rPr>
        <w:t>)</w:t>
      </w:r>
      <w:r>
        <w:rPr>
          <w:rFonts w:ascii="Arial" w:hAnsi="Arial" w:cs="Arial"/>
          <w:color w:val="000000"/>
          <w:sz w:val="22"/>
          <w:szCs w:val="22"/>
        </w:rPr>
        <w:t>.</w:t>
      </w:r>
    </w:p>
    <w:p w14:paraId="3A76913B"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Kikuchi, S. and </w:t>
      </w:r>
      <w:proofErr w:type="spellStart"/>
      <w:r>
        <w:rPr>
          <w:rFonts w:ascii="Arial" w:hAnsi="Arial" w:cs="Arial"/>
          <w:color w:val="000000"/>
          <w:sz w:val="22"/>
          <w:szCs w:val="22"/>
        </w:rPr>
        <w:t>Onaka</w:t>
      </w:r>
      <w:proofErr w:type="spellEnd"/>
      <w:r>
        <w:rPr>
          <w:rFonts w:ascii="Arial" w:hAnsi="Arial" w:cs="Arial"/>
          <w:color w:val="000000"/>
          <w:sz w:val="22"/>
          <w:szCs w:val="22"/>
        </w:rPr>
        <w:t>, A. (1988). Monorail development and application in Japan.</w:t>
      </w:r>
      <w:r>
        <w:rPr>
          <w:rStyle w:val="apple-converted-space"/>
          <w:rFonts w:ascii="Arial" w:eastAsiaTheme="majorEastAsia" w:hAnsi="Arial" w:cs="Arial"/>
          <w:color w:val="000000"/>
          <w:sz w:val="22"/>
          <w:szCs w:val="22"/>
        </w:rPr>
        <w:t> </w:t>
      </w:r>
      <w:r>
        <w:rPr>
          <w:rFonts w:ascii="Arial" w:hAnsi="Arial" w:cs="Arial"/>
          <w:i/>
          <w:iCs/>
          <w:color w:val="000000"/>
          <w:sz w:val="22"/>
          <w:szCs w:val="22"/>
        </w:rPr>
        <w:t>Journal of Advanced Transportation</w:t>
      </w:r>
      <w:r>
        <w:rPr>
          <w:rFonts w:ascii="Arial" w:hAnsi="Arial" w:cs="Arial"/>
          <w:color w:val="000000"/>
          <w:sz w:val="22"/>
          <w:szCs w:val="22"/>
        </w:rPr>
        <w:t xml:space="preserve">, 22(1), pp.17–38. </w:t>
      </w:r>
      <w:proofErr w:type="spellStart"/>
      <w:r>
        <w:rPr>
          <w:rFonts w:ascii="Arial" w:hAnsi="Arial" w:cs="Arial"/>
          <w:color w:val="000000"/>
          <w:sz w:val="22"/>
          <w:szCs w:val="22"/>
        </w:rPr>
        <w:t>doi:https</w:t>
      </w:r>
      <w:proofErr w:type="spellEnd"/>
      <w:r>
        <w:rPr>
          <w:rFonts w:ascii="Arial" w:hAnsi="Arial" w:cs="Arial"/>
          <w:color w:val="000000"/>
          <w:sz w:val="22"/>
          <w:szCs w:val="22"/>
        </w:rPr>
        <w:t>://doi.org/10.1002/atr.5670220103.</w:t>
      </w:r>
    </w:p>
    <w:p w14:paraId="71AE5727" w14:textId="029B6080"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Lim, W.M. (2024). What is quantitative research? An overview and guidelines.</w:t>
      </w:r>
      <w:r>
        <w:rPr>
          <w:rStyle w:val="apple-converted-space"/>
          <w:rFonts w:ascii="Arial" w:eastAsiaTheme="majorEastAsia" w:hAnsi="Arial" w:cs="Arial"/>
          <w:color w:val="000000"/>
          <w:sz w:val="22"/>
          <w:szCs w:val="22"/>
        </w:rPr>
        <w:t> </w:t>
      </w:r>
      <w:r>
        <w:rPr>
          <w:rFonts w:ascii="Arial" w:hAnsi="Arial" w:cs="Arial"/>
          <w:i/>
          <w:iCs/>
          <w:color w:val="000000"/>
          <w:sz w:val="22"/>
          <w:szCs w:val="22"/>
        </w:rPr>
        <w:t>Australasian Marketing Journal (AMJ)</w:t>
      </w:r>
      <w:r>
        <w:rPr>
          <w:rFonts w:ascii="Arial" w:hAnsi="Arial" w:cs="Arial"/>
          <w:color w:val="000000"/>
          <w:sz w:val="22"/>
          <w:szCs w:val="22"/>
        </w:rPr>
        <w:t xml:space="preserve">, (online) 1(1). </w:t>
      </w:r>
      <w:proofErr w:type="spellStart"/>
      <w:r>
        <w:rPr>
          <w:rFonts w:ascii="Arial" w:hAnsi="Arial" w:cs="Arial"/>
          <w:color w:val="000000"/>
          <w:sz w:val="22"/>
          <w:szCs w:val="22"/>
        </w:rPr>
        <w:t>doi:https</w:t>
      </w:r>
      <w:proofErr w:type="spellEnd"/>
      <w:r>
        <w:rPr>
          <w:rFonts w:ascii="Arial" w:hAnsi="Arial" w:cs="Arial"/>
          <w:color w:val="000000"/>
          <w:sz w:val="22"/>
          <w:szCs w:val="22"/>
        </w:rPr>
        <w:t>://doi.org/10.1177/14413582241264622.</w:t>
      </w:r>
    </w:p>
    <w:p w14:paraId="48526163"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lastRenderedPageBreak/>
        <w:t xml:space="preserve">Malhotra, S.K., White, H., Dela Cruz, N.A.O., Saran, A., Eyers, J., John, D., Beveridge, E. and </w:t>
      </w:r>
      <w:proofErr w:type="spellStart"/>
      <w:r>
        <w:rPr>
          <w:rFonts w:ascii="Arial" w:hAnsi="Arial" w:cs="Arial"/>
          <w:color w:val="000000"/>
          <w:sz w:val="22"/>
          <w:szCs w:val="22"/>
        </w:rPr>
        <w:t>Blöndal</w:t>
      </w:r>
      <w:proofErr w:type="spellEnd"/>
      <w:r>
        <w:rPr>
          <w:rFonts w:ascii="Arial" w:hAnsi="Arial" w:cs="Arial"/>
          <w:color w:val="000000"/>
          <w:sz w:val="22"/>
          <w:szCs w:val="22"/>
        </w:rPr>
        <w:t>, N. (2021). Studies of the effectiveness of transport sector interventions in low</w:t>
      </w:r>
      <w:r>
        <w:rPr>
          <w:rFonts w:ascii="Cambria Math" w:hAnsi="Cambria Math" w:cs="Cambria Math"/>
          <w:color w:val="000000"/>
          <w:sz w:val="22"/>
          <w:szCs w:val="22"/>
        </w:rPr>
        <w:t>‐</w:t>
      </w:r>
      <w:r>
        <w:rPr>
          <w:rFonts w:ascii="Arial" w:hAnsi="Arial" w:cs="Arial"/>
          <w:color w:val="000000"/>
          <w:sz w:val="22"/>
          <w:szCs w:val="22"/>
        </w:rPr>
        <w:t xml:space="preserve"> and middle</w:t>
      </w:r>
      <w:r>
        <w:rPr>
          <w:rFonts w:ascii="Cambria Math" w:hAnsi="Cambria Math" w:cs="Cambria Math"/>
          <w:color w:val="000000"/>
          <w:sz w:val="22"/>
          <w:szCs w:val="22"/>
        </w:rPr>
        <w:t>‐</w:t>
      </w:r>
      <w:r>
        <w:rPr>
          <w:rFonts w:ascii="Arial" w:hAnsi="Arial" w:cs="Arial"/>
          <w:color w:val="000000"/>
          <w:sz w:val="22"/>
          <w:szCs w:val="22"/>
        </w:rPr>
        <w:t>income countries: An evidence and gap map.</w:t>
      </w:r>
      <w:r>
        <w:rPr>
          <w:rStyle w:val="apple-converted-space"/>
          <w:rFonts w:ascii="Arial" w:eastAsiaTheme="majorEastAsia" w:hAnsi="Arial" w:cs="Arial"/>
          <w:color w:val="000000"/>
          <w:sz w:val="22"/>
          <w:szCs w:val="22"/>
        </w:rPr>
        <w:t> </w:t>
      </w:r>
      <w:r>
        <w:rPr>
          <w:rFonts w:ascii="Arial" w:hAnsi="Arial" w:cs="Arial"/>
          <w:i/>
          <w:iCs/>
          <w:color w:val="000000"/>
          <w:sz w:val="22"/>
          <w:szCs w:val="22"/>
        </w:rPr>
        <w:t>Campbell Systematic Reviews</w:t>
      </w:r>
      <w:r>
        <w:rPr>
          <w:rFonts w:ascii="Arial" w:hAnsi="Arial" w:cs="Arial"/>
          <w:color w:val="000000"/>
          <w:sz w:val="22"/>
          <w:szCs w:val="22"/>
        </w:rPr>
        <w:t xml:space="preserve">, 17(4). </w:t>
      </w:r>
      <w:proofErr w:type="spellStart"/>
      <w:r>
        <w:rPr>
          <w:rFonts w:ascii="Arial" w:hAnsi="Arial" w:cs="Arial"/>
          <w:color w:val="000000"/>
          <w:sz w:val="22"/>
          <w:szCs w:val="22"/>
        </w:rPr>
        <w:t>doi:https</w:t>
      </w:r>
      <w:proofErr w:type="spellEnd"/>
      <w:r>
        <w:rPr>
          <w:rFonts w:ascii="Arial" w:hAnsi="Arial" w:cs="Arial"/>
          <w:color w:val="000000"/>
          <w:sz w:val="22"/>
          <w:szCs w:val="22"/>
        </w:rPr>
        <w:t>://doi.org/10.1002/cl2.1203.</w:t>
      </w:r>
    </w:p>
    <w:p w14:paraId="1B6EF44D" w14:textId="12398EF0" w:rsidR="00EB482A" w:rsidRDefault="00EB482A" w:rsidP="00EB482A">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Myllyvirta</w:t>
      </w:r>
      <w:proofErr w:type="spellEnd"/>
      <w:r>
        <w:rPr>
          <w:rFonts w:ascii="Arial" w:hAnsi="Arial" w:cs="Arial"/>
          <w:color w:val="000000"/>
          <w:sz w:val="22"/>
          <w:szCs w:val="22"/>
        </w:rPr>
        <w:t>, L.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Analysis: China’s CO2 emissions have now been flat or falling for 18 months - Carbon Brief</w:t>
      </w:r>
      <w:r>
        <w:rPr>
          <w:rFonts w:ascii="Arial" w:hAnsi="Arial" w:cs="Arial"/>
          <w:color w:val="000000"/>
          <w:sz w:val="22"/>
          <w:szCs w:val="22"/>
        </w:rPr>
        <w:t xml:space="preserve">. (online) Carbon Brief. Available at: https://www.carbonbrief.org/analysis-chinas-co2-emissions-have-now-been-flat-or-falling-for-18-months/ </w:t>
      </w:r>
      <w:r>
        <w:rPr>
          <w:rFonts w:ascii="Arial" w:hAnsi="Arial" w:cs="Arial"/>
          <w:color w:val="000000"/>
          <w:sz w:val="22"/>
          <w:szCs w:val="22"/>
        </w:rPr>
        <w:t>(</w:t>
      </w:r>
      <w:r>
        <w:rPr>
          <w:rFonts w:ascii="Arial" w:hAnsi="Arial" w:cs="Arial"/>
          <w:color w:val="000000"/>
          <w:sz w:val="22"/>
          <w:szCs w:val="22"/>
        </w:rPr>
        <w:t>Accessed 16 Nov. 2025</w:t>
      </w:r>
      <w:r>
        <w:rPr>
          <w:rFonts w:ascii="Arial" w:hAnsi="Arial" w:cs="Arial"/>
          <w:color w:val="000000"/>
          <w:sz w:val="22"/>
          <w:szCs w:val="22"/>
        </w:rPr>
        <w:t>)</w:t>
      </w:r>
      <w:r>
        <w:rPr>
          <w:rFonts w:ascii="Arial" w:hAnsi="Arial" w:cs="Arial"/>
          <w:color w:val="000000"/>
          <w:sz w:val="22"/>
          <w:szCs w:val="22"/>
        </w:rPr>
        <w:t>.</w:t>
      </w:r>
    </w:p>
    <w:p w14:paraId="0A9EDF94"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Nogueira, E. and Montenegro, Z. (2025). Exploring Sustainable Tourism Research Trends: A Literature Review of the Last Decade.</w:t>
      </w:r>
      <w:r>
        <w:rPr>
          <w:rStyle w:val="apple-converted-space"/>
          <w:rFonts w:ascii="Arial" w:eastAsiaTheme="majorEastAsia" w:hAnsi="Arial" w:cs="Arial"/>
          <w:color w:val="000000"/>
          <w:sz w:val="22"/>
          <w:szCs w:val="22"/>
        </w:rPr>
        <w:t> </w:t>
      </w:r>
      <w:r>
        <w:rPr>
          <w:rFonts w:ascii="Arial" w:hAnsi="Arial" w:cs="Arial"/>
          <w:i/>
          <w:iCs/>
          <w:color w:val="000000"/>
          <w:sz w:val="22"/>
          <w:szCs w:val="22"/>
        </w:rPr>
        <w:t>International Conference on Tourism Research</w:t>
      </w:r>
      <w:r>
        <w:rPr>
          <w:rFonts w:ascii="Arial" w:hAnsi="Arial" w:cs="Arial"/>
          <w:color w:val="000000"/>
          <w:sz w:val="22"/>
          <w:szCs w:val="22"/>
        </w:rPr>
        <w:t xml:space="preserve">, 8(1), pp.205–213. </w:t>
      </w:r>
      <w:proofErr w:type="spellStart"/>
      <w:r>
        <w:rPr>
          <w:rFonts w:ascii="Arial" w:hAnsi="Arial" w:cs="Arial"/>
          <w:color w:val="000000"/>
          <w:sz w:val="22"/>
          <w:szCs w:val="22"/>
        </w:rPr>
        <w:t>doi:https</w:t>
      </w:r>
      <w:proofErr w:type="spellEnd"/>
      <w:r>
        <w:rPr>
          <w:rFonts w:ascii="Arial" w:hAnsi="Arial" w:cs="Arial"/>
          <w:color w:val="000000"/>
          <w:sz w:val="22"/>
          <w:szCs w:val="22"/>
        </w:rPr>
        <w:t>://doi.org/10.34190/ictr.8.1.3404.</w:t>
      </w:r>
    </w:p>
    <w:p w14:paraId="0BF3EDB0"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Peloquin, D., </w:t>
      </w:r>
      <w:proofErr w:type="spellStart"/>
      <w:r>
        <w:rPr>
          <w:rFonts w:ascii="Arial" w:hAnsi="Arial" w:cs="Arial"/>
          <w:color w:val="000000"/>
          <w:sz w:val="22"/>
          <w:szCs w:val="22"/>
        </w:rPr>
        <w:t>DiMaio</w:t>
      </w:r>
      <w:proofErr w:type="spellEnd"/>
      <w:r>
        <w:rPr>
          <w:rFonts w:ascii="Arial" w:hAnsi="Arial" w:cs="Arial"/>
          <w:color w:val="000000"/>
          <w:sz w:val="22"/>
          <w:szCs w:val="22"/>
        </w:rPr>
        <w:t xml:space="preserve">, M., </w:t>
      </w:r>
      <w:proofErr w:type="spellStart"/>
      <w:r>
        <w:rPr>
          <w:rFonts w:ascii="Arial" w:hAnsi="Arial" w:cs="Arial"/>
          <w:color w:val="000000"/>
          <w:sz w:val="22"/>
          <w:szCs w:val="22"/>
        </w:rPr>
        <w:t>Bierer</w:t>
      </w:r>
      <w:proofErr w:type="spellEnd"/>
      <w:r>
        <w:rPr>
          <w:rFonts w:ascii="Arial" w:hAnsi="Arial" w:cs="Arial"/>
          <w:color w:val="000000"/>
          <w:sz w:val="22"/>
          <w:szCs w:val="22"/>
        </w:rPr>
        <w:t>, B. and Barnes, M. (2020). Disruptive and avoidable: GDPR challenges to secondary research uses of data.</w:t>
      </w:r>
      <w:r>
        <w:rPr>
          <w:rStyle w:val="apple-converted-space"/>
          <w:rFonts w:ascii="Arial" w:eastAsiaTheme="majorEastAsia" w:hAnsi="Arial" w:cs="Arial"/>
          <w:color w:val="000000"/>
          <w:sz w:val="22"/>
          <w:szCs w:val="22"/>
        </w:rPr>
        <w:t> </w:t>
      </w:r>
      <w:r>
        <w:rPr>
          <w:rFonts w:ascii="Arial" w:hAnsi="Arial" w:cs="Arial"/>
          <w:i/>
          <w:iCs/>
          <w:color w:val="000000"/>
          <w:sz w:val="22"/>
          <w:szCs w:val="22"/>
        </w:rPr>
        <w:t>European Journal of Human Genetics</w:t>
      </w:r>
      <w:r>
        <w:rPr>
          <w:rFonts w:ascii="Arial" w:hAnsi="Arial" w:cs="Arial"/>
          <w:color w:val="000000"/>
          <w:sz w:val="22"/>
          <w:szCs w:val="22"/>
        </w:rPr>
        <w:t xml:space="preserve">, 28(6), pp.1–9. </w:t>
      </w:r>
      <w:proofErr w:type="spellStart"/>
      <w:r>
        <w:rPr>
          <w:rFonts w:ascii="Arial" w:hAnsi="Arial" w:cs="Arial"/>
          <w:color w:val="000000"/>
          <w:sz w:val="22"/>
          <w:szCs w:val="22"/>
        </w:rPr>
        <w:t>doi:https</w:t>
      </w:r>
      <w:proofErr w:type="spellEnd"/>
      <w:r>
        <w:rPr>
          <w:rFonts w:ascii="Arial" w:hAnsi="Arial" w:cs="Arial"/>
          <w:color w:val="000000"/>
          <w:sz w:val="22"/>
          <w:szCs w:val="22"/>
        </w:rPr>
        <w:t>://doi.org/10.1038/s41431-020-0596-x.</w:t>
      </w:r>
    </w:p>
    <w:p w14:paraId="27F21FE7" w14:textId="768EEEFA" w:rsidR="00EB482A" w:rsidRDefault="00EB482A" w:rsidP="00EB482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Statista (2024).</w:t>
      </w:r>
      <w:r>
        <w:rPr>
          <w:rStyle w:val="apple-converted-space"/>
          <w:rFonts w:ascii="Arial" w:eastAsiaTheme="majorEastAsia" w:hAnsi="Arial" w:cs="Arial"/>
          <w:color w:val="000000"/>
          <w:sz w:val="22"/>
          <w:szCs w:val="22"/>
        </w:rPr>
        <w:t> </w:t>
      </w:r>
      <w:r>
        <w:rPr>
          <w:rFonts w:ascii="Arial" w:hAnsi="Arial" w:cs="Arial"/>
          <w:i/>
          <w:iCs/>
          <w:color w:val="000000"/>
          <w:sz w:val="22"/>
          <w:szCs w:val="22"/>
        </w:rPr>
        <w:t>Topic: London Underground: the Tube</w:t>
      </w:r>
      <w:r>
        <w:rPr>
          <w:rFonts w:ascii="Arial" w:hAnsi="Arial" w:cs="Arial"/>
          <w:color w:val="000000"/>
          <w:sz w:val="22"/>
          <w:szCs w:val="22"/>
        </w:rPr>
        <w:t xml:space="preserve">. (online) Statista. Available at: https://www.statista.com/topics/5092/london-underground-the-tube/?srsltid=AfmBOorfv81cwEMKnRZ2QvNGWvT3vlFWBLr6fh7k4yjsQHyRUv_cuosR </w:t>
      </w:r>
      <w:r>
        <w:rPr>
          <w:rFonts w:ascii="Arial" w:hAnsi="Arial" w:cs="Arial"/>
          <w:color w:val="000000"/>
          <w:sz w:val="22"/>
          <w:szCs w:val="22"/>
        </w:rPr>
        <w:t>(</w:t>
      </w:r>
      <w:r>
        <w:rPr>
          <w:rFonts w:ascii="Arial" w:hAnsi="Arial" w:cs="Arial"/>
          <w:color w:val="000000"/>
          <w:sz w:val="22"/>
          <w:szCs w:val="22"/>
        </w:rPr>
        <w:t>Accessed 17 Nov. 2025</w:t>
      </w:r>
      <w:r>
        <w:rPr>
          <w:rFonts w:ascii="Arial" w:hAnsi="Arial" w:cs="Arial"/>
          <w:color w:val="000000"/>
          <w:sz w:val="22"/>
          <w:szCs w:val="22"/>
        </w:rPr>
        <w:t>)</w:t>
      </w:r>
      <w:r>
        <w:rPr>
          <w:rFonts w:ascii="Arial" w:hAnsi="Arial" w:cs="Arial"/>
          <w:color w:val="000000"/>
          <w:sz w:val="22"/>
          <w:szCs w:val="22"/>
        </w:rPr>
        <w:t>.</w:t>
      </w:r>
    </w:p>
    <w:p w14:paraId="0EBEA5C8" w14:textId="77777777" w:rsidR="00EB482A" w:rsidRDefault="00EB482A" w:rsidP="00EB482A">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Timan</w:t>
      </w:r>
      <w:proofErr w:type="spellEnd"/>
      <w:r>
        <w:rPr>
          <w:rFonts w:ascii="Arial" w:hAnsi="Arial" w:cs="Arial"/>
          <w:color w:val="000000"/>
          <w:sz w:val="22"/>
          <w:szCs w:val="22"/>
        </w:rPr>
        <w:t>, P.E. (2015). Why Monorail Systems Provide a Great Solution for Metropolitan Areas.</w:t>
      </w:r>
      <w:r>
        <w:rPr>
          <w:rStyle w:val="apple-converted-space"/>
          <w:rFonts w:ascii="Arial" w:eastAsiaTheme="majorEastAsia" w:hAnsi="Arial" w:cs="Arial"/>
          <w:color w:val="000000"/>
          <w:sz w:val="22"/>
          <w:szCs w:val="22"/>
        </w:rPr>
        <w:t> </w:t>
      </w:r>
      <w:r>
        <w:rPr>
          <w:rFonts w:ascii="Arial" w:hAnsi="Arial" w:cs="Arial"/>
          <w:i/>
          <w:iCs/>
          <w:color w:val="000000"/>
          <w:sz w:val="22"/>
          <w:szCs w:val="22"/>
        </w:rPr>
        <w:t>Urban Rail Transit</w:t>
      </w:r>
      <w:r>
        <w:rPr>
          <w:rFonts w:ascii="Arial" w:hAnsi="Arial" w:cs="Arial"/>
          <w:color w:val="000000"/>
          <w:sz w:val="22"/>
          <w:szCs w:val="22"/>
        </w:rPr>
        <w:t xml:space="preserve">, 1(1), pp.13–25. </w:t>
      </w:r>
      <w:proofErr w:type="spellStart"/>
      <w:r>
        <w:rPr>
          <w:rFonts w:ascii="Arial" w:hAnsi="Arial" w:cs="Arial"/>
          <w:color w:val="000000"/>
          <w:sz w:val="22"/>
          <w:szCs w:val="22"/>
        </w:rPr>
        <w:t>doi:https</w:t>
      </w:r>
      <w:proofErr w:type="spellEnd"/>
      <w:r>
        <w:rPr>
          <w:rFonts w:ascii="Arial" w:hAnsi="Arial" w:cs="Arial"/>
          <w:color w:val="000000"/>
          <w:sz w:val="22"/>
          <w:szCs w:val="22"/>
        </w:rPr>
        <w:t>://doi.org/10.1007/s40864-015-0001-1.</w:t>
      </w:r>
    </w:p>
    <w:p w14:paraId="5BEDC550" w14:textId="1448B9F2" w:rsidR="00EB482A" w:rsidRPr="00EB482A" w:rsidRDefault="00EB482A" w:rsidP="00EB482A">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Zhai</w:t>
      </w:r>
      <w:proofErr w:type="spellEnd"/>
      <w:r>
        <w:rPr>
          <w:rFonts w:ascii="Arial" w:hAnsi="Arial" w:cs="Arial"/>
          <w:color w:val="000000"/>
          <w:sz w:val="22"/>
          <w:szCs w:val="22"/>
        </w:rPr>
        <w:t>, W., He, Q., Bao, Y. and Cai, C. (2025). Suspended monorail system dynamics: fundamental and practice.</w:t>
      </w:r>
      <w:r>
        <w:rPr>
          <w:rStyle w:val="apple-converted-space"/>
          <w:rFonts w:ascii="Arial" w:eastAsiaTheme="majorEastAsia" w:hAnsi="Arial" w:cs="Arial"/>
          <w:color w:val="000000"/>
          <w:sz w:val="22"/>
          <w:szCs w:val="22"/>
        </w:rPr>
        <w:t> </w:t>
      </w:r>
      <w:r>
        <w:rPr>
          <w:rFonts w:ascii="Arial" w:hAnsi="Arial" w:cs="Arial"/>
          <w:i/>
          <w:iCs/>
          <w:color w:val="000000"/>
          <w:sz w:val="22"/>
          <w:szCs w:val="22"/>
        </w:rPr>
        <w:t>Railway Engineering Science</w:t>
      </w:r>
      <w:r>
        <w:rPr>
          <w:rFonts w:ascii="Arial" w:hAnsi="Arial" w:cs="Arial"/>
          <w:color w:val="000000"/>
          <w:sz w:val="22"/>
          <w:szCs w:val="22"/>
        </w:rPr>
        <w:t xml:space="preserve">, [online] 33(3), pp.379–413. </w:t>
      </w:r>
      <w:proofErr w:type="spellStart"/>
      <w:r>
        <w:rPr>
          <w:rFonts w:ascii="Arial" w:hAnsi="Arial" w:cs="Arial"/>
          <w:color w:val="000000"/>
          <w:sz w:val="22"/>
          <w:szCs w:val="22"/>
        </w:rPr>
        <w:t>doi:https</w:t>
      </w:r>
      <w:proofErr w:type="spellEnd"/>
      <w:r>
        <w:rPr>
          <w:rFonts w:ascii="Arial" w:hAnsi="Arial" w:cs="Arial"/>
          <w:color w:val="000000"/>
          <w:sz w:val="22"/>
          <w:szCs w:val="22"/>
        </w:rPr>
        <w:t>://doi.org/10.1007/s40534-025-00403-6.</w:t>
      </w:r>
    </w:p>
    <w:sectPr w:rsidR="00EB482A" w:rsidRPr="00EB482A"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53B"/>
    <w:rsid w:val="00010239"/>
    <w:rsid w:val="001F2D0F"/>
    <w:rsid w:val="00215300"/>
    <w:rsid w:val="003F57E0"/>
    <w:rsid w:val="00607737"/>
    <w:rsid w:val="00612D09"/>
    <w:rsid w:val="00700B3B"/>
    <w:rsid w:val="00771D47"/>
    <w:rsid w:val="0077204D"/>
    <w:rsid w:val="0086453B"/>
    <w:rsid w:val="008D5CD7"/>
    <w:rsid w:val="009B2DAF"/>
    <w:rsid w:val="009D7E4A"/>
    <w:rsid w:val="00B41FC0"/>
    <w:rsid w:val="00BB6A8F"/>
    <w:rsid w:val="00C735A8"/>
    <w:rsid w:val="00D36FBA"/>
    <w:rsid w:val="00DA07E4"/>
    <w:rsid w:val="00E02387"/>
    <w:rsid w:val="00E13170"/>
    <w:rsid w:val="00EB482A"/>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E031F"/>
  <w15:chartTrackingRefBased/>
  <w15:docId w15:val="{61CB7D7B-C594-9049-9FB9-3FD30C70E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737"/>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86453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86453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6453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6453B"/>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86453B"/>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86453B"/>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86453B"/>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86453B"/>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86453B"/>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5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45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45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45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45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45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45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45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453B"/>
    <w:rPr>
      <w:rFonts w:eastAsiaTheme="majorEastAsia" w:cstheme="majorBidi"/>
      <w:color w:val="272727" w:themeColor="text1" w:themeTint="D8"/>
    </w:rPr>
  </w:style>
  <w:style w:type="paragraph" w:styleId="Title">
    <w:name w:val="Title"/>
    <w:basedOn w:val="Normal"/>
    <w:next w:val="Normal"/>
    <w:link w:val="TitleChar"/>
    <w:uiPriority w:val="10"/>
    <w:qFormat/>
    <w:rsid w:val="0086453B"/>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64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53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645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453B"/>
    <w:pPr>
      <w:spacing w:before="160" w:after="160" w:line="278" w:lineRule="auto"/>
      <w:jc w:val="center"/>
    </w:pPr>
    <w:rPr>
      <w:rFonts w:asciiTheme="minorHAnsi" w:eastAsiaTheme="minorEastAsia"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86453B"/>
    <w:rPr>
      <w:i/>
      <w:iCs/>
      <w:color w:val="404040" w:themeColor="text1" w:themeTint="BF"/>
    </w:rPr>
  </w:style>
  <w:style w:type="paragraph" w:styleId="ListParagraph">
    <w:name w:val="List Paragraph"/>
    <w:basedOn w:val="Normal"/>
    <w:uiPriority w:val="34"/>
    <w:qFormat/>
    <w:rsid w:val="0086453B"/>
    <w:pPr>
      <w:spacing w:after="160" w:line="278" w:lineRule="auto"/>
      <w:ind w:left="720"/>
      <w:contextualSpacing/>
    </w:pPr>
    <w:rPr>
      <w:rFonts w:asciiTheme="minorHAnsi" w:eastAsiaTheme="minorEastAsia" w:hAnsiTheme="minorHAnsi" w:cstheme="minorBidi"/>
      <w:kern w:val="2"/>
      <w14:ligatures w14:val="standardContextual"/>
    </w:rPr>
  </w:style>
  <w:style w:type="character" w:styleId="IntenseEmphasis">
    <w:name w:val="Intense Emphasis"/>
    <w:basedOn w:val="DefaultParagraphFont"/>
    <w:uiPriority w:val="21"/>
    <w:qFormat/>
    <w:rsid w:val="0086453B"/>
    <w:rPr>
      <w:i/>
      <w:iCs/>
      <w:color w:val="0F4761" w:themeColor="accent1" w:themeShade="BF"/>
    </w:rPr>
  </w:style>
  <w:style w:type="paragraph" w:styleId="IntenseQuote">
    <w:name w:val="Intense Quote"/>
    <w:basedOn w:val="Normal"/>
    <w:next w:val="Normal"/>
    <w:link w:val="IntenseQuoteChar"/>
    <w:uiPriority w:val="30"/>
    <w:qFormat/>
    <w:rsid w:val="0086453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86453B"/>
    <w:rPr>
      <w:i/>
      <w:iCs/>
      <w:color w:val="0F4761" w:themeColor="accent1" w:themeShade="BF"/>
    </w:rPr>
  </w:style>
  <w:style w:type="character" w:styleId="IntenseReference">
    <w:name w:val="Intense Reference"/>
    <w:basedOn w:val="DefaultParagraphFont"/>
    <w:uiPriority w:val="32"/>
    <w:qFormat/>
    <w:rsid w:val="0086453B"/>
    <w:rPr>
      <w:b/>
      <w:bCs/>
      <w:smallCaps/>
      <w:color w:val="0F4761" w:themeColor="accent1" w:themeShade="BF"/>
      <w:spacing w:val="5"/>
    </w:rPr>
  </w:style>
  <w:style w:type="paragraph" w:styleId="TOCHeading">
    <w:name w:val="TOC Heading"/>
    <w:basedOn w:val="Heading1"/>
    <w:next w:val="Normal"/>
    <w:uiPriority w:val="39"/>
    <w:unhideWhenUsed/>
    <w:qFormat/>
    <w:rsid w:val="0086453B"/>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86453B"/>
    <w:pPr>
      <w:spacing w:before="120" w:line="278" w:lineRule="auto"/>
    </w:pPr>
    <w:rPr>
      <w:rFonts w:asciiTheme="minorHAnsi" w:eastAsiaTheme="minorEastAsia" w:hAnsiTheme="minorHAnsi" w:cstheme="minorBidi"/>
      <w:b/>
      <w:bCs/>
      <w:i/>
      <w:iCs/>
      <w:kern w:val="2"/>
      <w14:ligatures w14:val="standardContextual"/>
    </w:rPr>
  </w:style>
  <w:style w:type="character" w:styleId="Hyperlink">
    <w:name w:val="Hyperlink"/>
    <w:basedOn w:val="DefaultParagraphFont"/>
    <w:uiPriority w:val="99"/>
    <w:unhideWhenUsed/>
    <w:rsid w:val="0086453B"/>
    <w:rPr>
      <w:color w:val="467886" w:themeColor="hyperlink"/>
      <w:u w:val="single"/>
    </w:rPr>
  </w:style>
  <w:style w:type="paragraph" w:styleId="TOC2">
    <w:name w:val="toc 2"/>
    <w:basedOn w:val="Normal"/>
    <w:next w:val="Normal"/>
    <w:autoRedefine/>
    <w:uiPriority w:val="39"/>
    <w:unhideWhenUsed/>
    <w:rsid w:val="0086453B"/>
    <w:pPr>
      <w:spacing w:before="120" w:line="278" w:lineRule="auto"/>
      <w:ind w:left="240"/>
    </w:pPr>
    <w:rPr>
      <w:rFonts w:asciiTheme="minorHAnsi" w:eastAsiaTheme="minorEastAsia" w:hAnsiTheme="minorHAnsi" w:cstheme="minorBidi"/>
      <w:b/>
      <w:bCs/>
      <w:kern w:val="2"/>
      <w:sz w:val="22"/>
      <w:szCs w:val="22"/>
      <w14:ligatures w14:val="standardContextual"/>
    </w:rPr>
  </w:style>
  <w:style w:type="paragraph" w:styleId="TOC3">
    <w:name w:val="toc 3"/>
    <w:basedOn w:val="Normal"/>
    <w:next w:val="Normal"/>
    <w:autoRedefine/>
    <w:uiPriority w:val="39"/>
    <w:semiHidden/>
    <w:unhideWhenUsed/>
    <w:rsid w:val="0086453B"/>
    <w:pPr>
      <w:spacing w:line="278" w:lineRule="auto"/>
      <w:ind w:left="480"/>
    </w:pPr>
    <w:rPr>
      <w:rFonts w:asciiTheme="minorHAnsi" w:eastAsiaTheme="minorEastAsia" w:hAnsiTheme="minorHAnsi" w:cstheme="minorBidi"/>
      <w:kern w:val="2"/>
      <w:sz w:val="20"/>
      <w:szCs w:val="20"/>
      <w14:ligatures w14:val="standardContextual"/>
    </w:rPr>
  </w:style>
  <w:style w:type="paragraph" w:styleId="TOC4">
    <w:name w:val="toc 4"/>
    <w:basedOn w:val="Normal"/>
    <w:next w:val="Normal"/>
    <w:autoRedefine/>
    <w:uiPriority w:val="39"/>
    <w:semiHidden/>
    <w:unhideWhenUsed/>
    <w:rsid w:val="0086453B"/>
    <w:pPr>
      <w:spacing w:line="278" w:lineRule="auto"/>
      <w:ind w:left="720"/>
    </w:pPr>
    <w:rPr>
      <w:rFonts w:asciiTheme="minorHAnsi" w:eastAsiaTheme="minorEastAsia" w:hAnsiTheme="minorHAnsi" w:cstheme="minorBidi"/>
      <w:kern w:val="2"/>
      <w:sz w:val="20"/>
      <w:szCs w:val="20"/>
      <w14:ligatures w14:val="standardContextual"/>
    </w:rPr>
  </w:style>
  <w:style w:type="paragraph" w:styleId="TOC5">
    <w:name w:val="toc 5"/>
    <w:basedOn w:val="Normal"/>
    <w:next w:val="Normal"/>
    <w:autoRedefine/>
    <w:uiPriority w:val="39"/>
    <w:semiHidden/>
    <w:unhideWhenUsed/>
    <w:rsid w:val="0086453B"/>
    <w:pPr>
      <w:spacing w:line="278" w:lineRule="auto"/>
      <w:ind w:left="960"/>
    </w:pPr>
    <w:rPr>
      <w:rFonts w:asciiTheme="minorHAnsi" w:eastAsiaTheme="minorEastAsia" w:hAnsiTheme="minorHAnsi" w:cstheme="minorBidi"/>
      <w:kern w:val="2"/>
      <w:sz w:val="20"/>
      <w:szCs w:val="20"/>
      <w14:ligatures w14:val="standardContextual"/>
    </w:rPr>
  </w:style>
  <w:style w:type="paragraph" w:styleId="TOC6">
    <w:name w:val="toc 6"/>
    <w:basedOn w:val="Normal"/>
    <w:next w:val="Normal"/>
    <w:autoRedefine/>
    <w:uiPriority w:val="39"/>
    <w:semiHidden/>
    <w:unhideWhenUsed/>
    <w:rsid w:val="0086453B"/>
    <w:pPr>
      <w:spacing w:line="278" w:lineRule="auto"/>
      <w:ind w:left="1200"/>
    </w:pPr>
    <w:rPr>
      <w:rFonts w:asciiTheme="minorHAnsi" w:eastAsiaTheme="minorEastAsia" w:hAnsiTheme="minorHAnsi" w:cstheme="minorBidi"/>
      <w:kern w:val="2"/>
      <w:sz w:val="20"/>
      <w:szCs w:val="20"/>
      <w14:ligatures w14:val="standardContextual"/>
    </w:rPr>
  </w:style>
  <w:style w:type="paragraph" w:styleId="TOC7">
    <w:name w:val="toc 7"/>
    <w:basedOn w:val="Normal"/>
    <w:next w:val="Normal"/>
    <w:autoRedefine/>
    <w:uiPriority w:val="39"/>
    <w:semiHidden/>
    <w:unhideWhenUsed/>
    <w:rsid w:val="0086453B"/>
    <w:pPr>
      <w:spacing w:line="278" w:lineRule="auto"/>
      <w:ind w:left="1440"/>
    </w:pPr>
    <w:rPr>
      <w:rFonts w:asciiTheme="minorHAnsi" w:eastAsiaTheme="minorEastAsia" w:hAnsiTheme="minorHAnsi" w:cstheme="minorBidi"/>
      <w:kern w:val="2"/>
      <w:sz w:val="20"/>
      <w:szCs w:val="20"/>
      <w14:ligatures w14:val="standardContextual"/>
    </w:rPr>
  </w:style>
  <w:style w:type="paragraph" w:styleId="TOC8">
    <w:name w:val="toc 8"/>
    <w:basedOn w:val="Normal"/>
    <w:next w:val="Normal"/>
    <w:autoRedefine/>
    <w:uiPriority w:val="39"/>
    <w:semiHidden/>
    <w:unhideWhenUsed/>
    <w:rsid w:val="0086453B"/>
    <w:pPr>
      <w:spacing w:line="278" w:lineRule="auto"/>
      <w:ind w:left="1680"/>
    </w:pPr>
    <w:rPr>
      <w:rFonts w:asciiTheme="minorHAnsi" w:eastAsiaTheme="minorEastAsia" w:hAnsiTheme="minorHAnsi" w:cstheme="minorBidi"/>
      <w:kern w:val="2"/>
      <w:sz w:val="20"/>
      <w:szCs w:val="20"/>
      <w14:ligatures w14:val="standardContextual"/>
    </w:rPr>
  </w:style>
  <w:style w:type="paragraph" w:styleId="TOC9">
    <w:name w:val="toc 9"/>
    <w:basedOn w:val="Normal"/>
    <w:next w:val="Normal"/>
    <w:autoRedefine/>
    <w:uiPriority w:val="39"/>
    <w:semiHidden/>
    <w:unhideWhenUsed/>
    <w:rsid w:val="0086453B"/>
    <w:pPr>
      <w:spacing w:line="278" w:lineRule="auto"/>
      <w:ind w:left="1920"/>
    </w:pPr>
    <w:rPr>
      <w:rFonts w:asciiTheme="minorHAnsi" w:eastAsiaTheme="minorEastAsia" w:hAnsiTheme="minorHAnsi" w:cstheme="minorBidi"/>
      <w:kern w:val="2"/>
      <w:sz w:val="20"/>
      <w:szCs w:val="20"/>
      <w14:ligatures w14:val="standardContextual"/>
    </w:rPr>
  </w:style>
  <w:style w:type="character" w:customStyle="1" w:styleId="apple-converted-space">
    <w:name w:val="apple-converted-space"/>
    <w:basedOn w:val="DefaultParagraphFont"/>
    <w:rsid w:val="00612D09"/>
  </w:style>
  <w:style w:type="character" w:customStyle="1" w:styleId="text-white">
    <w:name w:val="text-white"/>
    <w:basedOn w:val="DefaultParagraphFont"/>
    <w:rsid w:val="00612D09"/>
  </w:style>
  <w:style w:type="paragraph" w:styleId="NormalWeb">
    <w:name w:val="Normal (Web)"/>
    <w:basedOn w:val="Normal"/>
    <w:uiPriority w:val="99"/>
    <w:unhideWhenUsed/>
    <w:rsid w:val="00612D0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9013950">
      <w:bodyDiv w:val="1"/>
      <w:marLeft w:val="0"/>
      <w:marRight w:val="0"/>
      <w:marTop w:val="0"/>
      <w:marBottom w:val="0"/>
      <w:divBdr>
        <w:top w:val="none" w:sz="0" w:space="0" w:color="auto"/>
        <w:left w:val="none" w:sz="0" w:space="0" w:color="auto"/>
        <w:bottom w:val="none" w:sz="0" w:space="0" w:color="auto"/>
        <w:right w:val="none" w:sz="0" w:space="0" w:color="auto"/>
      </w:divBdr>
      <w:divsChild>
        <w:div w:id="1908374587">
          <w:marLeft w:val="0"/>
          <w:marRight w:val="0"/>
          <w:marTop w:val="0"/>
          <w:marBottom w:val="0"/>
          <w:divBdr>
            <w:top w:val="none" w:sz="0" w:space="0" w:color="auto"/>
            <w:left w:val="none" w:sz="0" w:space="0" w:color="auto"/>
            <w:bottom w:val="none" w:sz="0" w:space="0" w:color="auto"/>
            <w:right w:val="none" w:sz="0" w:space="0" w:color="auto"/>
          </w:divBdr>
          <w:divsChild>
            <w:div w:id="168948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339794">
      <w:bodyDiv w:val="1"/>
      <w:marLeft w:val="0"/>
      <w:marRight w:val="0"/>
      <w:marTop w:val="0"/>
      <w:marBottom w:val="0"/>
      <w:divBdr>
        <w:top w:val="none" w:sz="0" w:space="0" w:color="auto"/>
        <w:left w:val="none" w:sz="0" w:space="0" w:color="auto"/>
        <w:bottom w:val="none" w:sz="0" w:space="0" w:color="auto"/>
        <w:right w:val="none" w:sz="0" w:space="0" w:color="auto"/>
      </w:divBdr>
      <w:divsChild>
        <w:div w:id="830214279">
          <w:marLeft w:val="0"/>
          <w:marRight w:val="0"/>
          <w:marTop w:val="0"/>
          <w:marBottom w:val="0"/>
          <w:divBdr>
            <w:top w:val="none" w:sz="0" w:space="0" w:color="auto"/>
            <w:left w:val="none" w:sz="0" w:space="0" w:color="auto"/>
            <w:bottom w:val="none" w:sz="0" w:space="0" w:color="auto"/>
            <w:right w:val="none" w:sz="0" w:space="0" w:color="auto"/>
          </w:divBdr>
          <w:divsChild>
            <w:div w:id="211702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286756">
      <w:bodyDiv w:val="1"/>
      <w:marLeft w:val="0"/>
      <w:marRight w:val="0"/>
      <w:marTop w:val="0"/>
      <w:marBottom w:val="0"/>
      <w:divBdr>
        <w:top w:val="none" w:sz="0" w:space="0" w:color="auto"/>
        <w:left w:val="none" w:sz="0" w:space="0" w:color="auto"/>
        <w:bottom w:val="none" w:sz="0" w:space="0" w:color="auto"/>
        <w:right w:val="none" w:sz="0" w:space="0" w:color="auto"/>
      </w:divBdr>
      <w:divsChild>
        <w:div w:id="1063681848">
          <w:marLeft w:val="0"/>
          <w:marRight w:val="0"/>
          <w:marTop w:val="0"/>
          <w:marBottom w:val="0"/>
          <w:divBdr>
            <w:top w:val="none" w:sz="0" w:space="0" w:color="auto"/>
            <w:left w:val="none" w:sz="0" w:space="0" w:color="auto"/>
            <w:bottom w:val="none" w:sz="0" w:space="0" w:color="auto"/>
            <w:right w:val="none" w:sz="0" w:space="0" w:color="auto"/>
          </w:divBdr>
          <w:divsChild>
            <w:div w:id="189150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982663">
      <w:bodyDiv w:val="1"/>
      <w:marLeft w:val="0"/>
      <w:marRight w:val="0"/>
      <w:marTop w:val="0"/>
      <w:marBottom w:val="0"/>
      <w:divBdr>
        <w:top w:val="none" w:sz="0" w:space="0" w:color="auto"/>
        <w:left w:val="none" w:sz="0" w:space="0" w:color="auto"/>
        <w:bottom w:val="none" w:sz="0" w:space="0" w:color="auto"/>
        <w:right w:val="none" w:sz="0" w:space="0" w:color="auto"/>
      </w:divBdr>
    </w:div>
    <w:div w:id="1619873982">
      <w:bodyDiv w:val="1"/>
      <w:marLeft w:val="0"/>
      <w:marRight w:val="0"/>
      <w:marTop w:val="0"/>
      <w:marBottom w:val="0"/>
      <w:divBdr>
        <w:top w:val="none" w:sz="0" w:space="0" w:color="auto"/>
        <w:left w:val="none" w:sz="0" w:space="0" w:color="auto"/>
        <w:bottom w:val="none" w:sz="0" w:space="0" w:color="auto"/>
        <w:right w:val="none" w:sz="0" w:space="0" w:color="auto"/>
      </w:divBdr>
    </w:div>
    <w:div w:id="1914856442">
      <w:bodyDiv w:val="1"/>
      <w:marLeft w:val="0"/>
      <w:marRight w:val="0"/>
      <w:marTop w:val="0"/>
      <w:marBottom w:val="0"/>
      <w:divBdr>
        <w:top w:val="none" w:sz="0" w:space="0" w:color="auto"/>
        <w:left w:val="none" w:sz="0" w:space="0" w:color="auto"/>
        <w:bottom w:val="none" w:sz="0" w:space="0" w:color="auto"/>
        <w:right w:val="none" w:sz="0" w:space="0" w:color="auto"/>
      </w:divBdr>
      <w:divsChild>
        <w:div w:id="916397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EE6939-FA39-1745-BCDF-9208F5363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2661</Words>
  <Characters>15174</Characters>
  <Application>Microsoft Office Word</Application>
  <DocSecurity>0</DocSecurity>
  <Lines>126</Lines>
  <Paragraphs>35</Paragraphs>
  <ScaleCrop>false</ScaleCrop>
  <Company/>
  <LinksUpToDate>false</LinksUpToDate>
  <CharactersWithSpaces>17800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6</cp:revision>
  <dcterms:created xsi:type="dcterms:W3CDTF">2025-11-17T03:36:00Z</dcterms:created>
  <dcterms:modified xsi:type="dcterms:W3CDTF">2025-11-17T03:47:00Z</dcterms:modified>
</cp:coreProperties>
</file>