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Default Extension="jpg" ContentType="image/jpeg"/>
  <Default Extension="png" ContentType="image/pn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http://schemas.microsoft.com/office/tasks/2019/documenttasks" xmlns:a="http://schemas.openxmlformats.org/drawingml/2006/main" xmlns:c="http://schemas.openxmlformats.org/drawingml/2006/chart" xmlns:cr="http://schemas.microsoft.com/office/comments/2020/reactions"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pPr>
      <w:r>
        <w:rPr>
          <w:noProof/>
        </w:rPr>
        <w:drawing>
          <wp:inline distB="0" distL="0" distR="0" distT="0">
            <wp:extent cx="2694940" cy="1120140"/>
            <wp:effectExtent b="0" l="0" r="0" t="0"/>
            <wp:docPr id="1" name="image2.png"/>
            <a:graphic>
              <a:graphicData uri="http://schemas.openxmlformats.org/drawingml/2006/picture">
                <pic:pic>
                  <pic:nvPicPr>
                    <pic:cNvPr id="0" name="image2.png"/>
                    <pic:cNvPicPr preferRelativeResize="0"/>
                  </pic:nvPicPr>
                  <pic:blipFill>
                    <a:blip r:embed="rId9"/>
                    <a:srcRect/>
                    <a:stretch>
                      <a:fillRect/>
                    </a:stretch>
                  </pic:blipFill>
                  <pic:spPr>
                    <a:xfrm>
                      <a:off x="0" y="0"/>
                      <a:ext cx="2695332" cy="1120531"/>
                    </a:xfrm>
                    <a:prstGeom prst="rect"/>
                    <a:ln/>
                  </pic:spPr>
                </pic:pic>
              </a:graphicData>
            </a:graphic>
          </wp:inline>
        </w:drawing>
      </w:r>
      <w:r w:rsidR="00000000" w:rsidDel="00000000" w:rsidRPr="00000000">
        <w:rPr>
          <w:rtl w:val="0"/>
        </w:rPr>
      </w:r>
    </w:p>
    <w:p w:rsidR="00000000" w:rsidDel="00000000" w:rsidRDefault="00000000" w14:paraId="00000002" w:rsidP="00000000" w:rsidRPr="00000000">
      <w:pPr>
        <w:jc w:val="center"/>
      </w:pPr>
      <w:r w:rsidR="00000000" w:rsidDel="00000000" w:rsidRPr="00000000">
        <w:rPr>
          <w:rtl w:val="0"/>
        </w:rPr>
      </w:r>
    </w:p>
    <w:p w:rsidR="00000000" w:rsidDel="00000000" w:rsidRDefault="00000000" w14:paraId="00000003" w:rsidP="00000000" w:rsidRPr="00000000">
      <w:pPr>
        <w:jc w:val="center"/>
      </w:pPr>
      <w:r w:rsidR="00000000" w:rsidDel="00000000" w:rsidRPr="00000000">
        <w:rPr>
          <w:rtl w:val="0"/>
        </w:rPr>
      </w:r>
    </w:p>
    <w:p w:rsidR="00000000" w:rsidDel="00000000" w:rsidRDefault="00000000" w14:paraId="00000004" w:rsidP="00000000" w:rsidRPr="00000000">
      <w:pPr>
        <w:jc w:val="center"/>
        <w:rPr>
          <w:bCs w:val="1"/>
          <w:b/>
          <w:sz w:val="40"/>
          <w:szCs w:val="40"/>
        </w:rPr>
      </w:pPr>
      <w:r w:rsidR="00000000" w:rsidDel="00000000" w:rsidRPr="00000000">
        <w:rPr>
          <w:rtl w:val="0"/>
        </w:rPr>
      </w:r>
    </w:p>
    <w:p w:rsidR="00000000" w:rsidDel="00000000" w:rsidRDefault="00000000" w14:paraId="00000005" w:rsidP="00000000" w:rsidRPr="00000000">
      <w:pPr>
        <w:jc w:val="center"/>
        <w:rPr>
          <w:sz w:val="36"/>
          <w:szCs w:val="36"/>
        </w:rPr>
      </w:pPr>
      <w:r w:rsidR="00000000" w:rsidDel="00000000" w:rsidRPr="00000000">
        <w:rPr>
          <w:rtl w:val="0"/>
        </w:rPr>
      </w:r>
    </w:p>
    <w:p w:rsidR="00000000" w:rsidDel="00000000" w:rsidRDefault="00000000" w14:paraId="00000006" w:rsidP="00000000" w:rsidRPr="00000000">
      <w:pPr>
        <w:jc w:val="center"/>
      </w:pPr>
      <w:r w:rsidR="00000000" w:rsidDel="00000000" w:rsidRPr="00000000">
        <w:rPr>
          <w:rtl w:val="0"/>
        </w:rPr>
      </w:r>
    </w:p>
    <w:p w:rsidR="00000000" w:rsidDel="00000000" w:rsidRDefault="00000000" w14:paraId="00000007" w:rsidP="00000000" w:rsidRPr="00000000">
      <w:pPr>
        <w:jc w:val="left"/>
        <w:rPr>
          <w:sz w:val="36"/>
        </w:rPr>
      </w:pPr>
      <w:r w:rsidR="00000000" w:rsidDel="00000000" w:rsidRPr="00000000">
        <w:rPr>
          <w:rtl w:val="0"/>
          <w:sz w:val="36"/>
        </w:rPr>
        <w:t>Name: Senait Woldetsadik</w:t>
      </w:r>
    </w:p>
    <w:p w:rsidR="00000000" w:rsidDel="00000000" w:rsidRDefault="00000000" w14:paraId="00000008" w:rsidP="00000000" w:rsidRPr="00000000">
      <w:pPr>
        <w:jc w:val="left"/>
        <w:rPr>
          <w:sz w:val="36"/>
          <w:szCs w:val="36"/>
        </w:rPr>
      </w:pPr>
      <w:r w:rsidR="00000000" w:rsidDel="00000000" w:rsidRPr="00000000">
        <w:rPr>
          <w:rtl w:val="0"/>
          <w:sz w:val="36"/>
          <w:szCs w:val="36"/>
        </w:rPr>
        <w:t>Student ID: 2517215</w:t>
      </w:r>
    </w:p>
    <w:p w:rsidR="00000000" w:rsidDel="00000000" w:rsidRDefault="00000000" w14:paraId="00000009" w:rsidP="00000000" w:rsidRPr="00000000">
      <w:pPr>
        <w:jc w:val="left"/>
        <w:rPr>
          <w:sz w:val="36"/>
        </w:rPr>
      </w:pPr>
      <w:r w:rsidR="00000000" w:rsidDel="00000000" w:rsidRPr="00000000">
        <w:rPr>
          <w:rtl w:val="0"/>
          <w:sz w:val="36"/>
        </w:rPr>
        <w:t>Module Code: LCHS4001</w:t>
      </w:r>
    </w:p>
    <w:p w:rsidR="00000000" w:rsidDel="00000000" w:rsidRDefault="00000000" w14:paraId="0000000A" w:rsidP="00000000" w:rsidRPr="00000000">
      <w:pPr>
        <w:jc w:val="left"/>
        <w:rPr>
          <w:sz w:val="36"/>
        </w:rPr>
      </w:pPr>
      <w:r w:rsidR="00000000" w:rsidDel="00000000" w:rsidRPr="00000000">
        <w:rPr>
          <w:rtl w:val="0"/>
          <w:sz w:val="36"/>
        </w:rPr>
        <w:t>Module: Academic and Employability Skills</w:t>
      </w:r>
    </w:p>
    <w:p w:rsidR="00000000" w:rsidDel="00000000" w:rsidRDefault="00000000" w14:paraId="0000000B" w:rsidP="00000000" w:rsidRPr="00000000">
      <w:pPr>
        <w:jc w:val="left"/>
        <w:rPr>
          <w:sz w:val="36"/>
        </w:rPr>
      </w:pPr>
      <w:r w:rsidR="00000000" w:rsidDel="00000000" w:rsidRPr="00000000">
        <w:rPr>
          <w:rtl w:val="0"/>
          <w:sz w:val="36"/>
        </w:rPr>
        <w:t>Lecturer: Farah Wiita</w:t>
      </w:r>
    </w:p>
    <w:p w:rsidR="00000000" w:rsidDel="00000000" w:rsidRDefault="00000000" w14:paraId="0000000C" w:rsidP="00000000" w:rsidRPr="00000000">
      <w:pPr>
        <w:jc w:val="center"/>
      </w:pPr>
      <w:r w:rsidR="00000000" w:rsidDel="00000000" w:rsidRPr="00000000">
        <w:rPr>
          <w:rtl w:val="0"/>
        </w:rPr>
      </w:r>
    </w:p>
    <w:p w:rsidR="00000000" w:rsidDel="00000000" w:rsidRDefault="00000000" w14:paraId="0000000D" w:rsidP="00000000" w:rsidRPr="00000000">
      <w:pPr>
        <w:jc w:val="center"/>
        <w:rPr>
          <w:sz w:val="36"/>
          <w:szCs w:val="36"/>
        </w:rPr>
      </w:pPr>
      <w:r w:rsidR="00000000" w:rsidDel="00000000" w:rsidRPr="00000000">
        <w:rPr>
          <w:rtl w:val="0"/>
        </w:rPr>
      </w:r>
    </w:p>
    <w:p w:rsidR="00000000" w:rsidDel="00000000" w:rsidRDefault="00000000" w14:paraId="0000000E" w:rsidP="00000000" w:rsidRPr="00000000">
      <w:pPr>
        <w:jc w:val="center"/>
        <w:rPr>
          <w:sz w:val="36"/>
          <w:szCs w:val="36"/>
        </w:rPr>
      </w:pPr>
      <w:r w:rsidR="00000000" w:rsidDel="00000000" w:rsidRPr="00000000">
        <w:rPr>
          <w:rtl w:val="0"/>
        </w:rPr>
      </w:r>
    </w:p>
    <w:p w:rsidR="00000000" w:rsidDel="00000000" w:rsidRDefault="00000000" w14:paraId="0000000F" w:rsidP="00000000" w:rsidRPr="00000000">
      <w:pPr>
        <w:jc w:val="center"/>
        <w:rPr>
          <w:bCs w:val="1"/>
          <w:b/>
          <w:sz w:val="32"/>
          <w:szCs w:val="32"/>
        </w:rPr>
      </w:pPr>
      <w:r w:rsidR="00000000" w:rsidDel="00000000" w:rsidRPr="00000000">
        <w:rPr>
          <w:rtl w:val="0"/>
        </w:rPr>
      </w:r>
    </w:p>
    <w:p w:rsidR="00000000" w:rsidDel="00000000" w:rsidRDefault="00000000" w14:paraId="00000010" w:rsidP="00000000" w:rsidRPr="00000000">
      <w:pPr>
        <w:keepNext w:val="1"/>
        <w:keepLines w:val="1"/>
        <w:widowControl w:val="1"/>
        <w:pBdr>
          <w:top w:val="nil" w:sz="0" w:color="auto" w:space="0"/>
          <w:bottom w:val="single" w:sz="4" w:color="000000" w:space="1"/>
          <w:left w:val="nil" w:sz="0" w:color="auto" w:space="0"/>
          <w:right w:val="nil" w:sz="0" w:color="auto" w:space="0"/>
          <w:between w:val="nil" w:sz="0" w:color="auto" w:space="0"/>
        </w:pBdr>
        <w:shd w:fill="DBEEF3" w:val="clear"/>
        <w:jc w:val="center"/>
        <w:ind w:left="0"/>
        <w:ind w:right="0"/>
        <w:ind w:firstLine="0"/>
        <w:pageBreakBefore w:val="0"/>
        <w:spacing w:before="240" w:after="0" w:line="259" w:lineRule="auto"/>
        <w:rPr>
          <w:bCs w:val="1"/>
          <w:iCs w:val="0"/>
          <w:b/>
          <w:i w:val="0"/>
          <w:u w:val="none"/>
          <w:strike w:val="0"/>
          <w:color w:val="366091"/>
          <w:rFonts w:ascii="Times New Roman" w:cs="Times New Roman" w:eastAsia="Times New Roman" w:hAnsi="Times New Roman"/>
          <w:sz w:val="32"/>
          <w:szCs w:val="32"/>
          <w:smallCaps w:val="0"/>
          <w:shd w:fill="auto" w:val="clear"/>
        </w:rPr>
      </w:pPr>
      <w:r w:rsidR="00000000" w:rsidDel="00000000" w:rsidRPr="00000000">
        <w:rPr>
          <w:bCs w:val="1"/>
          <w:iCs w:val="0"/>
          <w:rtl w:val="0"/>
          <w:b/>
          <w:i w:val="0"/>
          <w:u w:val="none"/>
          <w:strike w:val="0"/>
          <w:color w:val="366091"/>
          <w:rFonts w:ascii="Times New Roman" w:cs="Times New Roman" w:eastAsia="Times New Roman" w:hAnsi="Times New Roman"/>
          <w:sz w:val="32"/>
          <w:szCs w:val="32"/>
          <w:smallCaps w:val="0"/>
          <w:shd w:fill="auto" w:val="clear"/>
        </w:rPr>
        <w:t>Table of Contents</w:t>
      </w:r>
    </w:p>
    <w:sdt>
      <w:sdtPr>
        <w:id w:val="884569059"/>
        <w:docPartObj>
          <w:docPartGallery w:val="Table of Contents"/>
          <w:docPartUnique w:val="1"/>
        </w:docPartObj>
      </w:sdtPr>
      <w:sdtContent>
        <w:p w:rsidR="00000000" w:rsidDel="00000000" w:rsidRDefault="00000000" w14:paraId="0000001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100" w:line="360" w:lineRule="auto"/>
            <w:tabs>
              <w:tab w:val="right" w:leader="dot" w:pos="9016"/>
            </w:tabs>
            <w:rPr>
              <w:bCs w:val="0"/>
              <w:iCs w:val="0"/>
              <w:b w:val="0"/>
              <w:i w:val="0"/>
              <w:u w:val="none"/>
              <w:strike w:val="0"/>
              <w:color w:val="000000"/>
              <w:rFonts w:ascii="Times New Roman" w:cs="Times New Roman" w:eastAsia="Times New Roman" w:hAnsi="Times New Roman"/>
              <w:sz w:val="24"/>
              <w:szCs w:val="24"/>
              <w:smallCaps w:val="0"/>
              <w:shd w:fill="auto" w:val="clear"/>
            </w:rPr>
          </w:pPr>
          <w:r w:rsidR="00000000" w:rsidDel="00000000" w:rsidRPr="00000000">
            <w:fldChar w:fldCharType="begin"/>
            <w:instrText xml:space="preserve"> TOC \h \u \z \t "Heading 1,1,Heading 2,2,Heading 3,3,"</w:instrText>
            <w:fldChar w:fldCharType="separate"/>
          </w:r>
          <w:hyperlink w:anchor="_rp4sj6nt2y81">
            <w:r>
              <w:rPr>
                <w:b w:val="0"/>
                <w:i w:val="0"/>
                <w:u w:val="none"/>
                <w:strike w:val="0"/>
                <w:color w:val="000000"/>
                <w:rFonts w:ascii="Times New Roman" w:cs="Times New Roman" w:eastAsia="Times New Roman" w:hAnsi="Times New Roman"/>
                <w:sz w:val="24"/>
                <w:szCs w:val="24"/>
                <w:smallCaps w:val="0"/>
                <w:shd w:fill="auto" w:val="clear"/>
              </w:rPr>
              <w:t>1.0 Introduction</w:t>
            </w:r>
            <w:r>
              <w:rPr>
                <w:b w:val="0"/>
                <w:i w:val="0"/>
                <w:u w:val="none"/>
                <w:strike w:val="0"/>
                <w:color w:val="000000"/>
                <w:rFonts w:ascii="Times New Roman" w:cs="Times New Roman" w:eastAsia="Times New Roman" w:hAnsi="Times New Roman"/>
                <w:sz w:val="24"/>
                <w:szCs w:val="24"/>
                <w:smallCaps w:val="0"/>
                <w:shd w:fill="auto" w:val="clear"/>
              </w:rPr>
              <w:tab/>
            </w:r>
            <w:r>
              <w:rPr>
                <w:b w:val="0"/>
                <w:i w:val="0"/>
                <w:u w:val="none"/>
                <w:strike w:val="0"/>
                <w:color w:val="000000"/>
                <w:rFonts w:ascii="Times New Roman" w:cs="Times New Roman" w:eastAsia="Times New Roman" w:hAnsi="Times New Roman"/>
                <w:sz w:val="24"/>
                <w:szCs w:val="24"/>
                <w:smallCaps w:val="0"/>
                <w:shd w:fill="auto" w:val="clear"/>
              </w:rPr>
              <w:t>3</w:t>
            </w:r>
          </w:hyperlink>
          <w:r w:rsidR="00000000" w:rsidDel="00000000" w:rsidRPr="00000000">
            <w:rPr>
              <w:rtl w:val="0"/>
            </w:rPr>
          </w:r>
        </w:p>
        <w:p w:rsidR="00000000" w:rsidDel="00000000" w:rsidRDefault="00000000" w14:paraId="0000001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100" w:line="360" w:lineRule="auto"/>
            <w:tabs>
              <w:tab w:val="right" w:leader="dot" w:pos="9016"/>
            </w:tabs>
            <w:rPr>
              <w:bCs w:val="0"/>
              <w:iCs w:val="0"/>
              <w:b w:val="0"/>
              <w:i w:val="0"/>
              <w:u w:val="none"/>
              <w:strike w:val="0"/>
              <w:color w:val="000000"/>
              <w:rFonts w:ascii="Times New Roman" w:cs="Times New Roman" w:eastAsia="Times New Roman" w:hAnsi="Times New Roman"/>
              <w:sz w:val="24"/>
              <w:szCs w:val="24"/>
              <w:smallCaps w:val="0"/>
              <w:shd w:fill="auto" w:val="clear"/>
            </w:rPr>
          </w:pPr>
          <w:hyperlink w:anchor="_xu4mfnu6d5u3">
            <w:r>
              <w:rPr>
                <w:b w:val="0"/>
                <w:i w:val="0"/>
                <w:u w:val="none"/>
                <w:strike w:val="0"/>
                <w:color w:val="000000"/>
                <w:rFonts w:ascii="Times New Roman" w:cs="Times New Roman" w:eastAsia="Times New Roman" w:hAnsi="Times New Roman"/>
                <w:sz w:val="24"/>
                <w:szCs w:val="24"/>
                <w:smallCaps w:val="0"/>
                <w:shd w:fill="auto" w:val="clear"/>
              </w:rPr>
              <w:t>2.0 Midwifery in the Health and Social Care Field</w:t>
            </w:r>
            <w:r>
              <w:rPr>
                <w:b w:val="0"/>
                <w:i w:val="0"/>
                <w:u w:val="none"/>
                <w:strike w:val="0"/>
                <w:color w:val="000000"/>
                <w:rFonts w:ascii="Times New Roman" w:cs="Times New Roman" w:eastAsia="Times New Roman" w:hAnsi="Times New Roman"/>
                <w:sz w:val="24"/>
                <w:szCs w:val="24"/>
                <w:smallCaps w:val="0"/>
                <w:shd w:fill="auto" w:val="clear"/>
              </w:rPr>
              <w:tab/>
            </w:r>
            <w:r>
              <w:rPr>
                <w:b w:val="0"/>
                <w:i w:val="0"/>
                <w:u w:val="none"/>
                <w:strike w:val="0"/>
                <w:color w:val="000000"/>
                <w:rFonts w:ascii="Times New Roman" w:cs="Times New Roman" w:eastAsia="Times New Roman" w:hAnsi="Times New Roman"/>
                <w:sz w:val="24"/>
                <w:szCs w:val="24"/>
                <w:smallCaps w:val="0"/>
                <w:shd w:fill="auto" w:val="clear"/>
              </w:rPr>
              <w:t>4</w:t>
            </w:r>
          </w:hyperlink>
          <w:r w:rsidR="00000000" w:rsidDel="00000000" w:rsidRPr="00000000">
            <w:rPr>
              <w:rtl w:val="0"/>
            </w:rPr>
          </w:r>
        </w:p>
        <w:p w:rsidR="00000000" w:rsidDel="00000000" w:rsidRDefault="00000000" w14:paraId="0000001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240"/>
            <w:ind w:right="0"/>
            <w:ind w:firstLine="0"/>
            <w:pageBreakBefore w:val="0"/>
            <w:spacing w:before="0" w:after="100" w:line="360" w:lineRule="auto"/>
            <w:tabs>
              <w:tab w:val="right" w:leader="dot" w:pos="9016"/>
            </w:tabs>
            <w:rPr>
              <w:bCs w:val="0"/>
              <w:iCs w:val="0"/>
              <w:b w:val="0"/>
              <w:i w:val="0"/>
              <w:u w:val="none"/>
              <w:strike w:val="0"/>
              <w:color w:val="000000"/>
              <w:rFonts w:ascii="Times New Roman" w:cs="Times New Roman" w:eastAsia="Times New Roman" w:hAnsi="Times New Roman"/>
              <w:sz w:val="24"/>
              <w:szCs w:val="24"/>
              <w:smallCaps w:val="0"/>
              <w:shd w:fill="auto" w:val="clear"/>
            </w:rPr>
          </w:pPr>
          <w:hyperlink w:anchor="_hbdyq0objcq8">
            <w:r>
              <w:rPr>
                <w:b w:val="0"/>
                <w:i w:val="0"/>
                <w:u w:val="none"/>
                <w:strike w:val="0"/>
                <w:color w:val="000000"/>
                <w:rFonts w:ascii="Times New Roman" w:cs="Times New Roman" w:eastAsia="Times New Roman" w:hAnsi="Times New Roman"/>
                <w:sz w:val="24"/>
                <w:szCs w:val="24"/>
                <w:smallCaps w:val="0"/>
                <w:shd w:fill="auto" w:val="clear"/>
              </w:rPr>
              <w:t>2.1 Description of Midwifery Role</w:t>
            </w:r>
            <w:r>
              <w:rPr>
                <w:b w:val="0"/>
                <w:i w:val="0"/>
                <w:u w:val="none"/>
                <w:strike w:val="0"/>
                <w:color w:val="000000"/>
                <w:rFonts w:ascii="Times New Roman" w:cs="Times New Roman" w:eastAsia="Times New Roman" w:hAnsi="Times New Roman"/>
                <w:sz w:val="24"/>
                <w:szCs w:val="24"/>
                <w:smallCaps w:val="0"/>
                <w:shd w:fill="auto" w:val="clear"/>
              </w:rPr>
              <w:tab/>
            </w:r>
            <w:r>
              <w:rPr>
                <w:b w:val="0"/>
                <w:i w:val="0"/>
                <w:u w:val="none"/>
                <w:strike w:val="0"/>
                <w:color w:val="000000"/>
                <w:rFonts w:ascii="Times New Roman" w:cs="Times New Roman" w:eastAsia="Times New Roman" w:hAnsi="Times New Roman"/>
                <w:sz w:val="24"/>
                <w:szCs w:val="24"/>
                <w:smallCaps w:val="0"/>
                <w:shd w:fill="auto" w:val="clear"/>
              </w:rPr>
              <w:t>4</w:t>
            </w:r>
          </w:hyperlink>
          <w:r w:rsidR="00000000" w:rsidDel="00000000" w:rsidRPr="00000000">
            <w:rPr>
              <w:rtl w:val="0"/>
            </w:rPr>
          </w:r>
        </w:p>
        <w:p w:rsidR="00000000" w:rsidDel="00000000" w:rsidRDefault="00000000" w14:paraId="0000001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240"/>
            <w:ind w:right="0"/>
            <w:ind w:firstLine="0"/>
            <w:pageBreakBefore w:val="0"/>
            <w:spacing w:before="0" w:after="100" w:line="360" w:lineRule="auto"/>
            <w:tabs>
              <w:tab w:val="right" w:leader="dot" w:pos="9016"/>
            </w:tabs>
            <w:rPr>
              <w:bCs w:val="0"/>
              <w:iCs w:val="0"/>
              <w:b w:val="0"/>
              <w:i w:val="0"/>
              <w:u w:val="none"/>
              <w:strike w:val="0"/>
              <w:color w:val="000000"/>
              <w:rFonts w:ascii="Times New Roman" w:cs="Times New Roman" w:eastAsia="Times New Roman" w:hAnsi="Times New Roman"/>
              <w:sz w:val="24"/>
              <w:szCs w:val="24"/>
              <w:smallCaps w:val="0"/>
              <w:shd w:fill="auto" w:val="clear"/>
            </w:rPr>
          </w:pPr>
          <w:hyperlink w:anchor="_gsg3roswrrtj">
            <w:r>
              <w:rPr>
                <w:b w:val="0"/>
                <w:i w:val="0"/>
                <w:u w:val="none"/>
                <w:strike w:val="0"/>
                <w:color w:val="000000"/>
                <w:rFonts w:ascii="Times New Roman" w:cs="Times New Roman" w:eastAsia="Times New Roman" w:hAnsi="Times New Roman"/>
                <w:sz w:val="24"/>
                <w:szCs w:val="24"/>
                <w:smallCaps w:val="0"/>
                <w:shd w:fill="auto" w:val="clear"/>
              </w:rPr>
              <w:t>2.2 Most Significant Skills Needed for Midwifery</w:t>
            </w:r>
            <w:r>
              <w:rPr>
                <w:b w:val="0"/>
                <w:i w:val="0"/>
                <w:u w:val="none"/>
                <w:strike w:val="0"/>
                <w:color w:val="000000"/>
                <w:rFonts w:ascii="Times New Roman" w:cs="Times New Roman" w:eastAsia="Times New Roman" w:hAnsi="Times New Roman"/>
                <w:sz w:val="24"/>
                <w:szCs w:val="24"/>
                <w:smallCaps w:val="0"/>
                <w:shd w:fill="auto" w:val="clear"/>
              </w:rPr>
              <w:tab/>
            </w:r>
            <w:r>
              <w:rPr>
                <w:b w:val="0"/>
                <w:i w:val="0"/>
                <w:u w:val="none"/>
                <w:strike w:val="0"/>
                <w:color w:val="000000"/>
                <w:rFonts w:ascii="Times New Roman" w:cs="Times New Roman" w:eastAsia="Times New Roman" w:hAnsi="Times New Roman"/>
                <w:sz w:val="24"/>
                <w:szCs w:val="24"/>
                <w:smallCaps w:val="0"/>
                <w:shd w:fill="auto" w:val="clear"/>
              </w:rPr>
              <w:t>5</w:t>
            </w:r>
          </w:hyperlink>
          <w:r w:rsidR="00000000" w:rsidDel="00000000" w:rsidRPr="00000000">
            <w:rPr>
              <w:rtl w:val="0"/>
            </w:rPr>
          </w:r>
        </w:p>
        <w:p w:rsidR="00000000" w:rsidDel="00000000" w:rsidRDefault="00000000" w14:paraId="0000001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100" w:line="360" w:lineRule="auto"/>
            <w:tabs>
              <w:tab w:val="right" w:leader="dot" w:pos="9016"/>
            </w:tabs>
            <w:rPr>
              <w:bCs w:val="0"/>
              <w:iCs w:val="0"/>
              <w:b w:val="0"/>
              <w:i w:val="0"/>
              <w:u w:val="none"/>
              <w:strike w:val="0"/>
              <w:color w:val="000000"/>
              <w:rFonts w:ascii="Times New Roman" w:cs="Times New Roman" w:eastAsia="Times New Roman" w:hAnsi="Times New Roman"/>
              <w:sz w:val="24"/>
              <w:szCs w:val="24"/>
              <w:smallCaps w:val="0"/>
              <w:shd w:fill="auto" w:val="clear"/>
            </w:rPr>
          </w:pPr>
          <w:hyperlink w:anchor="_sht45ep0ojln">
            <w:r>
              <w:rPr>
                <w:b w:val="0"/>
                <w:i w:val="0"/>
                <w:u w:val="none"/>
                <w:strike w:val="0"/>
                <w:color w:val="000000"/>
                <w:rFonts w:ascii="Times New Roman" w:cs="Times New Roman" w:eastAsia="Times New Roman" w:hAnsi="Times New Roman"/>
                <w:sz w:val="24"/>
                <w:szCs w:val="24"/>
                <w:smallCaps w:val="0"/>
                <w:shd w:fill="auto" w:val="clear"/>
              </w:rPr>
              <w:t>3.0 Strategies for Skill Improvement for Midwifery</w:t>
            </w:r>
            <w:r>
              <w:rPr>
                <w:b w:val="0"/>
                <w:i w:val="0"/>
                <w:u w:val="none"/>
                <w:strike w:val="0"/>
                <w:color w:val="000000"/>
                <w:rFonts w:ascii="Times New Roman" w:cs="Times New Roman" w:eastAsia="Times New Roman" w:hAnsi="Times New Roman"/>
                <w:sz w:val="24"/>
                <w:szCs w:val="24"/>
                <w:smallCaps w:val="0"/>
                <w:shd w:fill="auto" w:val="clear"/>
              </w:rPr>
              <w:tab/>
            </w:r>
            <w:r>
              <w:rPr>
                <w:b w:val="0"/>
                <w:i w:val="0"/>
                <w:u w:val="none"/>
                <w:strike w:val="0"/>
                <w:color w:val="000000"/>
                <w:rFonts w:ascii="Times New Roman" w:cs="Times New Roman" w:eastAsia="Times New Roman" w:hAnsi="Times New Roman"/>
                <w:sz w:val="24"/>
                <w:szCs w:val="24"/>
                <w:smallCaps w:val="0"/>
                <w:shd w:fill="auto" w:val="clear"/>
              </w:rPr>
              <w:t>6</w:t>
            </w:r>
          </w:hyperlink>
          <w:r w:rsidR="00000000" w:rsidDel="00000000" w:rsidRPr="00000000">
            <w:rPr>
              <w:rtl w:val="0"/>
            </w:rPr>
          </w:r>
        </w:p>
        <w:p w:rsidR="00000000" w:rsidDel="00000000" w:rsidRDefault="00000000" w14:paraId="0000001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100" w:line="360" w:lineRule="auto"/>
            <w:tabs>
              <w:tab w:val="right" w:leader="dot" w:pos="9016"/>
            </w:tabs>
            <w:rPr>
              <w:bCs w:val="0"/>
              <w:iCs w:val="0"/>
              <w:b w:val="0"/>
              <w:i w:val="0"/>
              <w:u w:val="none"/>
              <w:strike w:val="0"/>
              <w:color w:val="000000"/>
              <w:rFonts w:ascii="Times New Roman" w:cs="Times New Roman" w:eastAsia="Times New Roman" w:hAnsi="Times New Roman"/>
              <w:sz w:val="24"/>
              <w:szCs w:val="24"/>
              <w:smallCaps w:val="0"/>
              <w:shd w:fill="auto" w:val="clear"/>
            </w:rPr>
          </w:pPr>
          <w:hyperlink w:anchor="_qdzuc7i558zo">
            <w:r>
              <w:rPr>
                <w:b w:val="0"/>
                <w:i w:val="0"/>
                <w:u w:val="none"/>
                <w:strike w:val="0"/>
                <w:color w:val="000000"/>
                <w:rFonts w:ascii="Times New Roman" w:cs="Times New Roman" w:eastAsia="Times New Roman" w:hAnsi="Times New Roman"/>
                <w:sz w:val="24"/>
                <w:szCs w:val="24"/>
                <w:smallCaps w:val="0"/>
                <w:shd w:fill="auto" w:val="clear"/>
              </w:rPr>
              <w:t>4.0 Conclusion</w:t>
            </w:r>
            <w:r>
              <w:rPr>
                <w:b w:val="0"/>
                <w:i w:val="0"/>
                <w:u w:val="none"/>
                <w:strike w:val="0"/>
                <w:color w:val="000000"/>
                <w:rFonts w:ascii="Times New Roman" w:cs="Times New Roman" w:eastAsia="Times New Roman" w:hAnsi="Times New Roman"/>
                <w:sz w:val="24"/>
                <w:szCs w:val="24"/>
                <w:smallCaps w:val="0"/>
                <w:shd w:fill="auto" w:val="clear"/>
              </w:rPr>
              <w:tab/>
            </w:r>
            <w:r>
              <w:rPr>
                <w:b w:val="0"/>
                <w:i w:val="0"/>
                <w:u w:val="none"/>
                <w:strike w:val="0"/>
                <w:color w:val="000000"/>
                <w:rFonts w:ascii="Times New Roman" w:cs="Times New Roman" w:eastAsia="Times New Roman" w:hAnsi="Times New Roman"/>
                <w:sz w:val="24"/>
                <w:szCs w:val="24"/>
                <w:smallCaps w:val="0"/>
                <w:shd w:fill="auto" w:val="clear"/>
              </w:rPr>
              <w:t>8</w:t>
            </w:r>
          </w:hyperlink>
          <w:r w:rsidR="00000000" w:rsidDel="00000000" w:rsidRPr="00000000">
            <w:rPr>
              <w:rtl w:val="0"/>
            </w:rPr>
          </w:r>
        </w:p>
        <w:p w:rsidR="00000000" w:rsidDel="00000000" w:rsidRDefault="00000000" w14:paraId="0000001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100" w:line="360" w:lineRule="auto"/>
            <w:tabs>
              <w:tab w:val="right" w:leader="dot" w:pos="9016"/>
            </w:tabs>
            <w:rPr>
              <w:bCs w:val="0"/>
              <w:iCs w:val="0"/>
              <w:b w:val="0"/>
              <w:i w:val="0"/>
              <w:u w:val="none"/>
              <w:strike w:val="0"/>
              <w:color w:val="000000"/>
              <w:rFonts w:ascii="Times New Roman" w:cs="Times New Roman" w:eastAsia="Times New Roman" w:hAnsi="Times New Roman"/>
              <w:sz w:val="24"/>
              <w:szCs w:val="24"/>
              <w:smallCaps w:val="0"/>
              <w:shd w:fill="auto" w:val="clear"/>
            </w:rPr>
          </w:pPr>
          <w:hyperlink w:anchor="_55j620peyvsd">
            <w:r>
              <w:rPr>
                <w:b w:val="0"/>
                <w:i w:val="0"/>
                <w:u w:val="none"/>
                <w:strike w:val="0"/>
                <w:color w:val="000000"/>
                <w:rFonts w:ascii="Times New Roman" w:cs="Times New Roman" w:eastAsia="Times New Roman" w:hAnsi="Times New Roman"/>
                <w:sz w:val="24"/>
                <w:szCs w:val="24"/>
                <w:smallCaps w:val="0"/>
                <w:shd w:fill="auto" w:val="clear"/>
              </w:rPr>
              <w:t>5.0 References</w:t>
            </w:r>
            <w:r>
              <w:rPr>
                <w:b w:val="0"/>
                <w:i w:val="0"/>
                <w:u w:val="none"/>
                <w:strike w:val="0"/>
                <w:color w:val="000000"/>
                <w:rFonts w:ascii="Times New Roman" w:cs="Times New Roman" w:eastAsia="Times New Roman" w:hAnsi="Times New Roman"/>
                <w:sz w:val="24"/>
                <w:szCs w:val="24"/>
                <w:smallCaps w:val="0"/>
                <w:shd w:fill="auto" w:val="clear"/>
              </w:rPr>
              <w:tab/>
            </w:r>
            <w:r>
              <w:rPr>
                <w:b w:val="0"/>
                <w:i w:val="0"/>
                <w:u w:val="none"/>
                <w:strike w:val="0"/>
                <w:color w:val="000000"/>
                <w:rFonts w:ascii="Times New Roman" w:cs="Times New Roman" w:eastAsia="Times New Roman" w:hAnsi="Times New Roman"/>
                <w:sz w:val="24"/>
                <w:szCs w:val="24"/>
                <w:smallCaps w:val="0"/>
                <w:shd w:fill="auto" w:val="clear"/>
              </w:rPr>
              <w:t>9</w:t>
            </w:r>
          </w:hyperlink>
          <w:r w:rsidR="00000000" w:rsidDel="00000000" w:rsidRPr="00000000">
            <w:rPr>
              <w:rtl w:val="0"/>
            </w:rPr>
          </w:r>
        </w:p>
        <w:p w:rsidR="00000000" w:rsidDel="00000000" w:rsidRDefault="00000000" w14:paraId="00000018" w:rsidP="00000000" w:rsidRPr="00000000">
          <w:pPr/>
          <w:r w:rsidR="00000000" w:rsidDel="00000000" w:rsidRPr="00000000">
            <w:rPr>
              <w:rtl w:val="0"/>
            </w:rPr>
          </w:r>
          <w:r w:rsidR="00000000" w:rsidDel="00000000" w:rsidRPr="00000000">
            <w:fldChar w:fldCharType="end"/>
          </w:r>
        </w:p>
      </w:sdtContent>
    </w:sdt>
    <w:p w:rsidR="00000000" w:rsidDel="00000000" w:rsidRDefault="00000000" w14:paraId="00000019" w:rsidP="00000000" w:rsidRPr="00000000">
      <w:pPr/>
      <w:r w:rsidR="00000000" w:rsidDel="00000000" w:rsidRPr="00000000">
        <w:rPr>
          <w:rtl w:val="0"/>
        </w:rPr>
      </w:r>
    </w:p>
    <w:p w:rsidR="00000000" w:rsidDel="00000000" w:rsidRDefault="00000000" w14:paraId="0000001A" w:rsidP="00000000" w:rsidRPr="00000000">
      <w:pPr>
        <w:pStyle w:val="Heading1"/>
      </w:pPr>
      <w:bookmarkStart w:colFirst="0" w:colLast="0" w:name="_rp4sj6nt2y81" w:id="0"/>
      <w:bookmarkEnd w:id="0"/>
      <w:r w:rsidR="00000000" w:rsidDel="00000000" w:rsidRPr="00000000">
        <w:rPr>
          <w:rtl w:val="0"/>
        </w:rPr>
        <w:t>1.0 Introduction</w:t>
      </w:r>
    </w:p>
    <w:p w:rsidR="00000000" w:rsidDel="00000000" w:rsidRDefault="00000000" w14:paraId="0000001B" w:rsidP="00000000" w:rsidRPr="00000000">
      <w:pPr/>
      <w:r w:rsidR="00000000" w:rsidDel="00000000" w:rsidRPr="00000000">
        <w:rPr>
          <w:rtl w:val="0"/>
        </w:rPr>
        <w:t>Midwifery has been much involved in making healthcare services accessible to the women during the time of pregnancy and childbirth and labor (Eri et al., 2020). The most qualified medical care practitioners are the midwives who take care of the wellbeing of the mothers and newborns through providing the necessary care during birth, birth and treatment of newborn (Elendu et al., 2024). The report dwells upon this matter because the occupation of the midwifery within the health and social care field and examines it in terms of the key skills to be effective. This report focuses on explaining the importance of midwifery and also discuss on importance of midwifery in maternal and child health.</w:t>
      </w:r>
    </w:p>
    <w:p w:rsidR="00000000" w:rsidDel="00000000" w:rsidRDefault="00000000" w14:paraId="0000001C" w:rsidP="00000000" w:rsidRPr="00000000">
      <w:pPr/>
      <w:r w:rsidR="00000000" w:rsidDel="00000000" w:rsidRPr="00000000">
        <w:rPr>
          <w:rtl w:val="0"/>
        </w:rPr>
      </w:r>
    </w:p>
    <w:p w:rsidR="00000000" w:rsidDel="00000000" w:rsidRDefault="00000000" w14:paraId="0000001D" w:rsidP="00000000" w:rsidRPr="00000000">
      <w:pPr/>
      <w:r>
        <w:rPr>
          <w:noProof/>
        </w:rPr>
        <w:drawing>
          <wp:inline distB="0" distL="0" distR="0" distT="0">
            <wp:extent cx="5731510" cy="3356610"/>
            <wp:effectExtent b="0" l="0" r="0" t="0"/>
            <wp:docPr descr="Caseload midwifery is 'safe and cost effective' | Nursing Times" id="3" name="image1.jpg"/>
            <a:graphic>
              <a:graphicData uri="http://schemas.openxmlformats.org/drawingml/2006/picture">
                <pic:pic>
                  <pic:nvPicPr>
                    <pic:cNvPr descr="Caseload midwifery is 'safe and cost effective' | Nursing Times" id="0" name="image1.jpg"/>
                    <pic:cNvPicPr preferRelativeResize="0"/>
                  </pic:nvPicPr>
                  <pic:blipFill>
                    <a:blip r:embed="rId10"/>
                    <a:srcRect/>
                    <a:stretch>
                      <a:fillRect/>
                    </a:stretch>
                  </pic:blipFill>
                  <pic:spPr>
                    <a:xfrm>
                      <a:off x="0" y="0"/>
                      <a:ext cx="5731510" cy="3356610"/>
                    </a:xfrm>
                    <a:prstGeom prst="rect"/>
                    <a:ln/>
                  </pic:spPr>
                </pic:pic>
              </a:graphicData>
            </a:graphic>
          </wp:inline>
        </w:drawing>
      </w:r>
      <w:r w:rsidR="00000000" w:rsidDel="00000000" w:rsidRPr="00000000">
        <w:rPr>
          <w:rtl w:val="0"/>
        </w:rPr>
      </w:r>
    </w:p>
    <w:p w:rsidR="00000000" w:rsidDel="00000000" w:rsidRDefault="00000000" w14:paraId="0000001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200" w:line="240" w:lineRule="auto"/>
        <w:rPr>
          <w:bCs w:val="1"/>
          <w:iCs w:val="1"/>
          <w:b/>
          <w:i/>
          <w:u w:val="none"/>
          <w:strike w:val="0"/>
          <w:color w:val="1F497D"/>
          <w:rFonts w:ascii="Times New Roman" w:cs="Times New Roman" w:eastAsia="Times New Roman" w:hAnsi="Times New Roman"/>
          <w:sz w:val="24"/>
          <w:szCs w:val="24"/>
          <w:smallCaps w:val="0"/>
          <w:shd w:fill="auto" w:val="clear"/>
        </w:rPr>
      </w:pPr>
      <w:r w:rsidR="00000000" w:rsidDel="00000000" w:rsidRPr="00000000">
        <w:rPr>
          <w:bCs w:val="1"/>
          <w:iCs w:val="1"/>
          <w:rtl w:val="0"/>
          <w:b/>
          <w:i/>
          <w:u w:val="none"/>
          <w:strike w:val="0"/>
          <w:color w:val="1F497D"/>
          <w:rFonts w:ascii="Times New Roman" w:cs="Times New Roman" w:eastAsia="Times New Roman" w:hAnsi="Times New Roman"/>
          <w:sz w:val="24"/>
          <w:szCs w:val="24"/>
          <w:smallCaps w:val="0"/>
          <w:shd w:fill="auto" w:val="clear"/>
        </w:rPr>
        <w:t>Figure 1 Midwifery (Ford, 2020).</w:t>
      </w:r>
    </w:p>
    <w:p w:rsidR="00000000" w:rsidDel="00000000" w:rsidRDefault="00000000" w14:paraId="0000001F" w:rsidP="00000000" w:rsidRPr="00000000">
      <w:pPr/>
      <w:r>
        <w:br w:type="page"/>
      </w:r>
      <w:r w:rsidR="00000000" w:rsidDel="00000000" w:rsidRPr="00000000">
        <w:rPr>
          <w:rtl w:val="0"/>
        </w:rPr>
      </w:r>
    </w:p>
    <w:p w:rsidR="00000000" w:rsidDel="00000000" w:rsidRDefault="00000000" w14:paraId="00000020" w:rsidP="00000000" w:rsidRPr="00000000">
      <w:pPr>
        <w:pStyle w:val="Heading1"/>
      </w:pPr>
      <w:bookmarkStart w:colFirst="0" w:colLast="0" w:name="_xu4mfnu6d5u3" w:id="1"/>
      <w:bookmarkEnd w:id="1"/>
      <w:r w:rsidR="00000000" w:rsidDel="00000000" w:rsidRPr="00000000">
        <w:rPr>
          <w:rtl w:val="0"/>
        </w:rPr>
        <w:t>2.0 Midwifery in the Health and Social Care Field</w:t>
      </w:r>
    </w:p>
    <w:p w:rsidR="00000000" w:rsidDel="00000000" w:rsidRDefault="00000000" w14:paraId="00000021" w:rsidP="00000000" w:rsidRPr="00000000">
      <w:pPr>
        <w:pStyle w:val="Heading2"/>
      </w:pPr>
      <w:bookmarkStart w:colFirst="0" w:colLast="0" w:name="_hbdyq0objcq8" w:id="2"/>
      <w:bookmarkEnd w:id="2"/>
      <w:r w:rsidR="00000000" w:rsidDel="00000000" w:rsidRPr="00000000">
        <w:rPr>
          <w:rtl w:val="0"/>
        </w:rPr>
        <w:t xml:space="preserve">2.1 Description of Midwifery Role </w:t>
      </w:r>
    </w:p>
    <w:p w:rsidR="00000000" w:rsidDel="00000000" w:rsidRDefault="00000000" w14:paraId="00000022" w:rsidP="00000000" w:rsidRPr="00000000">
      <w:pPr/>
      <w:r w:rsidR="00000000" w:rsidDel="00000000" w:rsidRPr="00000000">
        <w:rPr>
          <w:rtl w:val="0"/>
        </w:rPr>
        <w:t>Midwifery is a niche in the healthcare system that involves the provision of the services to pregnant women, as a result of delivering and providing services to them after childbirth (Franjić, 2019). Midwives provide personalised services package and that will guarantee the health of the mother and the child (Eri et al., 2020). Not only a clinical treatment, a midwife should, also offer emotional support, counseling, and educational service. Midwives are willing to observe and evaluate the conditions of pregnancy development, assist in daily education of mothers-to-be, assist in childbirth and child delivery process and counsel the mothers after childbirth.</w:t>
      </w:r>
    </w:p>
    <w:p w:rsidR="00000000" w:rsidDel="00000000" w:rsidRDefault="00000000" w14:paraId="00000023" w:rsidP="00000000" w:rsidRPr="00000000">
      <w:pPr>
        <w:jc w:val="center"/>
      </w:pPr>
      <w:r>
        <w:rPr>
          <w:noProof/>
        </w:rPr>
        <w:drawing>
          <wp:inline distB="0" distL="0" distR="0" distT="0">
            <wp:extent cx="2114550" cy="3964305"/>
            <wp:effectExtent b="0" l="0" r="0" t="0"/>
            <wp:docPr id="2" name="image3.png"/>
            <a:graphic>
              <a:graphicData uri="http://schemas.openxmlformats.org/drawingml/2006/picture">
                <pic:pic>
                  <pic:nvPicPr>
                    <pic:cNvPr id="0" name="image3.png"/>
                    <pic:cNvPicPr preferRelativeResize="0"/>
                  </pic:nvPicPr>
                  <pic:blipFill>
                    <a:blip r:embed="rId11"/>
                    <a:srcRect/>
                    <a:stretch>
                      <a:fillRect/>
                    </a:stretch>
                  </pic:blipFill>
                  <pic:spPr>
                    <a:xfrm>
                      <a:off x="0" y="0"/>
                      <a:ext cx="2114601" cy="3964878"/>
                    </a:xfrm>
                    <a:prstGeom prst="rect"/>
                    <a:ln/>
                  </pic:spPr>
                </pic:pic>
              </a:graphicData>
            </a:graphic>
          </wp:inline>
        </w:drawing>
      </w:r>
      <w:r w:rsidR="00000000" w:rsidDel="00000000" w:rsidRPr="00000000">
        <w:rPr>
          <w:rtl w:val="0"/>
        </w:rPr>
      </w:r>
    </w:p>
    <w:p w:rsidR="00000000" w:rsidDel="00000000" w:rsidRDefault="00000000" w14:paraId="0000002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200" w:line="240" w:lineRule="auto"/>
        <w:rPr>
          <w:bCs w:val="1"/>
          <w:iCs w:val="1"/>
          <w:b/>
          <w:i/>
          <w:u w:val="none"/>
          <w:strike w:val="0"/>
          <w:color w:val="1F497D"/>
          <w:rFonts w:ascii="Times New Roman" w:cs="Times New Roman" w:eastAsia="Times New Roman" w:hAnsi="Times New Roman"/>
          <w:sz w:val="24"/>
          <w:szCs w:val="24"/>
          <w:smallCaps w:val="0"/>
          <w:shd w:fill="auto" w:val="clear"/>
        </w:rPr>
      </w:pPr>
      <w:r w:rsidR="00000000" w:rsidDel="00000000" w:rsidRPr="00000000">
        <w:rPr>
          <w:bCs w:val="1"/>
          <w:iCs w:val="1"/>
          <w:rtl w:val="0"/>
          <w:b/>
          <w:i/>
          <w:u w:val="none"/>
          <w:strike w:val="0"/>
          <w:color w:val="1F497D"/>
          <w:rFonts w:ascii="Times New Roman" w:cs="Times New Roman" w:eastAsia="Times New Roman" w:hAnsi="Times New Roman"/>
          <w:sz w:val="24"/>
          <w:szCs w:val="24"/>
          <w:smallCaps w:val="0"/>
          <w:shd w:fill="auto" w:val="clear"/>
        </w:rPr>
        <w:t>Figure 2 Role of Midwifery (Pampers, 2024).</w:t>
      </w:r>
    </w:p>
    <w:p w:rsidR="00000000" w:rsidDel="00000000" w:rsidRDefault="00000000" w14:paraId="00000025" w:rsidP="00000000" w:rsidRPr="00000000">
      <w:pPr/>
      <w:r w:rsidR="00000000" w:rsidDel="00000000" w:rsidRPr="00000000">
        <w:rPr>
          <w:rtl w:val="0"/>
        </w:rPr>
        <w:t>In case of complications that may arise, they are left to consult the obstetricians and other health workers to liaise with midwives in order to administer the right interventions (Abbott and Wallace, 2020). The other aspect that is pertinent to the midwife's work is the postpartum visit such as the new babies check-ups, breast milk education and observation of the health of the mother, which also is an essential part of the job. Midwifery is important because it contributes to the improvement of both the health of the child and the mother. The midwives can also have a significant impact in reducing the cases of maternal and infant mortality, as the services they offer to women are safe, considerate, and holistic. The positive labor experiences, along with an improvement of health that both moms and babies will receive.</w:t>
      </w:r>
    </w:p>
    <w:p w:rsidR="00000000" w:rsidDel="00000000" w:rsidRDefault="00000000" w14:paraId="00000026" w:rsidP="00000000" w:rsidRPr="00000000">
      <w:pPr/>
      <w:r w:rsidR="00000000" w:rsidDel="00000000" w:rsidRPr="00000000">
        <w:rPr>
          <w:rtl w:val="0"/>
        </w:rPr>
      </w:r>
    </w:p>
    <w:p w:rsidR="00000000" w:rsidDel="00000000" w:rsidRDefault="00000000" w14:paraId="00000027" w:rsidP="00000000" w:rsidRPr="00000000">
      <w:pPr>
        <w:pStyle w:val="Heading2"/>
      </w:pPr>
      <w:bookmarkStart w:colFirst="0" w:colLast="0" w:name="_gsg3roswrrtj" w:id="3"/>
      <w:bookmarkEnd w:id="3"/>
      <w:r w:rsidR="00000000" w:rsidDel="00000000" w:rsidRPr="00000000">
        <w:rPr>
          <w:rtl w:val="0"/>
        </w:rPr>
        <w:t>2.2 Most Significant Skills Needed for Midwifery</w:t>
      </w:r>
    </w:p>
    <w:p w:rsidR="00000000" w:rsidDel="00000000" w:rsidRDefault="00000000" w14:paraId="00000028" w:rsidP="00000000" w:rsidRPr="00000000">
      <w:pPr/>
      <w:r w:rsidR="00000000" w:rsidDel="00000000" w:rsidRPr="00000000">
        <w:rPr>
          <w:rtl w:val="0"/>
        </w:rPr>
        <w:t xml:space="preserve">Midwifery involves integration of both clinical, interpersonal and emotional expertise as well. The most useful skills that would be required are clinical assessment skills, communication skills and emotional intelligence (Crisp et al., 2018). To reduce the risks of harming the health and improving the well-being of the infant and the mother during pregnancy, during labor process and even at the moment of birth, clinical assessment skills are applicable to make the progress of the midwives quantifiable. Midwives should be equipped with the opportunity to conduct complete physical examination, test analysis, and detect the first symptoms of complications (Butler et al., 2018). The competency enables the midwives to make good decisions throughout the care delivery process whether a normal check up or an emergency of some sort. </w:t>
      </w:r>
    </w:p>
    <w:p w:rsidR="00000000" w:rsidDel="00000000" w:rsidRDefault="00000000" w14:paraId="00000029" w:rsidP="00000000" w:rsidRPr="00000000">
      <w:pPr/>
      <w:r w:rsidR="00000000" w:rsidDel="00000000" w:rsidRPr="00000000">
        <w:rPr>
          <w:rtl w:val="0"/>
        </w:rPr>
      </w:r>
    </w:p>
    <w:p w:rsidR="00000000" w:rsidDel="00000000" w:rsidRDefault="00000000" w14:paraId="0000002A" w:rsidP="00000000" w:rsidRPr="00000000">
      <w:pPr/>
      <w:r w:rsidR="00000000" w:rsidDel="00000000" w:rsidRPr="00000000">
        <w:rPr>
          <w:rtl w:val="0"/>
        </w:rPr>
        <w:t xml:space="preserve">The concept of midwifery is one such activity which could be effectively executed upon proper communication as it aids in Forging the relationship between a midwife and a patient (Ganisia and A’zdom, 2025). Midwives are supposed to educate a woman on pregnancy, labor and aftercare of the new born child, communicate with clients and their families efficiently and in a humane manner (Franjić, 2019). Hearing the anxieties of the expecting women, responding to their inquiries and providing the counsel as an option that would not encroach even on the culture and individual choices might also be considered a nice method of communication. Also, one needs to render reports to other health care providers in order to enable them provide coordinated care in the birth as well as in case of emergency (Elendu et al., 2024). Among the most useful emotional skills that a midwife should possess is the ability to offer emotional support to the individual since, in most cases the midwife is expected to offer emotional support to the individual touching one of the most redefining phases of the life of a woman. The midwives are expected to be emotional, tolerant and stable particularly where there is high stakes. </w:t>
      </w:r>
    </w:p>
    <w:p w:rsidR="00000000" w:rsidDel="00000000" w:rsidRDefault="00000000" w14:paraId="0000002B" w:rsidP="00000000" w:rsidRPr="00000000">
      <w:pPr/>
      <w:r>
        <w:br w:type="page"/>
      </w:r>
      <w:r w:rsidR="00000000" w:rsidDel="00000000" w:rsidRPr="00000000">
        <w:rPr>
          <w:rtl w:val="0"/>
        </w:rPr>
      </w:r>
    </w:p>
    <w:p w:rsidR="00000000" w:rsidDel="00000000" w:rsidRDefault="00000000" w14:paraId="0000002C" w:rsidP="00000000" w:rsidRPr="00000000">
      <w:pPr>
        <w:pStyle w:val="Heading1"/>
      </w:pPr>
      <w:bookmarkStart w:colFirst="0" w:colLast="0" w:name="_sht45ep0ojln" w:id="4"/>
      <w:bookmarkEnd w:id="4"/>
      <w:r w:rsidR="00000000" w:rsidDel="00000000" w:rsidRPr="00000000">
        <w:rPr>
          <w:rtl w:val="0"/>
        </w:rPr>
        <w:t>3.0 Strategies for Skill Improvement for Midwifery</w:t>
      </w:r>
    </w:p>
    <w:p w:rsidR="00000000" w:rsidDel="00000000" w:rsidRDefault="00000000" w14:paraId="0000002D" w:rsidP="00000000" w:rsidRPr="00000000">
      <w:pPr/>
      <w:r w:rsidR="00000000" w:rsidDel="00000000" w:rsidRPr="00000000">
        <w:rPr>
          <w:rtl w:val="0"/>
        </w:rPr>
        <w:t>Midwifery skills should be improved to promote high-quality, safe, and care support of the provision (Butler et al., 2018). Continuous learning and training is essential in ensuring that the midwives are abreast with the prevailing practice and medical developments as well as evidence based procedures (WHO, 2025). It means that they are going to visit workshops, seminars, and other advanced courses, like neonatal resuscitation, emergency obstetric and lactation provision. Through regular training, the midwives will be capable of improving their clinical competence and be ready to face the same situation as those that are both normal and challenging.</w:t>
      </w:r>
    </w:p>
    <w:p w:rsidR="00000000" w:rsidDel="00000000" w:rsidRDefault="00000000" w14:paraId="0000002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200" w:line="240" w:lineRule="auto"/>
        <w:rPr>
          <w:bCs w:val="1"/>
          <w:iCs w:val="1"/>
          <w:b/>
          <w:i/>
          <w:u w:val="none"/>
          <w:strike w:val="0"/>
          <w:color w:val="1F497D"/>
          <w:rFonts w:ascii="Times New Roman" w:cs="Times New Roman" w:eastAsia="Times New Roman" w:hAnsi="Times New Roman"/>
          <w:sz w:val="24"/>
          <w:szCs w:val="24"/>
          <w:smallCaps w:val="0"/>
          <w:shd w:fill="auto" w:val="clear"/>
        </w:rPr>
      </w:pPr>
      <w:r w:rsidR="00000000" w:rsidDel="00000000" w:rsidRPr="00000000">
        <w:rPr>
          <w:bCs w:val="1"/>
          <w:iCs w:val="1"/>
          <w:rtl w:val="0"/>
          <w:b/>
          <w:i/>
          <w:u w:val="none"/>
          <w:strike w:val="0"/>
          <w:color w:val="1F497D"/>
          <w:rFonts w:ascii="Times New Roman" w:cs="Times New Roman" w:eastAsia="Times New Roman" w:hAnsi="Times New Roman"/>
          <w:sz w:val="24"/>
          <w:szCs w:val="24"/>
          <w:smallCaps w:val="0"/>
          <w:shd w:fill="auto" w:val="clear"/>
        </w:rPr>
        <w:t>Table 1 Strategies for Skill Improvement for Midwifery.</w:t>
      </w:r>
    </w:p>
    <w:tbl>
      <w:tblPr>
        <w:tblW w:w="9465.0" w:type="dxa"/>
        <w:tblLayout w:type="fixed"/>
        <w:tblBorders>
          <w:top w:val="nil" w:sz="0" w:color="000000" w:space="0"/>
          <w:bottom w:val="nil" w:sz="0" w:color="000000" w:space="0"/>
          <w:left w:val="nil" w:sz="0" w:color="000000" w:space="0"/>
          <w:right w:val="nil" w:sz="0" w:color="000000" w:space="0"/>
          <w:insideH w:val="nil" w:sz="0" w:color="000000" w:space="0"/>
          <w:insideV w:val="nil" w:sz="0" w:color="000000" w:space="0"/>
        </w:tblBorders>
        <w:jc w:val="left"/>
        <w:tblStyle w:val="Table1"/>
        <w:tblLook w:val="0"/>
      </w:tblPr>
      <w:tblGrid>
        <w:gridCol w:w="1425"/>
        <w:gridCol w:w="4200"/>
        <w:gridCol w:w="3840"/>
      </w:tblGrid>
      <w:tblGridChange w:id="0">
        <w:tblGrid>
          <w:gridCol w:w="1425"/>
          <w:gridCol w:w="4200"/>
          <w:gridCol w:w="3840"/>
        </w:tblGrid>
      </w:tblGridChange>
      <w:tr>
        <w:trPr>
          <w:cantSplit w:val="0"/>
          <w:tblHeader w:val="0"/>
          <w:trHeight w:val="435" w:hRule="atLeast"/>
        </w:trPr>
        <w:tc>
          <w:tcPr>
            <w:tcMar>
              <w:top w:w="0.0" w:type="dxa"/>
              <w:left w:w="100.0" w:type="dxa"/>
              <w:bottom w:w="0.0" w:type="dxa"/>
              <w:right w:w="100.0" w:type="dxa"/>
            </w:tcMar>
            <w:tcBorders>
              <w:top w:val="single" w:sz="5" w:color="000000" w:space="0"/>
              <w:bottom w:val="single" w:sz="5" w:color="000000" w:space="0"/>
              <w:left w:val="single" w:sz="5" w:color="000000" w:space="0"/>
              <w:right w:val="single" w:sz="5" w:color="000000" w:space="0"/>
            </w:tcBorders>
          </w:tcPr>
          <w:p w:rsidR="00000000" w:rsidDel="00000000" w:rsidRDefault="00000000" w14:paraId="0000002F" w:rsidP="00000000" w:rsidRPr="00000000">
            <w:pPr>
              <w:spacing w:before="240" w:after="160" w:line="256" w:lineRule="auto"/>
              <w:rPr>
                <w:bCs w:val="1"/>
                <w:b/>
              </w:rPr>
            </w:pPr>
            <w:r w:rsidR="00000000" w:rsidDel="00000000" w:rsidRPr="00000000">
              <w:rPr>
                <w:bCs w:val="1"/>
                <w:rtl w:val="0"/>
                <w:b/>
              </w:rPr>
              <w:t>Strategy</w:t>
            </w:r>
          </w:p>
        </w:tc>
        <w:tc>
          <w:tcPr>
            <w:tcMar>
              <w:top w:w="0.0" w:type="dxa"/>
              <w:left w:w="100.0" w:type="dxa"/>
              <w:bottom w:w="0.0" w:type="dxa"/>
              <w:right w:w="100.0" w:type="dxa"/>
            </w:tcMar>
            <w:tcBorders>
              <w:top w:val="single" w:sz="5" w:color="000000" w:space="0"/>
              <w:bottom w:val="single" w:sz="5" w:color="000000" w:space="0"/>
              <w:left w:val="nil" w:sz="0" w:color="000000" w:space="0"/>
              <w:right w:val="single" w:sz="5" w:color="000000" w:space="0"/>
            </w:tcBorders>
          </w:tcPr>
          <w:p w:rsidR="00000000" w:rsidDel="00000000" w:rsidRDefault="00000000" w14:paraId="00000030" w:rsidP="00000000" w:rsidRPr="00000000">
            <w:pPr>
              <w:spacing w:before="240" w:after="160" w:line="256" w:lineRule="auto"/>
              <w:rPr>
                <w:bCs w:val="1"/>
                <w:b/>
              </w:rPr>
            </w:pPr>
            <w:r w:rsidR="00000000" w:rsidDel="00000000" w:rsidRPr="00000000">
              <w:rPr>
                <w:bCs w:val="1"/>
                <w:rtl w:val="0"/>
                <w:b/>
              </w:rPr>
              <w:t>Description</w:t>
            </w:r>
          </w:p>
        </w:tc>
        <w:tc>
          <w:tcPr>
            <w:tcMar>
              <w:top w:w="0.0" w:type="dxa"/>
              <w:left w:w="100.0" w:type="dxa"/>
              <w:bottom w:w="0.0" w:type="dxa"/>
              <w:right w:w="100.0" w:type="dxa"/>
            </w:tcMar>
            <w:tcBorders>
              <w:top w:val="single" w:sz="5" w:color="000000" w:space="0"/>
              <w:bottom w:val="single" w:sz="5" w:color="000000" w:space="0"/>
              <w:left w:val="nil" w:sz="0" w:color="000000" w:space="0"/>
              <w:right w:val="single" w:sz="5" w:color="000000" w:space="0"/>
            </w:tcBorders>
          </w:tcPr>
          <w:p w:rsidR="00000000" w:rsidDel="00000000" w:rsidRDefault="00000000" w14:paraId="00000031" w:rsidP="00000000" w:rsidRPr="00000000">
            <w:pPr>
              <w:spacing w:before="240" w:after="160" w:line="256" w:lineRule="auto"/>
              <w:rPr>
                <w:bCs w:val="1"/>
                <w:b/>
              </w:rPr>
            </w:pPr>
            <w:r w:rsidR="00000000" w:rsidDel="00000000" w:rsidRPr="00000000">
              <w:rPr>
                <w:bCs w:val="1"/>
                <w:rtl w:val="0"/>
                <w:b/>
              </w:rPr>
              <w:t>Benefits</w:t>
            </w:r>
          </w:p>
        </w:tc>
      </w:tr>
      <w:tr>
        <w:trPr>
          <w:cantSplit w:val="0"/>
          <w:tblHeader w:val="0"/>
          <w:trHeight w:val="1455" w:hRule="atLeast"/>
        </w:trPr>
        <w:tc>
          <w:tcPr>
            <w:tcMar>
              <w:top w:w="0.0" w:type="dxa"/>
              <w:left w:w="100.0" w:type="dxa"/>
              <w:bottom w:w="0.0" w:type="dxa"/>
              <w:right w:w="100.0" w:type="dxa"/>
            </w:tcMar>
            <w:tcBorders>
              <w:top w:val="nil" w:sz="0" w:color="000000" w:space="0"/>
              <w:bottom w:val="single" w:sz="5" w:color="000000" w:space="0"/>
              <w:left w:val="single" w:sz="5" w:color="000000" w:space="0"/>
              <w:right w:val="single" w:sz="5" w:color="000000" w:space="0"/>
            </w:tcBorders>
          </w:tcPr>
          <w:p w:rsidR="00000000" w:rsidDel="00000000" w:rsidRDefault="00000000" w14:paraId="00000032" w:rsidP="00000000" w:rsidRPr="00000000">
            <w:pPr>
              <w:spacing w:before="240" w:after="160" w:line="256" w:lineRule="auto"/>
              <w:rPr>
                <w:bCs w:val="1"/>
                <w:b/>
              </w:rPr>
            </w:pPr>
            <w:r w:rsidR="00000000" w:rsidDel="00000000" w:rsidRPr="00000000">
              <w:rPr>
                <w:bCs w:val="1"/>
                <w:rtl w:val="0"/>
                <w:b/>
              </w:rPr>
              <w:t>Continuous Education and Training</w:t>
            </w:r>
          </w:p>
        </w:tc>
        <w:tc>
          <w:tcPr>
            <w:tcMar>
              <w:top w:w="0.0" w:type="dxa"/>
              <w:left w:w="100.0" w:type="dxa"/>
              <w:bottom w:w="0.0" w:type="dxa"/>
              <w:right w:w="100.0" w:type="dxa"/>
            </w:tcMar>
            <w:tcBorders>
              <w:top w:val="nil" w:sz="0" w:color="000000" w:space="0"/>
              <w:bottom w:val="single" w:sz="5" w:color="000000" w:space="0"/>
              <w:left w:val="nil" w:sz="0" w:color="000000" w:space="0"/>
              <w:right w:val="single" w:sz="5" w:color="000000" w:space="0"/>
            </w:tcBorders>
          </w:tcPr>
          <w:p w:rsidR="00000000" w:rsidDel="00000000" w:rsidRDefault="00000000" w14:paraId="00000033" w:rsidP="00000000" w:rsidRPr="00000000">
            <w:pPr>
              <w:spacing w:before="240" w:after="160" w:line="256" w:lineRule="auto"/>
            </w:pPr>
            <w:r w:rsidR="00000000" w:rsidDel="00000000" w:rsidRPr="00000000">
              <w:rPr>
                <w:rtl w:val="0"/>
              </w:rPr>
              <w:t>Attend workshops, courses, and certifications to help to keep up with medical evolution and the best practices (Ganisia and A’zdom, 2025).</w:t>
            </w:r>
          </w:p>
        </w:tc>
        <w:tc>
          <w:tcPr>
            <w:tcMar>
              <w:top w:w="0.0" w:type="dxa"/>
              <w:left w:w="100.0" w:type="dxa"/>
              <w:bottom w:w="0.0" w:type="dxa"/>
              <w:right w:w="100.0" w:type="dxa"/>
            </w:tcMar>
            <w:tcBorders>
              <w:top w:val="nil" w:sz="0" w:color="000000" w:space="0"/>
              <w:bottom w:val="single" w:sz="5" w:color="000000" w:space="0"/>
              <w:left w:val="nil" w:sz="0" w:color="000000" w:space="0"/>
              <w:right w:val="single" w:sz="5" w:color="000000" w:space="0"/>
            </w:tcBorders>
          </w:tcPr>
          <w:p w:rsidR="00000000" w:rsidDel="00000000" w:rsidRDefault="00000000" w14:paraId="00000034" w:rsidP="00000000" w:rsidRPr="00000000">
            <w:pPr>
              <w:spacing w:before="240" w:after="160" w:line="256" w:lineRule="auto"/>
            </w:pPr>
            <w:r w:rsidR="00000000" w:rsidDel="00000000" w:rsidRPr="00000000">
              <w:rPr>
                <w:rtl w:val="0"/>
              </w:rPr>
              <w:t>Enhances patient care and recent skills and abilities.</w:t>
            </w:r>
          </w:p>
        </w:tc>
      </w:tr>
      <w:tr>
        <w:trPr>
          <w:cantSplit w:val="0"/>
          <w:tblHeader w:val="0"/>
          <w:trHeight w:val="945" w:hRule="atLeast"/>
        </w:trPr>
        <w:tc>
          <w:tcPr>
            <w:tcMar>
              <w:top w:w="0.0" w:type="dxa"/>
              <w:left w:w="100.0" w:type="dxa"/>
              <w:bottom w:w="0.0" w:type="dxa"/>
              <w:right w:w="100.0" w:type="dxa"/>
            </w:tcMar>
            <w:tcBorders>
              <w:top w:val="nil" w:sz="0" w:color="000000" w:space="0"/>
              <w:bottom w:val="single" w:sz="5" w:color="000000" w:space="0"/>
              <w:left w:val="single" w:sz="5" w:color="000000" w:space="0"/>
              <w:right w:val="single" w:sz="5" w:color="000000" w:space="0"/>
            </w:tcBorders>
          </w:tcPr>
          <w:p w:rsidR="00000000" w:rsidDel="00000000" w:rsidRDefault="00000000" w14:paraId="00000035" w:rsidP="00000000" w:rsidRPr="00000000">
            <w:pPr>
              <w:spacing w:before="240" w:after="160" w:line="256" w:lineRule="auto"/>
              <w:rPr>
                <w:bCs w:val="1"/>
                <w:b/>
              </w:rPr>
            </w:pPr>
            <w:r w:rsidR="00000000" w:rsidDel="00000000" w:rsidRPr="00000000">
              <w:rPr>
                <w:bCs w:val="1"/>
                <w:rtl w:val="0"/>
                <w:b/>
              </w:rPr>
              <w:t>Simulation-Based Learning</w:t>
            </w:r>
          </w:p>
        </w:tc>
        <w:tc>
          <w:tcPr>
            <w:tcMar>
              <w:top w:w="0.0" w:type="dxa"/>
              <w:left w:w="100.0" w:type="dxa"/>
              <w:bottom w:w="0.0" w:type="dxa"/>
              <w:right w:w="100.0" w:type="dxa"/>
            </w:tcMar>
            <w:tcBorders>
              <w:top w:val="nil" w:sz="0" w:color="000000" w:space="0"/>
              <w:bottom w:val="single" w:sz="5" w:color="000000" w:space="0"/>
              <w:left w:val="nil" w:sz="0" w:color="000000" w:space="0"/>
              <w:right w:val="single" w:sz="5" w:color="000000" w:space="0"/>
            </w:tcBorders>
          </w:tcPr>
          <w:p w:rsidR="00000000" w:rsidDel="00000000" w:rsidRDefault="00000000" w14:paraId="00000036" w:rsidP="00000000" w:rsidRPr="00000000">
            <w:pPr>
              <w:spacing w:before="240" w:after="160" w:line="256" w:lineRule="auto"/>
            </w:pPr>
            <w:r w:rsidR="00000000" w:rsidDel="00000000" w:rsidRPr="00000000">
              <w:rPr>
                <w:rtl w:val="0"/>
              </w:rPr>
              <w:t>games in real-life scenarios by using simulation machines and manikins (Elendu et al., 2024).</w:t>
            </w:r>
          </w:p>
        </w:tc>
        <w:tc>
          <w:tcPr>
            <w:tcMar>
              <w:top w:w="0.0" w:type="dxa"/>
              <w:left w:w="100.0" w:type="dxa"/>
              <w:bottom w:w="0.0" w:type="dxa"/>
              <w:right w:w="100.0" w:type="dxa"/>
            </w:tcMar>
            <w:tcBorders>
              <w:top w:val="nil" w:sz="0" w:color="000000" w:space="0"/>
              <w:bottom w:val="single" w:sz="5" w:color="000000" w:space="0"/>
              <w:left w:val="nil" w:sz="0" w:color="000000" w:space="0"/>
              <w:right w:val="single" w:sz="5" w:color="000000" w:space="0"/>
            </w:tcBorders>
          </w:tcPr>
          <w:p w:rsidR="00000000" w:rsidDel="00000000" w:rsidRDefault="00000000" w14:paraId="00000037" w:rsidP="00000000" w:rsidRPr="00000000">
            <w:pPr>
              <w:spacing w:before="240" w:after="160" w:line="256" w:lineRule="auto"/>
            </w:pPr>
            <w:r w:rsidR="00000000" w:rsidDel="00000000" w:rsidRPr="00000000">
              <w:rPr>
                <w:rtl w:val="0"/>
              </w:rPr>
              <w:t>Builds trust, makes decisions, and gets ready to emergencies.</w:t>
            </w:r>
          </w:p>
        </w:tc>
      </w:tr>
      <w:tr>
        <w:trPr>
          <w:cantSplit w:val="0"/>
          <w:tblHeader w:val="0"/>
          <w:trHeight w:val="945" w:hRule="atLeast"/>
        </w:trPr>
        <w:tc>
          <w:tcPr>
            <w:tcMar>
              <w:top w:w="0.0" w:type="dxa"/>
              <w:left w:w="100.0" w:type="dxa"/>
              <w:bottom w:w="0.0" w:type="dxa"/>
              <w:right w:w="100.0" w:type="dxa"/>
            </w:tcMar>
            <w:tcBorders>
              <w:top w:val="nil" w:sz="0" w:color="000000" w:space="0"/>
              <w:bottom w:val="single" w:sz="5" w:color="000000" w:space="0"/>
              <w:left w:val="single" w:sz="5" w:color="000000" w:space="0"/>
              <w:right w:val="single" w:sz="5" w:color="000000" w:space="0"/>
            </w:tcBorders>
          </w:tcPr>
          <w:p w:rsidR="00000000" w:rsidDel="00000000" w:rsidRDefault="00000000" w14:paraId="00000038" w:rsidP="00000000" w:rsidRPr="00000000">
            <w:pPr>
              <w:spacing w:before="240" w:after="160" w:line="256" w:lineRule="auto"/>
              <w:rPr>
                <w:bCs w:val="1"/>
                <w:b/>
              </w:rPr>
            </w:pPr>
            <w:r w:rsidR="00000000" w:rsidDel="00000000" w:rsidRPr="00000000">
              <w:rPr>
                <w:bCs w:val="1"/>
                <w:rtl w:val="0"/>
                <w:b/>
              </w:rPr>
              <w:t>Mentorship and Peer Learning</w:t>
            </w:r>
          </w:p>
        </w:tc>
        <w:tc>
          <w:tcPr>
            <w:tcMar>
              <w:top w:w="0.0" w:type="dxa"/>
              <w:left w:w="100.0" w:type="dxa"/>
              <w:bottom w:w="0.0" w:type="dxa"/>
              <w:right w:w="100.0" w:type="dxa"/>
            </w:tcMar>
            <w:tcBorders>
              <w:top w:val="nil" w:sz="0" w:color="000000" w:space="0"/>
              <w:bottom w:val="single" w:sz="5" w:color="000000" w:space="0"/>
              <w:left w:val="nil" w:sz="0" w:color="000000" w:space="0"/>
              <w:right w:val="single" w:sz="5" w:color="000000" w:space="0"/>
            </w:tcBorders>
          </w:tcPr>
          <w:p w:rsidR="00000000" w:rsidDel="00000000" w:rsidRDefault="00000000" w14:paraId="00000039" w:rsidP="00000000" w:rsidRPr="00000000">
            <w:pPr>
              <w:spacing w:before="240" w:after="160" w:line="256" w:lineRule="auto"/>
            </w:pPr>
            <w:r w:rsidR="00000000" w:rsidDel="00000000" w:rsidRPr="00000000">
              <w:rPr>
                <w:rtl w:val="0"/>
              </w:rPr>
              <w:t>The worker would gain through being a mentee and peer discussion.</w:t>
            </w:r>
          </w:p>
        </w:tc>
        <w:tc>
          <w:tcPr>
            <w:tcMar>
              <w:top w:w="0.0" w:type="dxa"/>
              <w:left w:w="100.0" w:type="dxa"/>
              <w:bottom w:w="0.0" w:type="dxa"/>
              <w:right w:w="100.0" w:type="dxa"/>
            </w:tcMar>
            <w:tcBorders>
              <w:top w:val="nil" w:sz="0" w:color="000000" w:space="0"/>
              <w:bottom w:val="single" w:sz="5" w:color="000000" w:space="0"/>
              <w:left w:val="nil" w:sz="0" w:color="000000" w:space="0"/>
              <w:right w:val="single" w:sz="5" w:color="000000" w:space="0"/>
            </w:tcBorders>
          </w:tcPr>
          <w:p w:rsidR="00000000" w:rsidDel="00000000" w:rsidRDefault="00000000" w14:paraId="0000003A" w:rsidP="00000000" w:rsidRPr="00000000">
            <w:pPr>
              <w:spacing w:before="240" w:after="160" w:line="256" w:lineRule="auto"/>
            </w:pPr>
            <w:r w:rsidR="00000000" w:rsidDel="00000000" w:rsidRPr="00000000">
              <w:rPr>
                <w:rtl w:val="0"/>
              </w:rPr>
              <w:t>Provides immediate feedback and works in groups and teams and also aids in personal growth (Olsen-Bremmeng and Ljungblad, 2025).</w:t>
            </w:r>
          </w:p>
        </w:tc>
      </w:tr>
    </w:tbl>
    <w:p w:rsidR="00000000" w:rsidDel="00000000" w:rsidRDefault="00000000" w14:paraId="0000003B" w:rsidP="00000000" w:rsidRPr="00000000">
      <w:pPr/>
      <w:r w:rsidR="00000000" w:rsidDel="00000000" w:rsidRPr="00000000">
        <w:rPr>
          <w:rtl w:val="0"/>
        </w:rPr>
      </w:r>
    </w:p>
    <w:p w:rsidR="00000000" w:rsidDel="00000000" w:rsidRDefault="00000000" w14:paraId="0000003C" w:rsidP="00000000" w:rsidRPr="00000000">
      <w:pPr/>
      <w:r w:rsidR="00000000" w:rsidDel="00000000" w:rsidRPr="00000000">
        <w:rPr>
          <w:rtl w:val="0"/>
        </w:rPr>
        <w:t>The simulation form of learning enables the midwives to engage with real life conditions in controlled environment, without being exposed to the danger of causing any harm to the patient. Some of the tools that the midwives may use in training professionals on how to handle emergency births, complex births, and the care of the newborns are also virtual reality, simulations, and manikins (WHO, 2025). The procedure develops faith and creates judgment skills. Correspondingly, simulation will give the midwives a chance to collaborate with other medical professionals in the multidisciplinary systems of care, and it is a vital mechanism of providing an effective team-based care model (Kwame and Petrucka, 2021). The most appropriate method of developing and constructing skills is mentorship by senior midwives or any other medical practitioners. Mentoring will also provide junior midwives with experienced tutors who will assist the learners acquire practical things involved in their practice know how to handle the challenging situations and get answers about the performance (Skubic et al., 2025). As well, this allows the sharing of the best practices and the encouragement of collaboration because the midwifery teams must learn together, which facilitates the working environment. Midwives can learn new techniques as well as be able to improve their clinical and personal skills through conversations, case and team based care. These strategies will place the midwives in a position of sustaining their competencies to meet the dynamic nature of the healthcare environment and offer quality care to the women and babies.</w:t>
      </w:r>
    </w:p>
    <w:p w:rsidR="00000000" w:rsidDel="00000000" w:rsidRDefault="00000000" w14:paraId="0000003D" w:rsidP="00000000" w:rsidRPr="00000000">
      <w:pPr/>
      <w:r>
        <w:br w:type="page"/>
      </w:r>
      <w:r w:rsidR="00000000" w:rsidDel="00000000" w:rsidRPr="00000000">
        <w:rPr>
          <w:rtl w:val="0"/>
        </w:rPr>
      </w:r>
    </w:p>
    <w:p w:rsidR="00000000" w:rsidDel="00000000" w:rsidRDefault="00000000" w14:paraId="0000003E" w:rsidP="00000000" w:rsidRPr="00000000">
      <w:pPr>
        <w:pStyle w:val="Heading1"/>
      </w:pPr>
      <w:bookmarkStart w:colFirst="0" w:colLast="0" w:name="_qdzuc7i558zo" w:id="5"/>
      <w:bookmarkEnd w:id="5"/>
      <w:r w:rsidR="00000000" w:rsidDel="00000000" w:rsidRPr="00000000">
        <w:rPr>
          <w:rtl w:val="0"/>
        </w:rPr>
        <w:t>4.0 Conclusion</w:t>
      </w:r>
    </w:p>
    <w:p w:rsidR="00000000" w:rsidDel="00000000" w:rsidRDefault="00000000" w14:paraId="0000003F" w:rsidP="00000000" w:rsidRPr="00000000">
      <w:pPr/>
      <w:r w:rsidR="00000000" w:rsidDel="00000000" w:rsidRPr="00000000">
        <w:rPr>
          <w:rtl w:val="0"/>
        </w:rPr>
        <w:t>Midwifery is an occupation that is needed since it is essential within the health of babies and their mothers. Clinical assessment, communication, emotional intelligence among others are the skills that a midwife should be able to apply to provide high quality patient-centered care. It may include continuous learning, learning by simulation, and mentoring in order to learn additional skills. The fact that the emphasis on these strategies is established will allow midwives to improve their competencies, make sure that they maintain pace with the latest success in the medical field, and help the health of both mother and child to become even more successful. A care approach of transferring healthy and safe care to pregnant women and families entails midwifery.</w:t>
      </w:r>
      <w:r>
        <w:br w:type="page"/>
      </w:r>
      <w:r w:rsidR="00000000" w:rsidDel="00000000" w:rsidRPr="00000000">
        <w:rPr>
          <w:rtl w:val="0"/>
        </w:rPr>
      </w:r>
    </w:p>
    <w:p w:rsidR="00000000" w:rsidDel="00000000" w:rsidRDefault="00000000" w14:paraId="00000040" w:rsidP="00000000" w:rsidRPr="00000000">
      <w:pPr>
        <w:pStyle w:val="Heading1"/>
      </w:pPr>
      <w:bookmarkStart w:colFirst="0" w:colLast="0" w:name="_55j620peyvsd" w:id="6"/>
      <w:bookmarkEnd w:id="6"/>
      <w:r w:rsidR="00000000" w:rsidDel="00000000" w:rsidRPr="00000000">
        <w:rPr>
          <w:rtl w:val="0"/>
        </w:rPr>
        <w:t>5.0 References</w:t>
      </w:r>
    </w:p>
    <w:p w:rsidR="00000000" w:rsidDel="00000000" w:rsidRDefault="00000000" w14:paraId="00000041" w:rsidP="00000000" w:rsidRPr="00000000">
      <w:pPr/>
      <w:r w:rsidR="00000000" w:rsidDel="00000000" w:rsidRPr="00000000">
        <w:rPr>
          <w:rtl w:val="0"/>
        </w:rPr>
        <w:t xml:space="preserve">Abbott, P. and Wallace, C. (2020). Health Visiting, Social Work, Nursing and Midwifery: a History. </w:t>
      </w:r>
      <w:r w:rsidR="00000000" w:rsidDel="00000000" w:rsidRPr="00000000">
        <w:rPr>
          <w:iCs w:val="1"/>
          <w:rtl w:val="0"/>
          <w:i/>
        </w:rPr>
        <w:t>The Sociology of the Caring Professions</w:t>
      </w:r>
      <w:r w:rsidR="00000000" w:rsidDel="00000000" w:rsidRPr="00000000">
        <w:rPr>
          <w:rtl w:val="0"/>
        </w:rPr>
        <w:t>, pp.20–53. doi:https://doi.org/10.4324/9781003070955-2.</w:t>
      </w:r>
    </w:p>
    <w:p w:rsidR="00000000" w:rsidDel="00000000" w:rsidRDefault="00000000" w14:paraId="00000042" w:rsidP="00000000" w:rsidRPr="00000000">
      <w:pPr/>
      <w:r w:rsidR="00000000" w:rsidDel="00000000" w:rsidRPr="00000000">
        <w:rPr>
          <w:rtl w:val="0"/>
        </w:rPr>
        <w:t xml:space="preserve">Butler, M.M., Fullerton, J.T. and Aman, C. (2018). Competence for basic midwifery practice: Updating the ICM essential competencies. </w:t>
      </w:r>
      <w:r w:rsidR="00000000" w:rsidDel="00000000" w:rsidRPr="00000000">
        <w:rPr>
          <w:iCs w:val="1"/>
          <w:rtl w:val="0"/>
          <w:i/>
        </w:rPr>
        <w:t>Midwifery</w:t>
      </w:r>
      <w:r w:rsidR="00000000" w:rsidDel="00000000" w:rsidRPr="00000000">
        <w:rPr>
          <w:rtl w:val="0"/>
        </w:rPr>
        <w:t>, 66, pp.168–175. doi:https://doi.org/10.1016/j.midw.2018.08.011.</w:t>
      </w:r>
    </w:p>
    <w:p w:rsidR="00000000" w:rsidDel="00000000" w:rsidRDefault="00000000" w14:paraId="00000043" w:rsidP="00000000" w:rsidRPr="00000000">
      <w:pPr/>
      <w:r w:rsidR="00000000" w:rsidDel="00000000" w:rsidRPr="00000000">
        <w:rPr>
          <w:rtl w:val="0"/>
        </w:rPr>
        <w:t xml:space="preserve">Crisp, N., Brownie, S. and Refsum, C. (2018). Nursing &amp; Midwifery: The key to the rapid and cost effective expansion of high quality universal healthcare. </w:t>
      </w:r>
      <w:r w:rsidR="00000000" w:rsidDel="00000000" w:rsidRPr="00000000">
        <w:rPr>
          <w:iCs w:val="1"/>
          <w:rtl w:val="0"/>
          <w:i/>
        </w:rPr>
        <w:t>Doha, Qatar, World Innovation Summit for Health</w:t>
      </w:r>
      <w:r w:rsidR="00000000" w:rsidDel="00000000" w:rsidRPr="00000000">
        <w:rPr>
          <w:rtl w:val="0"/>
        </w:rPr>
        <w:t>, [online] pp.1–39. Available at: https://ecommons.aku.edu/eastafrica_fhs_sonam/232/.</w:t>
      </w:r>
    </w:p>
    <w:p w:rsidR="00000000" w:rsidDel="00000000" w:rsidRDefault="00000000" w14:paraId="00000044" w:rsidP="00000000" w:rsidRPr="00000000">
      <w:pPr/>
      <w:r w:rsidR="00000000" w:rsidDel="00000000" w:rsidRPr="00000000">
        <w:rPr>
          <w:rtl w:val="0"/>
        </w:rPr>
        <w:t xml:space="preserve">Elendu, C., Amaechi, D.C., Okatta, A.U., Amaechi, E.C., Elendu, T.C., Ezeh, C.P. and Elendu, I.D. (2024). The impact of simulation-based training in medical education: a review. </w:t>
      </w:r>
      <w:r w:rsidR="00000000" w:rsidDel="00000000" w:rsidRPr="00000000">
        <w:rPr>
          <w:iCs w:val="1"/>
          <w:rtl w:val="0"/>
          <w:i/>
        </w:rPr>
        <w:t>Medicine</w:t>
      </w:r>
      <w:r w:rsidR="00000000" w:rsidDel="00000000" w:rsidRPr="00000000">
        <w:rPr>
          <w:rtl w:val="0"/>
        </w:rPr>
        <w:t>, [online] 103(27), pp.1–14. doi:https://doi.org/10.1097/MD.0000000000038813.</w:t>
      </w:r>
    </w:p>
    <w:p w:rsidR="00000000" w:rsidDel="00000000" w:rsidRDefault="00000000" w14:paraId="00000045" w:rsidP="00000000" w:rsidRPr="00000000">
      <w:pPr/>
      <w:r w:rsidR="00000000" w:rsidDel="00000000" w:rsidRPr="00000000">
        <w:rPr>
          <w:rtl w:val="0"/>
        </w:rPr>
        <w:t xml:space="preserve">Eri, T., Berg, M., Dahl, B., Gottfreðsdóttir, H., Sommerseth, E. and Prinds, C. (2020). Models for Midwifery care: a Mapping Review. </w:t>
      </w:r>
      <w:r w:rsidR="00000000" w:rsidDel="00000000" w:rsidRPr="00000000">
        <w:rPr>
          <w:iCs w:val="1"/>
          <w:rtl w:val="0"/>
          <w:i/>
        </w:rPr>
        <w:t>European Journal of Midwifery</w:t>
      </w:r>
      <w:r w:rsidR="00000000" w:rsidDel="00000000" w:rsidRPr="00000000">
        <w:rPr>
          <w:rtl w:val="0"/>
        </w:rPr>
        <w:t>, [online] 4(30). doi:https://doi.org/10.18332/ejm/124110.</w:t>
      </w:r>
    </w:p>
    <w:p w:rsidR="00000000" w:rsidDel="00000000" w:rsidRDefault="00000000" w14:paraId="00000046" w:rsidP="00000000" w:rsidRPr="00000000">
      <w:pPr/>
      <w:r w:rsidR="00000000" w:rsidDel="00000000" w:rsidRPr="00000000">
        <w:rPr>
          <w:rtl w:val="0"/>
        </w:rPr>
        <w:t xml:space="preserve">Ford, S. (2020). </w:t>
      </w:r>
      <w:r w:rsidR="00000000" w:rsidDel="00000000" w:rsidRPr="00000000">
        <w:rPr>
          <w:iCs w:val="1"/>
          <w:rtl w:val="0"/>
          <w:i/>
        </w:rPr>
        <w:t>Caseload midwifery is ‘safe and cost effective’ | Nursing Times</w:t>
      </w:r>
      <w:r w:rsidR="00000000" w:rsidDel="00000000" w:rsidRPr="00000000">
        <w:rPr>
          <w:rtl w:val="0"/>
        </w:rPr>
        <w:t>. [online] Nursing Times. Available at: https://www.nursingtimes.net/midwifery-and-neonatal/caseload-midwifery-is-safe-and-cost-effective-17-09-2013/ [Accessed 16 Dec. 2025].</w:t>
      </w:r>
    </w:p>
    <w:p w:rsidR="00000000" w:rsidDel="00000000" w:rsidRDefault="00000000" w14:paraId="00000047" w:rsidP="00000000" w:rsidRPr="00000000">
      <w:pPr/>
      <w:r w:rsidR="00000000" w:rsidDel="00000000" w:rsidRPr="00000000">
        <w:rPr>
          <w:rtl w:val="0"/>
        </w:rPr>
        <w:t xml:space="preserve">Franjić, S. (2019). Midwifery in Health Care System. </w:t>
      </w:r>
      <w:r w:rsidR="00000000" w:rsidDel="00000000" w:rsidRPr="00000000">
        <w:rPr>
          <w:iCs w:val="1"/>
          <w:rtl w:val="0"/>
          <w:i/>
        </w:rPr>
        <w:t>Journal of Gynecological Research and Obstetrics</w:t>
      </w:r>
      <w:r w:rsidR="00000000" w:rsidDel="00000000" w:rsidRPr="00000000">
        <w:rPr>
          <w:rtl w:val="0"/>
        </w:rPr>
        <w:t>, [online] 5(1), pp.005–008. doi:https://doi.org/10.17352/jgro.000061.</w:t>
      </w:r>
    </w:p>
    <w:p w:rsidR="00000000" w:rsidDel="00000000" w:rsidRDefault="00000000" w14:paraId="00000048" w:rsidP="00000000" w:rsidRPr="00000000">
      <w:pPr/>
      <w:r w:rsidR="00000000" w:rsidDel="00000000" w:rsidRPr="00000000">
        <w:rPr>
          <w:rtl w:val="0"/>
        </w:rPr>
        <w:t xml:space="preserve">Ganisia, A. and A’zdom, M.K. (2025). Effective Communication in Midwifery Practice Strengthening Patient Trust and Maternal Health Outcomes. </w:t>
      </w:r>
      <w:r w:rsidR="00000000" w:rsidDel="00000000" w:rsidRPr="00000000">
        <w:rPr>
          <w:iCs w:val="1"/>
          <w:rtl w:val="0"/>
          <w:i/>
        </w:rPr>
        <w:t>Journal of Nutrition and Health Care</w:t>
      </w:r>
      <w:r w:rsidR="00000000" w:rsidDel="00000000" w:rsidRPr="00000000">
        <w:rPr>
          <w:rtl w:val="0"/>
        </w:rPr>
        <w:t>, [online] pp.65–73. doi:https://doi.org/10.62012/junic.vi.33.</w:t>
      </w:r>
    </w:p>
    <w:p w:rsidR="00000000" w:rsidDel="00000000" w:rsidRDefault="00000000" w14:paraId="00000049" w:rsidP="00000000" w:rsidRPr="00000000">
      <w:pPr/>
      <w:r w:rsidR="00000000" w:rsidDel="00000000" w:rsidRPr="00000000">
        <w:rPr>
          <w:rtl w:val="0"/>
        </w:rPr>
        <w:t xml:space="preserve">Kwame, A. and Petrucka, P. (2021). A literature-based study of patient-centered care and communication in nurse-patient interactions: Barriers, facilitators, and the way forward. </w:t>
      </w:r>
      <w:r w:rsidR="00000000" w:rsidDel="00000000" w:rsidRPr="00000000">
        <w:rPr>
          <w:iCs w:val="1"/>
          <w:rtl w:val="0"/>
          <w:i/>
        </w:rPr>
        <w:t>BMC Nursing</w:t>
      </w:r>
      <w:r w:rsidR="00000000" w:rsidDel="00000000" w:rsidRPr="00000000">
        <w:rPr>
          <w:rtl w:val="0"/>
        </w:rPr>
        <w:t>, [online] 20(158), pp.1–10. doi:https://doi.org/10.1186/s12912-021-00684-2.</w:t>
      </w:r>
    </w:p>
    <w:p w:rsidR="00000000" w:rsidDel="00000000" w:rsidRDefault="00000000" w14:paraId="0000004A" w:rsidP="00000000" w:rsidRPr="00000000">
      <w:pPr/>
      <w:r w:rsidR="00000000" w:rsidDel="00000000" w:rsidRPr="00000000">
        <w:rPr>
          <w:rtl w:val="0"/>
        </w:rPr>
        <w:t xml:space="preserve">Olsen-Bremmeng, L. and Ljungblad, L.W. (2025). Midwives’ experiences with simulation-based team training in newborn resuscitation: impacts on clinical practice. </w:t>
      </w:r>
      <w:r w:rsidR="00000000" w:rsidDel="00000000" w:rsidRPr="00000000">
        <w:rPr>
          <w:iCs w:val="1"/>
          <w:rtl w:val="0"/>
          <w:i/>
        </w:rPr>
        <w:t>BMC Nursing</w:t>
      </w:r>
      <w:r w:rsidR="00000000" w:rsidDel="00000000" w:rsidRPr="00000000">
        <w:rPr>
          <w:rtl w:val="0"/>
        </w:rPr>
        <w:t>, 24(1). doi:https://doi.org/10.1186/s12912-025-03368-3.</w:t>
      </w:r>
    </w:p>
    <w:p w:rsidR="00000000" w:rsidDel="00000000" w:rsidRDefault="00000000" w14:paraId="0000004B" w:rsidP="00000000" w:rsidRPr="00000000">
      <w:pPr/>
      <w:r w:rsidR="00000000" w:rsidDel="00000000" w:rsidRPr="00000000">
        <w:rPr>
          <w:rtl w:val="0"/>
        </w:rPr>
        <w:t xml:space="preserve">Pampers (2024). </w:t>
      </w:r>
      <w:r w:rsidR="00000000" w:rsidDel="00000000" w:rsidRPr="00000000">
        <w:rPr>
          <w:iCs w:val="1"/>
          <w:rtl w:val="0"/>
          <w:i/>
        </w:rPr>
        <w:t>Midwives Are Irreplaceable! Find Out All About Your Midwife</w:t>
      </w:r>
      <w:r w:rsidR="00000000" w:rsidDel="00000000" w:rsidRPr="00000000">
        <w:rPr>
          <w:rtl w:val="0"/>
        </w:rPr>
        <w:t>. [online] PampersUK. Available at: https://www.pampers.co.uk/pregnancy/giving-birth/article/what-do-midwives-do-their-role-training-and-more [Accessed 16 Dec. 2025].</w:t>
      </w:r>
    </w:p>
    <w:p w:rsidR="00000000" w:rsidDel="00000000" w:rsidRDefault="00000000" w14:paraId="0000004C" w:rsidP="00000000" w:rsidRPr="00000000">
      <w:pPr/>
      <w:r w:rsidR="00000000" w:rsidDel="00000000" w:rsidRPr="00000000">
        <w:rPr>
          <w:rtl w:val="0"/>
        </w:rPr>
        <w:t xml:space="preserve">Skubic, M., Stanek Zidarič, T., Jug Došler, A. and Šerjak, L. (2025). Enhancing Midwifery Students’ Knowledge and Skills in Communication, Counselling, and Therapeutic Approaches Through an Elective Pilot Course: A Mixed-Methods Study. </w:t>
      </w:r>
      <w:r w:rsidR="00000000" w:rsidDel="00000000" w:rsidRPr="00000000">
        <w:rPr>
          <w:iCs w:val="1"/>
          <w:rtl w:val="0"/>
          <w:i/>
        </w:rPr>
        <w:t>Healthcare</w:t>
      </w:r>
      <w:r w:rsidR="00000000" w:rsidDel="00000000" w:rsidRPr="00000000">
        <w:rPr>
          <w:rtl w:val="0"/>
        </w:rPr>
        <w:t>, 13(10), p.1180. doi:https://doi.org/10.3390/healthcare13101180.</w:t>
      </w:r>
    </w:p>
    <w:p w:rsidR="00000000" w:rsidDel="00000000" w:rsidRDefault="00000000" w14:paraId="0000004D" w:rsidP="00000000" w:rsidRPr="00000000">
      <w:pPr/>
      <w:r w:rsidR="00000000" w:rsidDel="00000000" w:rsidRPr="00000000">
        <w:rPr>
          <w:rtl w:val="0"/>
        </w:rPr>
        <w:t xml:space="preserve">WHO (2025). </w:t>
      </w:r>
      <w:r w:rsidR="00000000" w:rsidDel="00000000" w:rsidRPr="00000000">
        <w:rPr>
          <w:iCs w:val="1"/>
          <w:rtl w:val="0"/>
          <w:i/>
        </w:rPr>
        <w:t>Nursing and midwifery</w:t>
      </w:r>
      <w:r w:rsidR="00000000" w:rsidDel="00000000" w:rsidRPr="00000000">
        <w:rPr>
          <w:rtl w:val="0"/>
        </w:rPr>
        <w:t>. [online] Who.int. Available at: https://www.who.int/news-room/fact-sheets/detail/midwifery [Accessed 16 Dec. 2025].</w:t>
      </w:r>
    </w:p>
    <w:p w:rsidR="00000000" w:rsidDel="00000000" w:rsidRDefault="00000000" w14:paraId="0000004E" w:rsidP="00000000" w:rsidRPr="00000000">
      <w:pPr/>
      <w:r w:rsidR="00000000" w:rsidDel="00000000" w:rsidRPr="00000000">
        <w:rPr>
          <w:rtl w:val="0"/>
        </w:rPr>
      </w:r>
    </w:p>
    <w:sectPr>
      <w:pgNumType w:start="1"/>
      <w:pgSz w:w="11906" w:h="16838"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Times New Roman"/>
  <w:font w:name="Calibri"/>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http://schemas.microsoft.com/office/tasks/2019/documenttasks" xmlns:a="http://schemas.openxmlformats.org/drawingml/2006/main" xmlns:c="http://schemas.openxmlformats.org/drawingml/2006/chart" xmlns:cr="http://schemas.microsoft.com/office/comments/2020/reactions"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Bdr>
        <w:bottom w:color="000000" w:space="1" w:sz="4" w:val="single"/>
      </w:pBdr>
      <w:shd w:fill="dbeef3" w:val="clear"/>
    </w:pPr>
    <w:rPr>
      <w:b w:val="1"/>
      <w:bCs w:val="1"/>
      <w:color w:val="073763"/>
      <w:sz w:val="32"/>
      <w:szCs w:val="32"/>
    </w:rPr>
  </w:style>
  <w:style w:type="paragraph" w:styleId="Heading2">
    <w:name w:val="heading 2"/>
    <w:basedOn w:val="Normal"/>
    <w:next w:val="Normal"/>
    <w:pPr>
      <w:keepNext w:val="1"/>
      <w:keepLines w:val="1"/>
    </w:pPr>
    <w:rPr>
      <w:b w:val="1"/>
      <w:bCs w:val="1"/>
      <w:color w:val="0077b6"/>
      <w:sz w:val="28"/>
      <w:szCs w:val="28"/>
    </w:rPr>
  </w:style>
  <w:style w:type="paragraph" w:styleId="Heading3">
    <w:name w:val="heading 3"/>
    <w:basedOn w:val="Normal"/>
    <w:next w:val="Normal"/>
    <w:pPr>
      <w:keepNext w:val="1"/>
      <w:keepLines w:val="1"/>
      <w:spacing w:after="240" w:lineRule="auto"/>
    </w:pPr>
    <w:rPr>
      <w:b w:val="1"/>
      <w:bCs w:val="1"/>
      <w:color w:val="0077b6"/>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jpg"/><Relationship Id="rId8" Type="http://schemas.openxmlformats.org/officeDocument/2006/relationships/image" Target="media/image3.png"/><Relationship Id="rId9" Type="http://schemas.openxmlformats.org/officeDocument/2006/relationships/image" Target="media/image2.png"/><Relationship Id="rId10" Type="http://schemas.openxmlformats.org/officeDocument/2006/relationships/image" Target="media/image1.jpg"/><Relationship Id="rId1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