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2ACC" w:rsidRPr="00444459" w:rsidRDefault="00047E83" w:rsidP="00047E83">
      <w:pPr>
        <w:pStyle w:val="Title"/>
        <w:jc w:val="left"/>
        <w:rPr>
          <w:b/>
          <w:sz w:val="32"/>
          <w:szCs w:val="32"/>
          <w:lang w:val="en-GB"/>
        </w:rPr>
      </w:pPr>
      <w:bookmarkStart w:id="0" w:name="_k53ttxu2djm0" w:colFirst="0" w:colLast="0"/>
      <w:bookmarkEnd w:id="0"/>
      <w:r w:rsidRPr="00047E83">
        <w:rPr>
          <w:b/>
          <w:sz w:val="32"/>
          <w:szCs w:val="32"/>
          <w:lang w:val="en-GB"/>
        </w:rPr>
        <w:drawing>
          <wp:inline distT="0" distB="0" distL="0" distR="0">
            <wp:extent cx="2623078" cy="1167542"/>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3078" cy="1167542"/>
                    </a:xfrm>
                    <a:prstGeom prst="rect">
                      <a:avLst/>
                    </a:prstGeom>
                    <a:ln/>
                  </pic:spPr>
                </pic:pic>
              </a:graphicData>
            </a:graphic>
          </wp:inline>
        </w:drawing>
      </w:r>
    </w:p>
    <w:p w:rsidR="00047E83" w:rsidRDefault="00047E83" w:rsidP="00047E83">
      <w:pPr>
        <w:pStyle w:val="Title"/>
        <w:rPr>
          <w:b/>
          <w:sz w:val="32"/>
          <w:szCs w:val="32"/>
          <w:lang w:val="en-GB"/>
        </w:rPr>
      </w:pPr>
      <w:bookmarkStart w:id="1" w:name="_eluwpt5xhzek" w:colFirst="0" w:colLast="0"/>
      <w:bookmarkStart w:id="2" w:name="_10i4d7rot9jv" w:colFirst="0" w:colLast="0"/>
      <w:bookmarkStart w:id="3" w:name="_dl6dxrwg9k8h" w:colFirst="0" w:colLast="0"/>
      <w:bookmarkStart w:id="4" w:name="_whcvdgn2vn6o" w:colFirst="0" w:colLast="0"/>
      <w:bookmarkStart w:id="5" w:name="_hsw7jy10h5dh" w:colFirst="0" w:colLast="0"/>
      <w:bookmarkStart w:id="6" w:name="_cttlhl23tzbs" w:colFirst="0" w:colLast="0"/>
      <w:bookmarkStart w:id="7" w:name="_202vha9gcfs1" w:colFirst="0" w:colLast="0"/>
      <w:bookmarkStart w:id="8" w:name="_1qf6lstldquk" w:colFirst="0" w:colLast="0"/>
      <w:bookmarkStart w:id="9" w:name="_l9pja1l25t7s" w:colFirst="0" w:colLast="0"/>
      <w:bookmarkStart w:id="10" w:name="_w57mmbnlosp8" w:colFirst="0" w:colLast="0"/>
      <w:bookmarkStart w:id="11" w:name="_mnrkj5hkhwq" w:colFirst="0" w:colLast="0"/>
      <w:bookmarkStart w:id="12" w:name="_aisf32qhvzvg" w:colFirst="0" w:colLast="0"/>
      <w:bookmarkEnd w:id="1"/>
      <w:bookmarkEnd w:id="2"/>
      <w:bookmarkEnd w:id="3"/>
      <w:bookmarkEnd w:id="4"/>
      <w:bookmarkEnd w:id="5"/>
      <w:bookmarkEnd w:id="6"/>
      <w:bookmarkEnd w:id="7"/>
      <w:bookmarkEnd w:id="8"/>
      <w:bookmarkEnd w:id="9"/>
      <w:bookmarkEnd w:id="10"/>
      <w:bookmarkEnd w:id="11"/>
      <w:bookmarkEnd w:id="12"/>
    </w:p>
    <w:p w:rsidR="00047E83" w:rsidRDefault="00047E83" w:rsidP="00047E83">
      <w:pPr>
        <w:pStyle w:val="Title"/>
        <w:rPr>
          <w:b/>
          <w:sz w:val="32"/>
          <w:szCs w:val="32"/>
          <w:lang w:val="en-GB"/>
        </w:rPr>
      </w:pPr>
    </w:p>
    <w:p w:rsidR="00047E83" w:rsidRDefault="002A2FDB" w:rsidP="00047E83">
      <w:pPr>
        <w:pStyle w:val="Title"/>
        <w:jc w:val="center"/>
        <w:rPr>
          <w:b/>
          <w:sz w:val="32"/>
          <w:szCs w:val="32"/>
          <w:lang w:val="en-GB"/>
        </w:rPr>
      </w:pPr>
      <w:r w:rsidRPr="00444459">
        <w:rPr>
          <w:b/>
          <w:sz w:val="32"/>
          <w:szCs w:val="32"/>
          <w:lang w:val="en-GB"/>
        </w:rPr>
        <w:t>FINANCIAL MANAGEMENT</w:t>
      </w:r>
    </w:p>
    <w:p w:rsidR="00047E83" w:rsidRDefault="00047E83" w:rsidP="00047E83">
      <w:pPr>
        <w:pStyle w:val="Title"/>
        <w:jc w:val="center"/>
        <w:rPr>
          <w:b/>
          <w:sz w:val="32"/>
          <w:szCs w:val="32"/>
          <w:lang w:val="en-GB"/>
        </w:rPr>
      </w:pPr>
    </w:p>
    <w:p w:rsidR="00047E83" w:rsidRDefault="00047E83" w:rsidP="00047E83">
      <w:pPr>
        <w:pStyle w:val="Title"/>
        <w:jc w:val="center"/>
        <w:rPr>
          <w:b/>
          <w:sz w:val="32"/>
          <w:szCs w:val="32"/>
          <w:lang w:val="en-GB"/>
        </w:rPr>
      </w:pPr>
    </w:p>
    <w:p w:rsidR="00047E83" w:rsidRDefault="00047E83" w:rsidP="00047E83">
      <w:pPr>
        <w:rPr>
          <w:sz w:val="28"/>
          <w:szCs w:val="28"/>
        </w:rPr>
      </w:pPr>
      <w:r>
        <w:rPr>
          <w:sz w:val="28"/>
          <w:szCs w:val="28"/>
        </w:rPr>
        <w:t>Student Name: Soham Bhaveshbhai Kachhadiya</w:t>
      </w:r>
    </w:p>
    <w:p w:rsidR="00047E83" w:rsidRDefault="00047E83" w:rsidP="00047E83">
      <w:pPr>
        <w:rPr>
          <w:sz w:val="28"/>
          <w:szCs w:val="28"/>
        </w:rPr>
      </w:pPr>
      <w:r>
        <w:rPr>
          <w:sz w:val="28"/>
          <w:szCs w:val="28"/>
        </w:rPr>
        <w:t>Student ID: 2328821</w:t>
      </w:r>
    </w:p>
    <w:p w:rsidR="00047E83" w:rsidRDefault="00047E83" w:rsidP="00047E83">
      <w:pPr>
        <w:rPr>
          <w:sz w:val="28"/>
          <w:szCs w:val="28"/>
        </w:rPr>
      </w:pPr>
      <w:r>
        <w:rPr>
          <w:sz w:val="28"/>
          <w:szCs w:val="28"/>
        </w:rPr>
        <w:t>Module Code: LCMB7002</w:t>
      </w:r>
    </w:p>
    <w:p w:rsidR="00047E83" w:rsidRDefault="00047E83" w:rsidP="00047E83">
      <w:pPr>
        <w:rPr>
          <w:sz w:val="28"/>
          <w:szCs w:val="28"/>
        </w:rPr>
      </w:pPr>
      <w:r>
        <w:rPr>
          <w:sz w:val="28"/>
          <w:szCs w:val="28"/>
        </w:rPr>
        <w:t>Module: Financial Management</w:t>
      </w:r>
    </w:p>
    <w:p w:rsidR="00CE2ACC" w:rsidRPr="00444459" w:rsidRDefault="00047E83" w:rsidP="00047E83">
      <w:pPr>
        <w:pStyle w:val="Title"/>
        <w:rPr>
          <w:lang w:val="en-GB"/>
        </w:rPr>
      </w:pPr>
      <w:r>
        <w:rPr>
          <w:sz w:val="28"/>
          <w:szCs w:val="28"/>
        </w:rPr>
        <w:t>Lecturer: MD Kalam</w:t>
      </w:r>
      <w:r w:rsidRPr="00444459">
        <w:rPr>
          <w:lang w:val="en-GB"/>
        </w:rPr>
        <w:t xml:space="preserve"> </w:t>
      </w:r>
      <w:r w:rsidR="002A2FDB" w:rsidRPr="00444459">
        <w:rPr>
          <w:lang w:val="en-GB"/>
        </w:rPr>
        <w:br w:type="page"/>
      </w:r>
    </w:p>
    <w:p w:rsidR="00CE2ACC" w:rsidRPr="00E85355" w:rsidRDefault="002A2FDB" w:rsidP="00E85355">
      <w:pPr>
        <w:jc w:val="center"/>
        <w:rPr>
          <w:b/>
          <w:bCs/>
          <w:lang w:val="en-GB"/>
        </w:rPr>
      </w:pPr>
      <w:bookmarkStart w:id="13" w:name="_2knu8eskxwq7" w:colFirst="0" w:colLast="0"/>
      <w:bookmarkEnd w:id="13"/>
      <w:r w:rsidRPr="00E85355">
        <w:rPr>
          <w:b/>
          <w:bCs/>
          <w:sz w:val="28"/>
          <w:szCs w:val="28"/>
          <w:lang w:val="en-GB"/>
        </w:rPr>
        <w:lastRenderedPageBreak/>
        <w:t>Executive Summary</w:t>
      </w:r>
    </w:p>
    <w:p w:rsidR="00444459" w:rsidRPr="00444459" w:rsidRDefault="002A2FDB" w:rsidP="00444459">
      <w:pPr>
        <w:pStyle w:val="Normal1"/>
        <w:rPr>
          <w:lang w:val="en-GB"/>
        </w:rPr>
      </w:pPr>
      <w:r w:rsidRPr="00444459">
        <w:rPr>
          <w:lang w:val="en-GB"/>
        </w:rPr>
        <w:t xml:space="preserve">The financial evaluation helps an organisation to formulate the key strengths and weaknesses that are outstanding within their business. Based on this, the financial comparison of </w:t>
      </w:r>
      <w:r w:rsidR="00444459" w:rsidRPr="00444459">
        <w:rPr>
          <w:lang w:val="en-GB"/>
        </w:rPr>
        <w:t>Sainsbury</w:t>
      </w:r>
      <w:r w:rsidRPr="00444459">
        <w:rPr>
          <w:lang w:val="en-GB"/>
        </w:rPr>
        <w:t xml:space="preserve"> and Morison over the past five financial years. In the comparison,</w:t>
      </w:r>
      <w:r w:rsidRPr="00444459">
        <w:rPr>
          <w:lang w:val="en-GB"/>
        </w:rPr>
        <w:t xml:space="preserve"> it has been observed that the profitability of Sainsbury has decreased. Based on the financial comparison, certain recommendations have been made that can further diversify the organisational structure of the company as a whole. Following this, in the ver</w:t>
      </w:r>
      <w:r w:rsidRPr="00444459">
        <w:rPr>
          <w:lang w:val="en-GB"/>
        </w:rPr>
        <w:t xml:space="preserve">y next segment, the relevance of two of the investments has been reflected along with the advantages and shortcomings of the same. </w:t>
      </w:r>
    </w:p>
    <w:p w:rsidR="00444459" w:rsidRPr="00444459" w:rsidRDefault="00444459" w:rsidP="00444459">
      <w:pPr>
        <w:rPr>
          <w:lang w:val="en-GB"/>
        </w:rPr>
      </w:pPr>
      <w:r w:rsidRPr="00444459">
        <w:rPr>
          <w:lang w:val="en-GB"/>
        </w:rPr>
        <w:br w:type="page"/>
      </w:r>
    </w:p>
    <w:sdt>
      <w:sdtPr>
        <w:rPr>
          <w:rFonts w:ascii="Times New Roman" w:eastAsia="Times New Roman" w:hAnsi="Times New Roman" w:cs="Times New Roman"/>
          <w:color w:val="auto"/>
          <w:sz w:val="24"/>
          <w:szCs w:val="24"/>
          <w:lang w:val="en-GB"/>
        </w:rPr>
        <w:id w:val="-1529177393"/>
        <w:docPartObj>
          <w:docPartGallery w:val="Table of Contents"/>
          <w:docPartUnique/>
        </w:docPartObj>
      </w:sdtPr>
      <w:sdtEndPr>
        <w:rPr>
          <w:b/>
          <w:bCs/>
          <w:noProof/>
        </w:rPr>
      </w:sdtEndPr>
      <w:sdtContent>
        <w:p w:rsidR="00444459" w:rsidRPr="00444459" w:rsidRDefault="00444459" w:rsidP="00444459">
          <w:pPr>
            <w:pStyle w:val="TOCHeading"/>
            <w:spacing w:line="360" w:lineRule="auto"/>
            <w:jc w:val="center"/>
            <w:rPr>
              <w:rFonts w:ascii="Times New Roman" w:hAnsi="Times New Roman" w:cs="Times New Roman"/>
              <w:b/>
              <w:bCs/>
              <w:color w:val="auto"/>
              <w:sz w:val="24"/>
              <w:szCs w:val="24"/>
              <w:lang w:val="en-GB"/>
            </w:rPr>
          </w:pPr>
          <w:r w:rsidRPr="00444459">
            <w:rPr>
              <w:rFonts w:ascii="Times New Roman" w:hAnsi="Times New Roman" w:cs="Times New Roman"/>
              <w:b/>
              <w:bCs/>
              <w:color w:val="auto"/>
              <w:sz w:val="24"/>
              <w:szCs w:val="24"/>
              <w:lang w:val="en-GB"/>
            </w:rPr>
            <w:t>Table of Contents</w:t>
          </w:r>
        </w:p>
        <w:p w:rsidR="00A924DF" w:rsidRDefault="007A788D">
          <w:pPr>
            <w:pStyle w:val="TOC1"/>
            <w:tabs>
              <w:tab w:val="right" w:leader="dot" w:pos="9350"/>
            </w:tabs>
            <w:rPr>
              <w:rFonts w:asciiTheme="minorHAnsi" w:eastAsiaTheme="minorEastAsia" w:hAnsiTheme="minorHAnsi" w:cstheme="minorBidi"/>
              <w:noProof/>
              <w:kern w:val="2"/>
              <w:sz w:val="22"/>
              <w:szCs w:val="22"/>
              <w:lang w:val="en-IN" w:eastAsia="en-IN"/>
            </w:rPr>
          </w:pPr>
          <w:r w:rsidRPr="007A788D">
            <w:rPr>
              <w:lang w:val="en-GB"/>
            </w:rPr>
            <w:fldChar w:fldCharType="begin"/>
          </w:r>
          <w:r w:rsidR="00444459" w:rsidRPr="00444459">
            <w:rPr>
              <w:lang w:val="en-GB"/>
            </w:rPr>
            <w:instrText xml:space="preserve"> TOC \o "1-3" \h \z \u </w:instrText>
          </w:r>
          <w:r w:rsidRPr="007A788D">
            <w:rPr>
              <w:lang w:val="en-GB"/>
            </w:rPr>
            <w:fldChar w:fldCharType="separate"/>
          </w:r>
          <w:hyperlink w:anchor="_Toc173414316" w:history="1">
            <w:r w:rsidR="00A924DF" w:rsidRPr="00D128AC">
              <w:rPr>
                <w:rStyle w:val="Hyperlink"/>
                <w:noProof/>
                <w:lang w:val="en-GB"/>
              </w:rPr>
              <w:t>Part (A): Introduction</w:t>
            </w:r>
            <w:r w:rsidR="00A924DF">
              <w:rPr>
                <w:noProof/>
                <w:webHidden/>
              </w:rPr>
              <w:tab/>
            </w:r>
            <w:r>
              <w:rPr>
                <w:noProof/>
                <w:webHidden/>
              </w:rPr>
              <w:fldChar w:fldCharType="begin"/>
            </w:r>
            <w:r w:rsidR="00A924DF">
              <w:rPr>
                <w:noProof/>
                <w:webHidden/>
              </w:rPr>
              <w:instrText xml:space="preserve"> PAGEREF _Toc173414316 \h </w:instrText>
            </w:r>
            <w:r>
              <w:rPr>
                <w:noProof/>
                <w:webHidden/>
              </w:rPr>
            </w:r>
            <w:r>
              <w:rPr>
                <w:noProof/>
                <w:webHidden/>
              </w:rPr>
              <w:fldChar w:fldCharType="separate"/>
            </w:r>
            <w:r w:rsidR="00A924DF">
              <w:rPr>
                <w:noProof/>
                <w:webHidden/>
              </w:rPr>
              <w:t>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17" w:history="1">
            <w:r w:rsidR="00A924DF" w:rsidRPr="00D128AC">
              <w:rPr>
                <w:rStyle w:val="Hyperlink"/>
                <w:noProof/>
                <w:lang w:val="en-GB"/>
              </w:rPr>
              <w:t>History</w:t>
            </w:r>
            <w:r w:rsidR="00A924DF">
              <w:rPr>
                <w:noProof/>
                <w:webHidden/>
              </w:rPr>
              <w:tab/>
            </w:r>
            <w:r>
              <w:rPr>
                <w:noProof/>
                <w:webHidden/>
              </w:rPr>
              <w:fldChar w:fldCharType="begin"/>
            </w:r>
            <w:r w:rsidR="00A924DF">
              <w:rPr>
                <w:noProof/>
                <w:webHidden/>
              </w:rPr>
              <w:instrText xml:space="preserve"> PAGEREF _Toc173414317 \h </w:instrText>
            </w:r>
            <w:r>
              <w:rPr>
                <w:noProof/>
                <w:webHidden/>
              </w:rPr>
            </w:r>
            <w:r>
              <w:rPr>
                <w:noProof/>
                <w:webHidden/>
              </w:rPr>
              <w:fldChar w:fldCharType="separate"/>
            </w:r>
            <w:r w:rsidR="00A924DF">
              <w:rPr>
                <w:noProof/>
                <w:webHidden/>
              </w:rPr>
              <w:t>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18" w:history="1">
            <w:r w:rsidR="00A924DF" w:rsidRPr="00D128AC">
              <w:rPr>
                <w:rStyle w:val="Hyperlink"/>
                <w:noProof/>
                <w:lang w:val="en-GB"/>
              </w:rPr>
              <w:t>Market Places and Competitors</w:t>
            </w:r>
            <w:r w:rsidR="00A924DF">
              <w:rPr>
                <w:noProof/>
                <w:webHidden/>
              </w:rPr>
              <w:tab/>
            </w:r>
            <w:r>
              <w:rPr>
                <w:noProof/>
                <w:webHidden/>
              </w:rPr>
              <w:fldChar w:fldCharType="begin"/>
            </w:r>
            <w:r w:rsidR="00A924DF">
              <w:rPr>
                <w:noProof/>
                <w:webHidden/>
              </w:rPr>
              <w:instrText xml:space="preserve"> PAGEREF _Toc173414318 \h </w:instrText>
            </w:r>
            <w:r>
              <w:rPr>
                <w:noProof/>
                <w:webHidden/>
              </w:rPr>
            </w:r>
            <w:r>
              <w:rPr>
                <w:noProof/>
                <w:webHidden/>
              </w:rPr>
              <w:fldChar w:fldCharType="separate"/>
            </w:r>
            <w:r w:rsidR="00A924DF">
              <w:rPr>
                <w:noProof/>
                <w:webHidden/>
              </w:rPr>
              <w:t>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19" w:history="1">
            <w:r w:rsidR="00A924DF" w:rsidRPr="00D128AC">
              <w:rPr>
                <w:rStyle w:val="Hyperlink"/>
                <w:noProof/>
                <w:lang w:val="en-GB"/>
              </w:rPr>
              <w:t>Profit</w:t>
            </w:r>
            <w:r w:rsidR="00A924DF">
              <w:rPr>
                <w:noProof/>
                <w:webHidden/>
              </w:rPr>
              <w:tab/>
            </w:r>
            <w:r>
              <w:rPr>
                <w:noProof/>
                <w:webHidden/>
              </w:rPr>
              <w:fldChar w:fldCharType="begin"/>
            </w:r>
            <w:r w:rsidR="00A924DF">
              <w:rPr>
                <w:noProof/>
                <w:webHidden/>
              </w:rPr>
              <w:instrText xml:space="preserve"> PAGEREF _Toc173414319 \h </w:instrText>
            </w:r>
            <w:r>
              <w:rPr>
                <w:noProof/>
                <w:webHidden/>
              </w:rPr>
            </w:r>
            <w:r>
              <w:rPr>
                <w:noProof/>
                <w:webHidden/>
              </w:rPr>
              <w:fldChar w:fldCharType="separate"/>
            </w:r>
            <w:r w:rsidR="00A924DF">
              <w:rPr>
                <w:noProof/>
                <w:webHidden/>
              </w:rPr>
              <w:t>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20" w:history="1">
            <w:r w:rsidR="00A924DF" w:rsidRPr="00D128AC">
              <w:rPr>
                <w:rStyle w:val="Hyperlink"/>
                <w:noProof/>
                <w:lang w:val="en-GB"/>
              </w:rPr>
              <w:t>Recent Events</w:t>
            </w:r>
            <w:r w:rsidR="00A924DF">
              <w:rPr>
                <w:noProof/>
                <w:webHidden/>
              </w:rPr>
              <w:tab/>
            </w:r>
            <w:r>
              <w:rPr>
                <w:noProof/>
                <w:webHidden/>
              </w:rPr>
              <w:fldChar w:fldCharType="begin"/>
            </w:r>
            <w:r w:rsidR="00A924DF">
              <w:rPr>
                <w:noProof/>
                <w:webHidden/>
              </w:rPr>
              <w:instrText xml:space="preserve"> PAGEREF _Toc173414320 \h </w:instrText>
            </w:r>
            <w:r>
              <w:rPr>
                <w:noProof/>
                <w:webHidden/>
              </w:rPr>
            </w:r>
            <w:r>
              <w:rPr>
                <w:noProof/>
                <w:webHidden/>
              </w:rPr>
              <w:fldChar w:fldCharType="separate"/>
            </w:r>
            <w:r w:rsidR="00A924DF">
              <w:rPr>
                <w:noProof/>
                <w:webHidden/>
              </w:rPr>
              <w:t>5</w:t>
            </w:r>
            <w:r>
              <w:rPr>
                <w:noProof/>
                <w:webHidden/>
              </w:rPr>
              <w:fldChar w:fldCharType="end"/>
            </w:r>
          </w:hyperlink>
        </w:p>
        <w:p w:rsidR="00A924DF" w:rsidRDefault="007A788D">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73414321" w:history="1">
            <w:r w:rsidR="00A924DF" w:rsidRPr="00D128AC">
              <w:rPr>
                <w:rStyle w:val="Hyperlink"/>
                <w:noProof/>
                <w:lang w:val="en-GB"/>
              </w:rPr>
              <w:t>Part (B): Financial performance review</w:t>
            </w:r>
            <w:r w:rsidR="00A924DF">
              <w:rPr>
                <w:noProof/>
                <w:webHidden/>
              </w:rPr>
              <w:tab/>
            </w:r>
            <w:r>
              <w:rPr>
                <w:noProof/>
                <w:webHidden/>
              </w:rPr>
              <w:fldChar w:fldCharType="begin"/>
            </w:r>
            <w:r w:rsidR="00A924DF">
              <w:rPr>
                <w:noProof/>
                <w:webHidden/>
              </w:rPr>
              <w:instrText xml:space="preserve"> PAGEREF _Toc173414321 \h </w:instrText>
            </w:r>
            <w:r>
              <w:rPr>
                <w:noProof/>
                <w:webHidden/>
              </w:rPr>
            </w:r>
            <w:r>
              <w:rPr>
                <w:noProof/>
                <w:webHidden/>
              </w:rPr>
              <w:fldChar w:fldCharType="separate"/>
            </w:r>
            <w:r w:rsidR="00A924DF">
              <w:rPr>
                <w:noProof/>
                <w:webHidden/>
              </w:rPr>
              <w:t>5</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22" w:history="1">
            <w:r w:rsidR="00A924DF" w:rsidRPr="00D128AC">
              <w:rPr>
                <w:rStyle w:val="Hyperlink"/>
                <w:noProof/>
                <w:lang w:val="en-GB"/>
              </w:rPr>
              <w:t>Calculation of the financial ratios</w:t>
            </w:r>
            <w:r w:rsidR="00A924DF">
              <w:rPr>
                <w:noProof/>
                <w:webHidden/>
              </w:rPr>
              <w:tab/>
            </w:r>
            <w:r>
              <w:rPr>
                <w:noProof/>
                <w:webHidden/>
              </w:rPr>
              <w:fldChar w:fldCharType="begin"/>
            </w:r>
            <w:r w:rsidR="00A924DF">
              <w:rPr>
                <w:noProof/>
                <w:webHidden/>
              </w:rPr>
              <w:instrText xml:space="preserve"> PAGEREF _Toc173414322 \h </w:instrText>
            </w:r>
            <w:r>
              <w:rPr>
                <w:noProof/>
                <w:webHidden/>
              </w:rPr>
            </w:r>
            <w:r>
              <w:rPr>
                <w:noProof/>
                <w:webHidden/>
              </w:rPr>
              <w:fldChar w:fldCharType="separate"/>
            </w:r>
            <w:r w:rsidR="00A924DF">
              <w:rPr>
                <w:noProof/>
                <w:webHidden/>
              </w:rPr>
              <w:t>5</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23" w:history="1">
            <w:r w:rsidR="00A924DF" w:rsidRPr="00D128AC">
              <w:rPr>
                <w:rStyle w:val="Hyperlink"/>
                <w:noProof/>
                <w:lang w:val="en-GB"/>
              </w:rPr>
              <w:t>Profitability Ratios</w:t>
            </w:r>
            <w:r w:rsidR="00A924DF">
              <w:rPr>
                <w:noProof/>
                <w:webHidden/>
              </w:rPr>
              <w:tab/>
            </w:r>
            <w:r>
              <w:rPr>
                <w:noProof/>
                <w:webHidden/>
              </w:rPr>
              <w:fldChar w:fldCharType="begin"/>
            </w:r>
            <w:r w:rsidR="00A924DF">
              <w:rPr>
                <w:noProof/>
                <w:webHidden/>
              </w:rPr>
              <w:instrText xml:space="preserve"> PAGEREF _Toc173414323 \h </w:instrText>
            </w:r>
            <w:r>
              <w:rPr>
                <w:noProof/>
                <w:webHidden/>
              </w:rPr>
            </w:r>
            <w:r>
              <w:rPr>
                <w:noProof/>
                <w:webHidden/>
              </w:rPr>
              <w:fldChar w:fldCharType="separate"/>
            </w:r>
            <w:r w:rsidR="00A924DF">
              <w:rPr>
                <w:noProof/>
                <w:webHidden/>
              </w:rPr>
              <w:t>5</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24" w:history="1">
            <w:r w:rsidR="00A924DF" w:rsidRPr="00D128AC">
              <w:rPr>
                <w:rStyle w:val="Hyperlink"/>
                <w:noProof/>
                <w:lang w:val="en-GB"/>
              </w:rPr>
              <w:t>Liquidity Ratios</w:t>
            </w:r>
            <w:r w:rsidR="00A924DF">
              <w:rPr>
                <w:noProof/>
                <w:webHidden/>
              </w:rPr>
              <w:tab/>
            </w:r>
            <w:r>
              <w:rPr>
                <w:noProof/>
                <w:webHidden/>
              </w:rPr>
              <w:fldChar w:fldCharType="begin"/>
            </w:r>
            <w:r w:rsidR="00A924DF">
              <w:rPr>
                <w:noProof/>
                <w:webHidden/>
              </w:rPr>
              <w:instrText xml:space="preserve"> PAGEREF _Toc173414324 \h </w:instrText>
            </w:r>
            <w:r>
              <w:rPr>
                <w:noProof/>
                <w:webHidden/>
              </w:rPr>
            </w:r>
            <w:r>
              <w:rPr>
                <w:noProof/>
                <w:webHidden/>
              </w:rPr>
              <w:fldChar w:fldCharType="separate"/>
            </w:r>
            <w:r w:rsidR="00A924DF">
              <w:rPr>
                <w:noProof/>
                <w:webHidden/>
              </w:rPr>
              <w:t>5</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25" w:history="1">
            <w:r w:rsidR="00A924DF" w:rsidRPr="00D128AC">
              <w:rPr>
                <w:rStyle w:val="Hyperlink"/>
                <w:noProof/>
                <w:lang w:val="en-GB"/>
              </w:rPr>
              <w:t>Efficiency Ratios</w:t>
            </w:r>
            <w:r w:rsidR="00A924DF">
              <w:rPr>
                <w:noProof/>
                <w:webHidden/>
              </w:rPr>
              <w:tab/>
            </w:r>
            <w:r>
              <w:rPr>
                <w:noProof/>
                <w:webHidden/>
              </w:rPr>
              <w:fldChar w:fldCharType="begin"/>
            </w:r>
            <w:r w:rsidR="00A924DF">
              <w:rPr>
                <w:noProof/>
                <w:webHidden/>
              </w:rPr>
              <w:instrText xml:space="preserve"> PAGEREF _Toc173414325 \h </w:instrText>
            </w:r>
            <w:r>
              <w:rPr>
                <w:noProof/>
                <w:webHidden/>
              </w:rPr>
            </w:r>
            <w:r>
              <w:rPr>
                <w:noProof/>
                <w:webHidden/>
              </w:rPr>
              <w:fldChar w:fldCharType="separate"/>
            </w:r>
            <w:r w:rsidR="00A924DF">
              <w:rPr>
                <w:noProof/>
                <w:webHidden/>
              </w:rPr>
              <w:t>6</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26" w:history="1">
            <w:r w:rsidR="00A924DF" w:rsidRPr="00D128AC">
              <w:rPr>
                <w:rStyle w:val="Hyperlink"/>
                <w:noProof/>
                <w:lang w:val="en-GB"/>
              </w:rPr>
              <w:t>Solvency Ratios</w:t>
            </w:r>
            <w:r w:rsidR="00A924DF">
              <w:rPr>
                <w:noProof/>
                <w:webHidden/>
              </w:rPr>
              <w:tab/>
            </w:r>
            <w:r>
              <w:rPr>
                <w:noProof/>
                <w:webHidden/>
              </w:rPr>
              <w:fldChar w:fldCharType="begin"/>
            </w:r>
            <w:r w:rsidR="00A924DF">
              <w:rPr>
                <w:noProof/>
                <w:webHidden/>
              </w:rPr>
              <w:instrText xml:space="preserve"> PAGEREF _Toc173414326 \h </w:instrText>
            </w:r>
            <w:r>
              <w:rPr>
                <w:noProof/>
                <w:webHidden/>
              </w:rPr>
            </w:r>
            <w:r>
              <w:rPr>
                <w:noProof/>
                <w:webHidden/>
              </w:rPr>
              <w:fldChar w:fldCharType="separate"/>
            </w:r>
            <w:r w:rsidR="00A924DF">
              <w:rPr>
                <w:noProof/>
                <w:webHidden/>
              </w:rPr>
              <w:t>6</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27" w:history="1">
            <w:r w:rsidR="00A924DF" w:rsidRPr="00D128AC">
              <w:rPr>
                <w:rStyle w:val="Hyperlink"/>
                <w:noProof/>
                <w:lang w:val="en-GB"/>
              </w:rPr>
              <w:t>Critical evaluation of the calculated ratios</w:t>
            </w:r>
            <w:r w:rsidR="00A924DF">
              <w:rPr>
                <w:noProof/>
                <w:webHidden/>
              </w:rPr>
              <w:tab/>
            </w:r>
            <w:r>
              <w:rPr>
                <w:noProof/>
                <w:webHidden/>
              </w:rPr>
              <w:fldChar w:fldCharType="begin"/>
            </w:r>
            <w:r w:rsidR="00A924DF">
              <w:rPr>
                <w:noProof/>
                <w:webHidden/>
              </w:rPr>
              <w:instrText xml:space="preserve"> PAGEREF _Toc173414327 \h </w:instrText>
            </w:r>
            <w:r>
              <w:rPr>
                <w:noProof/>
                <w:webHidden/>
              </w:rPr>
            </w:r>
            <w:r>
              <w:rPr>
                <w:noProof/>
                <w:webHidden/>
              </w:rPr>
              <w:fldChar w:fldCharType="separate"/>
            </w:r>
            <w:r w:rsidR="00A924DF">
              <w:rPr>
                <w:noProof/>
                <w:webHidden/>
              </w:rPr>
              <w:t>7</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28" w:history="1">
            <w:r w:rsidR="00A924DF" w:rsidRPr="00D128AC">
              <w:rPr>
                <w:rStyle w:val="Hyperlink"/>
                <w:noProof/>
                <w:lang w:val="en-GB"/>
              </w:rPr>
              <w:t>Comparison with the competitors</w:t>
            </w:r>
            <w:r w:rsidR="00A924DF">
              <w:rPr>
                <w:noProof/>
                <w:webHidden/>
              </w:rPr>
              <w:tab/>
            </w:r>
            <w:r>
              <w:rPr>
                <w:noProof/>
                <w:webHidden/>
              </w:rPr>
              <w:fldChar w:fldCharType="begin"/>
            </w:r>
            <w:r w:rsidR="00A924DF">
              <w:rPr>
                <w:noProof/>
                <w:webHidden/>
              </w:rPr>
              <w:instrText xml:space="preserve"> PAGEREF _Toc173414328 \h </w:instrText>
            </w:r>
            <w:r>
              <w:rPr>
                <w:noProof/>
                <w:webHidden/>
              </w:rPr>
            </w:r>
            <w:r>
              <w:rPr>
                <w:noProof/>
                <w:webHidden/>
              </w:rPr>
              <w:fldChar w:fldCharType="separate"/>
            </w:r>
            <w:r w:rsidR="00A924DF">
              <w:rPr>
                <w:noProof/>
                <w:webHidden/>
              </w:rPr>
              <w:t>9</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29" w:history="1">
            <w:r w:rsidR="00A924DF" w:rsidRPr="00D128AC">
              <w:rPr>
                <w:rStyle w:val="Hyperlink"/>
                <w:noProof/>
                <w:lang w:val="en-GB"/>
              </w:rPr>
              <w:t>Profitability Ratios</w:t>
            </w:r>
            <w:r w:rsidR="00A924DF">
              <w:rPr>
                <w:noProof/>
                <w:webHidden/>
              </w:rPr>
              <w:tab/>
            </w:r>
            <w:r>
              <w:rPr>
                <w:noProof/>
                <w:webHidden/>
              </w:rPr>
              <w:fldChar w:fldCharType="begin"/>
            </w:r>
            <w:r w:rsidR="00A924DF">
              <w:rPr>
                <w:noProof/>
                <w:webHidden/>
              </w:rPr>
              <w:instrText xml:space="preserve"> PAGEREF _Toc173414329 \h </w:instrText>
            </w:r>
            <w:r>
              <w:rPr>
                <w:noProof/>
                <w:webHidden/>
              </w:rPr>
            </w:r>
            <w:r>
              <w:rPr>
                <w:noProof/>
                <w:webHidden/>
              </w:rPr>
              <w:fldChar w:fldCharType="separate"/>
            </w:r>
            <w:r w:rsidR="00A924DF">
              <w:rPr>
                <w:noProof/>
                <w:webHidden/>
              </w:rPr>
              <w:t>9</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30" w:history="1">
            <w:r w:rsidR="00A924DF" w:rsidRPr="00D128AC">
              <w:rPr>
                <w:rStyle w:val="Hyperlink"/>
                <w:noProof/>
                <w:lang w:val="en-GB"/>
              </w:rPr>
              <w:t>Liquidity Ratios</w:t>
            </w:r>
            <w:r w:rsidR="00A924DF">
              <w:rPr>
                <w:noProof/>
                <w:webHidden/>
              </w:rPr>
              <w:tab/>
            </w:r>
            <w:r>
              <w:rPr>
                <w:noProof/>
                <w:webHidden/>
              </w:rPr>
              <w:fldChar w:fldCharType="begin"/>
            </w:r>
            <w:r w:rsidR="00A924DF">
              <w:rPr>
                <w:noProof/>
                <w:webHidden/>
              </w:rPr>
              <w:instrText xml:space="preserve"> PAGEREF _Toc173414330 \h </w:instrText>
            </w:r>
            <w:r>
              <w:rPr>
                <w:noProof/>
                <w:webHidden/>
              </w:rPr>
            </w:r>
            <w:r>
              <w:rPr>
                <w:noProof/>
                <w:webHidden/>
              </w:rPr>
              <w:fldChar w:fldCharType="separate"/>
            </w:r>
            <w:r w:rsidR="00A924DF">
              <w:rPr>
                <w:noProof/>
                <w:webHidden/>
              </w:rPr>
              <w:t>10</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31" w:history="1">
            <w:r w:rsidR="00A924DF" w:rsidRPr="00D128AC">
              <w:rPr>
                <w:rStyle w:val="Hyperlink"/>
                <w:noProof/>
                <w:lang w:val="en-GB"/>
              </w:rPr>
              <w:t>Efficiency Ratios</w:t>
            </w:r>
            <w:r w:rsidR="00A924DF">
              <w:rPr>
                <w:noProof/>
                <w:webHidden/>
              </w:rPr>
              <w:tab/>
            </w:r>
            <w:r>
              <w:rPr>
                <w:noProof/>
                <w:webHidden/>
              </w:rPr>
              <w:fldChar w:fldCharType="begin"/>
            </w:r>
            <w:r w:rsidR="00A924DF">
              <w:rPr>
                <w:noProof/>
                <w:webHidden/>
              </w:rPr>
              <w:instrText xml:space="preserve"> PAGEREF _Toc173414331 \h </w:instrText>
            </w:r>
            <w:r>
              <w:rPr>
                <w:noProof/>
                <w:webHidden/>
              </w:rPr>
            </w:r>
            <w:r>
              <w:rPr>
                <w:noProof/>
                <w:webHidden/>
              </w:rPr>
              <w:fldChar w:fldCharType="separate"/>
            </w:r>
            <w:r w:rsidR="00A924DF">
              <w:rPr>
                <w:noProof/>
                <w:webHidden/>
              </w:rPr>
              <w:t>11</w:t>
            </w:r>
            <w:r>
              <w:rPr>
                <w:noProof/>
                <w:webHidden/>
              </w:rPr>
              <w:fldChar w:fldCharType="end"/>
            </w:r>
          </w:hyperlink>
        </w:p>
        <w:p w:rsidR="00A924DF" w:rsidRDefault="007A788D">
          <w:pPr>
            <w:pStyle w:val="TOC3"/>
            <w:tabs>
              <w:tab w:val="right" w:leader="dot" w:pos="9350"/>
            </w:tabs>
            <w:rPr>
              <w:rFonts w:asciiTheme="minorHAnsi" w:eastAsiaTheme="minorEastAsia" w:hAnsiTheme="minorHAnsi" w:cstheme="minorBidi"/>
              <w:noProof/>
              <w:kern w:val="2"/>
              <w:sz w:val="22"/>
              <w:szCs w:val="22"/>
              <w:lang w:val="en-IN" w:eastAsia="en-IN"/>
            </w:rPr>
          </w:pPr>
          <w:hyperlink w:anchor="_Toc173414332" w:history="1">
            <w:r w:rsidR="00A924DF" w:rsidRPr="00D128AC">
              <w:rPr>
                <w:rStyle w:val="Hyperlink"/>
                <w:noProof/>
                <w:lang w:val="en-GB"/>
              </w:rPr>
              <w:t>Solvency Ratios</w:t>
            </w:r>
            <w:r w:rsidR="00A924DF">
              <w:rPr>
                <w:noProof/>
                <w:webHidden/>
              </w:rPr>
              <w:tab/>
            </w:r>
            <w:r>
              <w:rPr>
                <w:noProof/>
                <w:webHidden/>
              </w:rPr>
              <w:fldChar w:fldCharType="begin"/>
            </w:r>
            <w:r w:rsidR="00A924DF">
              <w:rPr>
                <w:noProof/>
                <w:webHidden/>
              </w:rPr>
              <w:instrText xml:space="preserve"> PAGEREF _Toc173414332 \h </w:instrText>
            </w:r>
            <w:r>
              <w:rPr>
                <w:noProof/>
                <w:webHidden/>
              </w:rPr>
            </w:r>
            <w:r>
              <w:rPr>
                <w:noProof/>
                <w:webHidden/>
              </w:rPr>
              <w:fldChar w:fldCharType="separate"/>
            </w:r>
            <w:r w:rsidR="00A924DF">
              <w:rPr>
                <w:noProof/>
                <w:webHidden/>
              </w:rPr>
              <w:t>12</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33" w:history="1">
            <w:r w:rsidR="00A924DF" w:rsidRPr="00D128AC">
              <w:rPr>
                <w:rStyle w:val="Hyperlink"/>
                <w:noProof/>
                <w:lang w:val="en-GB"/>
              </w:rPr>
              <w:t>Recommendation towards improvement</w:t>
            </w:r>
            <w:r w:rsidR="00A924DF">
              <w:rPr>
                <w:noProof/>
                <w:webHidden/>
              </w:rPr>
              <w:tab/>
            </w:r>
            <w:r>
              <w:rPr>
                <w:noProof/>
                <w:webHidden/>
              </w:rPr>
              <w:fldChar w:fldCharType="begin"/>
            </w:r>
            <w:r w:rsidR="00A924DF">
              <w:rPr>
                <w:noProof/>
                <w:webHidden/>
              </w:rPr>
              <w:instrText xml:space="preserve"> PAGEREF _Toc173414333 \h </w:instrText>
            </w:r>
            <w:r>
              <w:rPr>
                <w:noProof/>
                <w:webHidden/>
              </w:rPr>
            </w:r>
            <w:r>
              <w:rPr>
                <w:noProof/>
                <w:webHidden/>
              </w:rPr>
              <w:fldChar w:fldCharType="separate"/>
            </w:r>
            <w:r w:rsidR="00A924DF">
              <w:rPr>
                <w:noProof/>
                <w:webHidden/>
              </w:rPr>
              <w:t>14</w:t>
            </w:r>
            <w:r>
              <w:rPr>
                <w:noProof/>
                <w:webHidden/>
              </w:rPr>
              <w:fldChar w:fldCharType="end"/>
            </w:r>
          </w:hyperlink>
        </w:p>
        <w:p w:rsidR="00A924DF" w:rsidRDefault="007A788D">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73414334" w:history="1">
            <w:r w:rsidR="00A924DF" w:rsidRPr="00D128AC">
              <w:rPr>
                <w:rStyle w:val="Hyperlink"/>
                <w:noProof/>
                <w:lang w:val="en-GB"/>
              </w:rPr>
              <w:t>Part (C): Investment appraisal</w:t>
            </w:r>
            <w:r w:rsidR="00A924DF">
              <w:rPr>
                <w:noProof/>
                <w:webHidden/>
              </w:rPr>
              <w:tab/>
            </w:r>
            <w:r>
              <w:rPr>
                <w:noProof/>
                <w:webHidden/>
              </w:rPr>
              <w:fldChar w:fldCharType="begin"/>
            </w:r>
            <w:r w:rsidR="00A924DF">
              <w:rPr>
                <w:noProof/>
                <w:webHidden/>
              </w:rPr>
              <w:instrText xml:space="preserve"> PAGEREF _Toc173414334 \h </w:instrText>
            </w:r>
            <w:r>
              <w:rPr>
                <w:noProof/>
                <w:webHidden/>
              </w:rPr>
            </w:r>
            <w:r>
              <w:rPr>
                <w:noProof/>
                <w:webHidden/>
              </w:rPr>
              <w:fldChar w:fldCharType="separate"/>
            </w:r>
            <w:r w:rsidR="00A924DF">
              <w:rPr>
                <w:noProof/>
                <w:webHidden/>
              </w:rPr>
              <w:t>14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35" w:history="1">
            <w:r w:rsidR="00A924DF" w:rsidRPr="00D128AC">
              <w:rPr>
                <w:rStyle w:val="Hyperlink"/>
                <w:noProof/>
                <w:lang w:val="en-GB"/>
              </w:rPr>
              <w:t>The investment appraisal techniques</w:t>
            </w:r>
            <w:r w:rsidR="00A924DF">
              <w:rPr>
                <w:noProof/>
                <w:webHidden/>
              </w:rPr>
              <w:tab/>
            </w:r>
            <w:r>
              <w:rPr>
                <w:noProof/>
                <w:webHidden/>
              </w:rPr>
              <w:fldChar w:fldCharType="begin"/>
            </w:r>
            <w:r w:rsidR="00A924DF">
              <w:rPr>
                <w:noProof/>
                <w:webHidden/>
              </w:rPr>
              <w:instrText xml:space="preserve"> PAGEREF _Toc173414335 \h </w:instrText>
            </w:r>
            <w:r>
              <w:rPr>
                <w:noProof/>
                <w:webHidden/>
              </w:rPr>
            </w:r>
            <w:r>
              <w:rPr>
                <w:noProof/>
                <w:webHidden/>
              </w:rPr>
              <w:fldChar w:fldCharType="separate"/>
            </w:r>
            <w:r w:rsidR="00A924DF">
              <w:rPr>
                <w:noProof/>
                <w:webHidden/>
              </w:rPr>
              <w:t>14</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36" w:history="1">
            <w:r w:rsidR="00A924DF" w:rsidRPr="00D128AC">
              <w:rPr>
                <w:rStyle w:val="Hyperlink"/>
                <w:noProof/>
                <w:lang w:val="en-GB"/>
              </w:rPr>
              <w:t>Advantages and shortcomings</w:t>
            </w:r>
            <w:r w:rsidR="00A924DF">
              <w:rPr>
                <w:noProof/>
                <w:webHidden/>
              </w:rPr>
              <w:tab/>
            </w:r>
            <w:r>
              <w:rPr>
                <w:noProof/>
                <w:webHidden/>
              </w:rPr>
              <w:fldChar w:fldCharType="begin"/>
            </w:r>
            <w:r w:rsidR="00A924DF">
              <w:rPr>
                <w:noProof/>
                <w:webHidden/>
              </w:rPr>
              <w:instrText xml:space="preserve"> PAGEREF _Toc173414336 \h </w:instrText>
            </w:r>
            <w:r>
              <w:rPr>
                <w:noProof/>
                <w:webHidden/>
              </w:rPr>
            </w:r>
            <w:r>
              <w:rPr>
                <w:noProof/>
                <w:webHidden/>
              </w:rPr>
              <w:fldChar w:fldCharType="separate"/>
            </w:r>
            <w:r w:rsidR="00A924DF">
              <w:rPr>
                <w:noProof/>
                <w:webHidden/>
              </w:rPr>
              <w:t>17</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37" w:history="1">
            <w:r w:rsidR="00A924DF" w:rsidRPr="00D128AC">
              <w:rPr>
                <w:rStyle w:val="Hyperlink"/>
                <w:noProof/>
                <w:lang w:val="en-GB"/>
              </w:rPr>
              <w:t>Non-financial factors</w:t>
            </w:r>
            <w:r w:rsidR="00A924DF">
              <w:rPr>
                <w:noProof/>
                <w:webHidden/>
              </w:rPr>
              <w:tab/>
            </w:r>
            <w:r>
              <w:rPr>
                <w:noProof/>
                <w:webHidden/>
              </w:rPr>
              <w:fldChar w:fldCharType="begin"/>
            </w:r>
            <w:r w:rsidR="00A924DF">
              <w:rPr>
                <w:noProof/>
                <w:webHidden/>
              </w:rPr>
              <w:instrText xml:space="preserve"> PAGEREF _Toc173414337 \h </w:instrText>
            </w:r>
            <w:r>
              <w:rPr>
                <w:noProof/>
                <w:webHidden/>
              </w:rPr>
            </w:r>
            <w:r>
              <w:rPr>
                <w:noProof/>
                <w:webHidden/>
              </w:rPr>
              <w:fldChar w:fldCharType="separate"/>
            </w:r>
            <w:r w:rsidR="00A924DF">
              <w:rPr>
                <w:noProof/>
                <w:webHidden/>
              </w:rPr>
              <w:t>18</w:t>
            </w:r>
            <w:r>
              <w:rPr>
                <w:noProof/>
                <w:webHidden/>
              </w:rPr>
              <w:fldChar w:fldCharType="end"/>
            </w:r>
          </w:hyperlink>
        </w:p>
        <w:p w:rsidR="00A924DF" w:rsidRDefault="007A788D">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73414338" w:history="1">
            <w:r w:rsidR="00A924DF" w:rsidRPr="00D128AC">
              <w:rPr>
                <w:rStyle w:val="Hyperlink"/>
                <w:noProof/>
                <w:lang w:val="en-GB"/>
              </w:rPr>
              <w:t>Reference List</w:t>
            </w:r>
            <w:r w:rsidR="00A924DF">
              <w:rPr>
                <w:noProof/>
                <w:webHidden/>
              </w:rPr>
              <w:tab/>
            </w:r>
            <w:r>
              <w:rPr>
                <w:noProof/>
                <w:webHidden/>
              </w:rPr>
              <w:fldChar w:fldCharType="begin"/>
            </w:r>
            <w:r w:rsidR="00A924DF">
              <w:rPr>
                <w:noProof/>
                <w:webHidden/>
              </w:rPr>
              <w:instrText xml:space="preserve"> PAGEREF _Toc173414338 \h </w:instrText>
            </w:r>
            <w:r>
              <w:rPr>
                <w:noProof/>
                <w:webHidden/>
              </w:rPr>
            </w:r>
            <w:r>
              <w:rPr>
                <w:noProof/>
                <w:webHidden/>
              </w:rPr>
              <w:fldChar w:fldCharType="separate"/>
            </w:r>
            <w:r w:rsidR="00A924DF">
              <w:rPr>
                <w:noProof/>
                <w:webHidden/>
              </w:rPr>
              <w:t>20</w:t>
            </w:r>
            <w:r>
              <w:rPr>
                <w:noProof/>
                <w:webHidden/>
              </w:rPr>
              <w:fldChar w:fldCharType="end"/>
            </w:r>
          </w:hyperlink>
        </w:p>
        <w:p w:rsidR="00A924DF" w:rsidRDefault="007A788D">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73414339" w:history="1">
            <w:r w:rsidR="00A924DF" w:rsidRPr="00D128AC">
              <w:rPr>
                <w:rStyle w:val="Hyperlink"/>
                <w:noProof/>
                <w:lang w:val="en-GB"/>
              </w:rPr>
              <w:t>Appendices</w:t>
            </w:r>
            <w:r w:rsidR="00A924DF">
              <w:rPr>
                <w:noProof/>
                <w:webHidden/>
              </w:rPr>
              <w:tab/>
            </w:r>
            <w:r>
              <w:rPr>
                <w:noProof/>
                <w:webHidden/>
              </w:rPr>
              <w:fldChar w:fldCharType="begin"/>
            </w:r>
            <w:r w:rsidR="00A924DF">
              <w:rPr>
                <w:noProof/>
                <w:webHidden/>
              </w:rPr>
              <w:instrText xml:space="preserve"> PAGEREF _Toc173414339 \h </w:instrText>
            </w:r>
            <w:r>
              <w:rPr>
                <w:noProof/>
                <w:webHidden/>
              </w:rPr>
            </w:r>
            <w:r>
              <w:rPr>
                <w:noProof/>
                <w:webHidden/>
              </w:rPr>
              <w:fldChar w:fldCharType="separate"/>
            </w:r>
            <w:r w:rsidR="00A924DF">
              <w:rPr>
                <w:noProof/>
                <w:webHidden/>
              </w:rPr>
              <w:t>23</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40" w:history="1">
            <w:r w:rsidR="00A924DF" w:rsidRPr="00D128AC">
              <w:rPr>
                <w:rStyle w:val="Hyperlink"/>
                <w:noProof/>
                <w:lang w:val="en-GB"/>
              </w:rPr>
              <w:t>Appendix 1: Sainsbury</w:t>
            </w:r>
            <w:r w:rsidR="00A924DF">
              <w:rPr>
                <w:noProof/>
                <w:webHidden/>
              </w:rPr>
              <w:tab/>
            </w:r>
            <w:r>
              <w:rPr>
                <w:noProof/>
                <w:webHidden/>
              </w:rPr>
              <w:fldChar w:fldCharType="begin"/>
            </w:r>
            <w:r w:rsidR="00A924DF">
              <w:rPr>
                <w:noProof/>
                <w:webHidden/>
              </w:rPr>
              <w:instrText xml:space="preserve"> PAGEREF _Toc173414340 \h </w:instrText>
            </w:r>
            <w:r>
              <w:rPr>
                <w:noProof/>
                <w:webHidden/>
              </w:rPr>
            </w:r>
            <w:r>
              <w:rPr>
                <w:noProof/>
                <w:webHidden/>
              </w:rPr>
              <w:fldChar w:fldCharType="separate"/>
            </w:r>
            <w:r w:rsidR="00A924DF">
              <w:rPr>
                <w:noProof/>
                <w:webHidden/>
              </w:rPr>
              <w:t>23</w:t>
            </w:r>
            <w:r>
              <w:rPr>
                <w:noProof/>
                <w:webHidden/>
              </w:rPr>
              <w:fldChar w:fldCharType="end"/>
            </w:r>
          </w:hyperlink>
        </w:p>
        <w:p w:rsidR="00A924DF" w:rsidRDefault="007A788D">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73414341" w:history="1">
            <w:r w:rsidR="00A924DF" w:rsidRPr="00D128AC">
              <w:rPr>
                <w:rStyle w:val="Hyperlink"/>
                <w:noProof/>
                <w:lang w:val="en-GB"/>
              </w:rPr>
              <w:t>Appendix 2: Morrisons</w:t>
            </w:r>
            <w:r w:rsidR="00A924DF">
              <w:rPr>
                <w:noProof/>
                <w:webHidden/>
              </w:rPr>
              <w:tab/>
            </w:r>
            <w:r>
              <w:rPr>
                <w:noProof/>
                <w:webHidden/>
              </w:rPr>
              <w:fldChar w:fldCharType="begin"/>
            </w:r>
            <w:r w:rsidR="00A924DF">
              <w:rPr>
                <w:noProof/>
                <w:webHidden/>
              </w:rPr>
              <w:instrText xml:space="preserve"> PAGEREF _Toc173414341 \h </w:instrText>
            </w:r>
            <w:r>
              <w:rPr>
                <w:noProof/>
                <w:webHidden/>
              </w:rPr>
            </w:r>
            <w:r>
              <w:rPr>
                <w:noProof/>
                <w:webHidden/>
              </w:rPr>
              <w:fldChar w:fldCharType="separate"/>
            </w:r>
            <w:r w:rsidR="00A924DF">
              <w:rPr>
                <w:noProof/>
                <w:webHidden/>
              </w:rPr>
              <w:t>27</w:t>
            </w:r>
            <w:r>
              <w:rPr>
                <w:noProof/>
                <w:webHidden/>
              </w:rPr>
              <w:fldChar w:fldCharType="end"/>
            </w:r>
          </w:hyperlink>
        </w:p>
        <w:p w:rsidR="00444459" w:rsidRPr="00444459" w:rsidRDefault="007A788D" w:rsidP="00444459">
          <w:pPr>
            <w:rPr>
              <w:lang w:val="en-GB"/>
            </w:rPr>
          </w:pPr>
          <w:r w:rsidRPr="00444459">
            <w:rPr>
              <w:b/>
              <w:bCs/>
              <w:noProof/>
              <w:lang w:val="en-GB"/>
            </w:rPr>
            <w:fldChar w:fldCharType="end"/>
          </w:r>
        </w:p>
      </w:sdtContent>
    </w:sdt>
    <w:p w:rsidR="00CE2ACC" w:rsidRPr="00444459" w:rsidRDefault="002A2FDB" w:rsidP="00444459">
      <w:pPr>
        <w:pStyle w:val="Normal1"/>
        <w:jc w:val="left"/>
        <w:rPr>
          <w:lang w:val="en-GB"/>
        </w:rPr>
      </w:pPr>
      <w:r w:rsidRPr="00444459">
        <w:rPr>
          <w:lang w:val="en-GB"/>
        </w:rPr>
        <w:br w:type="page"/>
      </w:r>
    </w:p>
    <w:p w:rsidR="00CE2ACC" w:rsidRPr="00444459" w:rsidRDefault="002A2FDB" w:rsidP="00444459">
      <w:pPr>
        <w:pStyle w:val="Heading1"/>
        <w:rPr>
          <w:lang w:val="en-GB"/>
        </w:rPr>
      </w:pPr>
      <w:bookmarkStart w:id="14" w:name="_4tvgviqun65e" w:colFirst="0" w:colLast="0"/>
      <w:bookmarkStart w:id="15" w:name="_Toc173414316"/>
      <w:bookmarkEnd w:id="14"/>
      <w:r w:rsidRPr="00444459">
        <w:rPr>
          <w:lang w:val="en-GB"/>
        </w:rPr>
        <w:lastRenderedPageBreak/>
        <w:t>Part (A): Introduction</w:t>
      </w:r>
      <w:bookmarkEnd w:id="15"/>
    </w:p>
    <w:p w:rsidR="00CE2ACC" w:rsidRPr="00444459" w:rsidRDefault="002A2FDB" w:rsidP="00444459">
      <w:pPr>
        <w:pStyle w:val="Heading2"/>
        <w:rPr>
          <w:lang w:val="en-GB"/>
        </w:rPr>
      </w:pPr>
      <w:bookmarkStart w:id="16" w:name="_8h95dfhqltfw" w:colFirst="0" w:colLast="0"/>
      <w:bookmarkStart w:id="17" w:name="_Toc173414317"/>
      <w:bookmarkEnd w:id="16"/>
      <w:r w:rsidRPr="00444459">
        <w:rPr>
          <w:lang w:val="en-GB"/>
        </w:rPr>
        <w:t>History</w:t>
      </w:r>
      <w:bookmarkEnd w:id="17"/>
    </w:p>
    <w:p w:rsidR="00CE2ACC" w:rsidRPr="00444459" w:rsidRDefault="002A2FDB" w:rsidP="00444459">
      <w:pPr>
        <w:pStyle w:val="Normal1"/>
        <w:rPr>
          <w:lang w:val="en-GB"/>
        </w:rPr>
      </w:pPr>
      <w:r w:rsidRPr="00444459">
        <w:rPr>
          <w:lang w:val="en-GB"/>
        </w:rPr>
        <w:t xml:space="preserve">The British supermarket company J Sainsbury plc, often referred to as Sainsbury's, is the second-biggest in </w:t>
      </w:r>
      <w:r w:rsidRPr="00444459">
        <w:rPr>
          <w:lang w:val="en-GB"/>
        </w:rPr>
        <w:t>the United Kingdom. John James Sainsbury founded the firm in 1869, and throughout most of the 20th century, it remained the biggest grocery store in the UK. Quality impeccable, reduced pricing was the company's guiding principle. J. Sainsbury Limited was e</w:t>
      </w:r>
      <w:r w:rsidRPr="00444459">
        <w:rPr>
          <w:lang w:val="en-GB"/>
        </w:rPr>
        <w:t>stablished as a corporation in 1922. John James bought a grocery store branch in Dalston in 1903, which marked the introduction of groceries. With its central location, the enterprise was able to enjoy milder summers and bigger displays. Alan and Sir Rober</w:t>
      </w:r>
      <w:r w:rsidRPr="00444459">
        <w:rPr>
          <w:lang w:val="en-GB"/>
        </w:rPr>
        <w:t>t Sainsbury, the founder's grandsons, took on the role of joint managing directors in 1938 (Sainsbury, 2023).</w:t>
      </w:r>
    </w:p>
    <w:p w:rsidR="00CE2ACC" w:rsidRPr="00444459" w:rsidRDefault="002A2FDB" w:rsidP="00444459">
      <w:pPr>
        <w:pStyle w:val="Heading2"/>
        <w:rPr>
          <w:lang w:val="en-GB"/>
        </w:rPr>
      </w:pPr>
      <w:bookmarkStart w:id="18" w:name="_r89d53thv9nk" w:colFirst="0" w:colLast="0"/>
      <w:bookmarkStart w:id="19" w:name="_Toc173414318"/>
      <w:bookmarkEnd w:id="18"/>
      <w:r w:rsidRPr="00444459">
        <w:rPr>
          <w:lang w:val="en-GB"/>
        </w:rPr>
        <w:t>Market Places and Competitors</w:t>
      </w:r>
      <w:bookmarkEnd w:id="19"/>
    </w:p>
    <w:p w:rsidR="00CE2ACC" w:rsidRPr="00444459" w:rsidRDefault="002A2FDB" w:rsidP="00444459">
      <w:pPr>
        <w:pStyle w:val="Normal1"/>
        <w:rPr>
          <w:lang w:val="en-GB"/>
        </w:rPr>
      </w:pPr>
      <w:r w:rsidRPr="00444459">
        <w:rPr>
          <w:lang w:val="en-GB"/>
        </w:rPr>
        <w:t>The firm has thirteen regional distribution locations and began e-commerce home delivery operations in 1995. Sainsbu</w:t>
      </w:r>
      <w:r w:rsidRPr="00444459">
        <w:rPr>
          <w:lang w:val="en-GB"/>
        </w:rPr>
        <w:t>ry's has increased its offering of convenience products and opened many additional locations to increase its retail footprint in the UK. Situated at Crayford, South East London, the biggest supermarket in the nation has more than 100,000 square feet of ret</w:t>
      </w:r>
      <w:r w:rsidRPr="00444459">
        <w:rPr>
          <w:lang w:val="en-GB"/>
        </w:rPr>
        <w:t>ail area. Convenience kiosks, manned and self-service checkout lanes, a bakery, a pizza counter, a café, Tu apparel, general items, an Argos and gas station on-site, and an online picking department are all provided by the business. Concessions include Ben</w:t>
      </w:r>
      <w:r w:rsidRPr="00444459">
        <w:rPr>
          <w:lang w:val="en-GB"/>
        </w:rPr>
        <w:t xml:space="preserve"> &amp; Jerry's and Carte D'or ice cream kiosks, travel agencies, Jessops, Patisserie Valerie, Specsavers, Zizzi pizza counters, Sushi Gourmet counters, and The Fragrance Shop. Sainsbury's Online provides financial services, books, and electronics as well as on</w:t>
      </w:r>
      <w:r w:rsidRPr="00444459">
        <w:rPr>
          <w:lang w:val="en-GB"/>
        </w:rPr>
        <w:t>line shopping (GlobalData, 2021). The primary competitors of Sainsbury's include Next plc, Tesco, Morrison, Asda, and Ocado Group (Xiao, Chen and Yu, 2021).</w:t>
      </w:r>
    </w:p>
    <w:p w:rsidR="00CE2ACC" w:rsidRPr="00444459" w:rsidRDefault="002A2FDB" w:rsidP="00444459">
      <w:pPr>
        <w:pStyle w:val="Heading2"/>
        <w:rPr>
          <w:lang w:val="en-GB"/>
        </w:rPr>
      </w:pPr>
      <w:bookmarkStart w:id="20" w:name="_mufidj3yaead" w:colFirst="0" w:colLast="0"/>
      <w:bookmarkStart w:id="21" w:name="_Toc173414319"/>
      <w:bookmarkEnd w:id="20"/>
      <w:r w:rsidRPr="00444459">
        <w:rPr>
          <w:lang w:val="en-GB"/>
        </w:rPr>
        <w:t>Profit</w:t>
      </w:r>
      <w:bookmarkEnd w:id="21"/>
    </w:p>
    <w:p w:rsidR="00CE2ACC" w:rsidRPr="00444459" w:rsidRDefault="002A2FDB" w:rsidP="00444459">
      <w:pPr>
        <w:pStyle w:val="Normal1"/>
        <w:rPr>
          <w:lang w:val="en-GB"/>
        </w:rPr>
      </w:pPr>
      <w:r w:rsidRPr="00444459">
        <w:rPr>
          <w:lang w:val="en-GB"/>
        </w:rPr>
        <w:t>The profitability of the company has decreased in the past five financial years. The key pro</w:t>
      </w:r>
      <w:r w:rsidRPr="00444459">
        <w:rPr>
          <w:lang w:val="en-GB"/>
        </w:rPr>
        <w:t xml:space="preserve">spectus that can be noted behind this is the decrease in the revenue trend of the organisation from 2019 to 2023. As the revenue of Sainsbury has decreased from 2019 to 2023, there has been a broader impact on the profit margin of the business as a whole. </w:t>
      </w:r>
    </w:p>
    <w:p w:rsidR="00CE2ACC" w:rsidRPr="00444459" w:rsidRDefault="002A2FDB" w:rsidP="00444459">
      <w:pPr>
        <w:pStyle w:val="Heading2"/>
        <w:rPr>
          <w:lang w:val="en-GB"/>
        </w:rPr>
      </w:pPr>
      <w:bookmarkStart w:id="22" w:name="_8t5l6n1dxxk7" w:colFirst="0" w:colLast="0"/>
      <w:bookmarkStart w:id="23" w:name="_Toc173414320"/>
      <w:bookmarkEnd w:id="22"/>
      <w:r w:rsidRPr="00444459">
        <w:rPr>
          <w:lang w:val="en-GB"/>
        </w:rPr>
        <w:lastRenderedPageBreak/>
        <w:t>Recent Events</w:t>
      </w:r>
      <w:bookmarkEnd w:id="23"/>
    </w:p>
    <w:p w:rsidR="00CE2ACC" w:rsidRPr="00444459" w:rsidRDefault="002A2FDB" w:rsidP="00444459">
      <w:pPr>
        <w:pStyle w:val="Normal1"/>
        <w:rPr>
          <w:lang w:val="en-GB"/>
        </w:rPr>
      </w:pPr>
      <w:r w:rsidRPr="00444459">
        <w:rPr>
          <w:lang w:val="en-GB"/>
        </w:rPr>
        <w:t>The recent prospectus of Sainsbury consists of the implementation of sustainable reform within their core business operations (</w:t>
      </w:r>
      <w:r w:rsidRPr="00444459">
        <w:rPr>
          <w:color w:val="222222"/>
          <w:highlight w:val="white"/>
          <w:lang w:val="en-GB"/>
        </w:rPr>
        <w:t>Sainsbury’s, 2024</w:t>
      </w:r>
      <w:r w:rsidRPr="00444459">
        <w:rPr>
          <w:lang w:val="en-GB"/>
        </w:rPr>
        <w:t xml:space="preserve">). In order to tackle the changing climate the organisation is having a major focus on promoting </w:t>
      </w:r>
      <w:r w:rsidRPr="00444459">
        <w:rPr>
          <w:lang w:val="en-GB"/>
        </w:rPr>
        <w:t xml:space="preserve">sustainable agricultural practices. </w:t>
      </w:r>
    </w:p>
    <w:p w:rsidR="00CE2ACC" w:rsidRPr="00444459" w:rsidRDefault="002A2FDB" w:rsidP="00444459">
      <w:pPr>
        <w:pStyle w:val="Heading1"/>
        <w:rPr>
          <w:lang w:val="en-GB"/>
        </w:rPr>
      </w:pPr>
      <w:bookmarkStart w:id="24" w:name="_vqhxjdgiawjd" w:colFirst="0" w:colLast="0"/>
      <w:bookmarkStart w:id="25" w:name="_Toc173414321"/>
      <w:bookmarkEnd w:id="24"/>
      <w:r w:rsidRPr="00444459">
        <w:rPr>
          <w:lang w:val="en-GB"/>
        </w:rPr>
        <w:t>Part (B): Financial performance review</w:t>
      </w:r>
      <w:bookmarkEnd w:id="25"/>
    </w:p>
    <w:p w:rsidR="00CE2ACC" w:rsidRPr="00444459" w:rsidRDefault="002A2FDB" w:rsidP="00444459">
      <w:pPr>
        <w:pStyle w:val="Heading2"/>
        <w:rPr>
          <w:lang w:val="en-GB"/>
        </w:rPr>
      </w:pPr>
      <w:bookmarkStart w:id="26" w:name="_87efklahmliw" w:colFirst="0" w:colLast="0"/>
      <w:bookmarkStart w:id="27" w:name="_Toc173414322"/>
      <w:bookmarkEnd w:id="26"/>
      <w:r w:rsidRPr="00444459">
        <w:rPr>
          <w:lang w:val="en-GB"/>
        </w:rPr>
        <w:t>Calculation of the financial ratios</w:t>
      </w:r>
      <w:bookmarkEnd w:id="27"/>
    </w:p>
    <w:p w:rsidR="00CE2ACC" w:rsidRPr="00444459" w:rsidRDefault="002A2FDB" w:rsidP="00444459">
      <w:pPr>
        <w:pStyle w:val="Heading3"/>
        <w:rPr>
          <w:lang w:val="en-GB"/>
        </w:rPr>
      </w:pPr>
      <w:bookmarkStart w:id="28" w:name="_ilcyph5adefr" w:colFirst="0" w:colLast="0"/>
      <w:bookmarkStart w:id="29" w:name="_Toc173414323"/>
      <w:bookmarkEnd w:id="28"/>
      <w:r w:rsidRPr="00444459">
        <w:rPr>
          <w:lang w:val="en-GB"/>
        </w:rPr>
        <w:t>Profitability Ratios</w:t>
      </w:r>
      <w:bookmarkEnd w:id="29"/>
    </w:p>
    <w:tbl>
      <w:tblPr>
        <w:tblStyle w:val="Table1"/>
        <w:tblW w:w="9360" w:type="dxa"/>
        <w:jc w:val="center"/>
        <w:tblInd w:w="0" w:type="dxa"/>
        <w:tblBorders>
          <w:top w:val="nil"/>
          <w:left w:val="nil"/>
          <w:bottom w:val="nil"/>
          <w:right w:val="nil"/>
          <w:insideH w:val="nil"/>
          <w:insideV w:val="nil"/>
        </w:tblBorders>
        <w:tblLayout w:type="fixed"/>
        <w:tblLook w:val="0600"/>
      </w:tblPr>
      <w:tblGrid>
        <w:gridCol w:w="2842"/>
        <w:gridCol w:w="1399"/>
        <w:gridCol w:w="1353"/>
        <w:gridCol w:w="1291"/>
        <w:gridCol w:w="1246"/>
        <w:gridCol w:w="1229"/>
      </w:tblGrid>
      <w:tr w:rsidR="00CE2ACC" w:rsidRPr="00444459">
        <w:trPr>
          <w:trHeight w:val="390"/>
          <w:jc w:val="center"/>
        </w:trPr>
        <w:tc>
          <w:tcPr>
            <w:tcW w:w="9357" w:type="dxa"/>
            <w:gridSpan w:val="6"/>
            <w:tcBorders>
              <w:top w:val="single" w:sz="17" w:space="0" w:color="000000"/>
              <w:left w:val="single" w:sz="17" w:space="0" w:color="000000"/>
              <w:bottom w:val="single" w:sz="17" w:space="0" w:color="000000"/>
              <w:right w:val="single" w:sz="17" w:space="0" w:color="000000"/>
            </w:tcBorders>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i/>
                <w:lang w:val="en-GB"/>
              </w:rPr>
              <w:t>Profitability Ratios</w:t>
            </w:r>
          </w:p>
        </w:tc>
      </w:tr>
      <w:tr w:rsidR="00CE2ACC" w:rsidRPr="00444459">
        <w:trPr>
          <w:trHeight w:val="675"/>
          <w:jc w:val="center"/>
        </w:trPr>
        <w:tc>
          <w:tcPr>
            <w:tcW w:w="2840" w:type="dxa"/>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2019</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2020</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2021</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2022</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2023</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r>
      <w:tr w:rsidR="00CE2ACC" w:rsidRPr="00444459">
        <w:trPr>
          <w:trHeight w:val="660"/>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Operating</w:t>
            </w:r>
            <w:r w:rsidRPr="00444459">
              <w:rPr>
                <w:lang w:val="en-GB"/>
              </w:rPr>
              <w:t xml:space="preserve"> Profit %</w:t>
            </w:r>
          </w:p>
          <w:p w:rsidR="00CE2ACC" w:rsidRPr="00444459" w:rsidRDefault="002A2FDB" w:rsidP="00444459">
            <w:pPr>
              <w:pStyle w:val="Normal1"/>
              <w:widowControl w:val="0"/>
              <w:jc w:val="left"/>
              <w:rPr>
                <w:lang w:val="en-GB"/>
              </w:rPr>
            </w:pPr>
            <w:r w:rsidRPr="00444459">
              <w:rPr>
                <w:lang w:val="en-GB"/>
              </w:rPr>
              <w:t>(Operating Profit / Revenue) * 100</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(312/ 29007) * 100</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(650/ 28993) *100</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 xml:space="preserve">(60/ </w:t>
            </w:r>
            <w:r w:rsidR="00444459" w:rsidRPr="00444459">
              <w:rPr>
                <w:lang w:val="en-GB"/>
              </w:rPr>
              <w:t>29048) *</w:t>
            </w:r>
            <w:r w:rsidRPr="00444459">
              <w:rPr>
                <w:lang w:val="en-GB"/>
              </w:rPr>
              <w:t xml:space="preserve"> 100</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 xml:space="preserve">(562/ </w:t>
            </w:r>
            <w:r w:rsidR="00444459" w:rsidRPr="00444459">
              <w:rPr>
                <w:lang w:val="en-GB"/>
              </w:rPr>
              <w:t>31491) *</w:t>
            </w:r>
            <w:r w:rsidRPr="00444459">
              <w:rPr>
                <w:lang w:val="en-GB"/>
              </w:rPr>
              <w:t xml:space="preserve"> 100</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(1156/ 29895) * 100</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1.08%</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2.24%</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0.21%</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1.78%</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3.87%</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Net Profit %</w:t>
            </w:r>
          </w:p>
          <w:p w:rsidR="00CE2ACC" w:rsidRPr="00444459" w:rsidRDefault="002A2FDB" w:rsidP="00444459">
            <w:pPr>
              <w:pStyle w:val="Normal1"/>
              <w:widowControl w:val="0"/>
              <w:jc w:val="left"/>
              <w:rPr>
                <w:lang w:val="en-GB"/>
              </w:rPr>
            </w:pPr>
            <w:r w:rsidRPr="00444459">
              <w:rPr>
                <w:lang w:val="en-GB"/>
              </w:rPr>
              <w:t>(Net Profit / Revenue) * 100</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(219/ 29007) * 100</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(152/ 28993) *100</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 xml:space="preserve">(280/ </w:t>
            </w:r>
            <w:r w:rsidR="00444459" w:rsidRPr="00444459">
              <w:rPr>
                <w:lang w:val="en-GB"/>
              </w:rPr>
              <w:t>29048) *</w:t>
            </w:r>
            <w:r w:rsidRPr="00444459">
              <w:rPr>
                <w:lang w:val="en-GB"/>
              </w:rPr>
              <w:t xml:space="preserve"> 100</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 xml:space="preserve">(677/ </w:t>
            </w:r>
            <w:r w:rsidR="00444459" w:rsidRPr="00444459">
              <w:rPr>
                <w:lang w:val="en-GB"/>
              </w:rPr>
              <w:t>31491) *</w:t>
            </w:r>
            <w:r w:rsidRPr="00444459">
              <w:rPr>
                <w:lang w:val="en-GB"/>
              </w:rPr>
              <w:t xml:space="preserve"> 100</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(207/ 29895) * 100</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0.75%</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0.52%</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0.96%</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2.15%</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0.69%</w:t>
            </w:r>
          </w:p>
        </w:tc>
      </w:tr>
    </w:tbl>
    <w:p w:rsidR="00CE2ACC" w:rsidRPr="00444459" w:rsidRDefault="002A2FDB" w:rsidP="00444459">
      <w:pPr>
        <w:pStyle w:val="Normal1"/>
        <w:jc w:val="center"/>
        <w:rPr>
          <w:b/>
          <w:lang w:val="en-GB"/>
        </w:rPr>
      </w:pPr>
      <w:r w:rsidRPr="00444459">
        <w:rPr>
          <w:b/>
          <w:lang w:val="en-GB"/>
        </w:rPr>
        <w:t>Table 1: Profitability Ratios</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Heading3"/>
        <w:rPr>
          <w:lang w:val="en-GB"/>
        </w:rPr>
      </w:pPr>
      <w:bookmarkStart w:id="30" w:name="_aibwv98ijksv" w:colFirst="0" w:colLast="0"/>
      <w:bookmarkStart w:id="31" w:name="_Toc173414324"/>
      <w:bookmarkEnd w:id="30"/>
      <w:r w:rsidRPr="00444459">
        <w:rPr>
          <w:lang w:val="en-GB"/>
        </w:rPr>
        <w:t>Liquidity Ratios</w:t>
      </w:r>
      <w:bookmarkEnd w:id="31"/>
    </w:p>
    <w:tbl>
      <w:tblPr>
        <w:tblStyle w:val="Table2"/>
        <w:tblW w:w="9360" w:type="dxa"/>
        <w:jc w:val="center"/>
        <w:tblInd w:w="0" w:type="dxa"/>
        <w:tblBorders>
          <w:top w:val="nil"/>
          <w:left w:val="nil"/>
          <w:bottom w:val="nil"/>
          <w:right w:val="nil"/>
          <w:insideH w:val="nil"/>
          <w:insideV w:val="nil"/>
        </w:tblBorders>
        <w:tblLayout w:type="fixed"/>
        <w:tblLook w:val="0600"/>
      </w:tblPr>
      <w:tblGrid>
        <w:gridCol w:w="2842"/>
        <w:gridCol w:w="1399"/>
        <w:gridCol w:w="1353"/>
        <w:gridCol w:w="1291"/>
        <w:gridCol w:w="1246"/>
        <w:gridCol w:w="1229"/>
      </w:tblGrid>
      <w:tr w:rsidR="00CE2ACC" w:rsidRPr="00444459">
        <w:trPr>
          <w:trHeight w:val="390"/>
          <w:jc w:val="center"/>
        </w:trPr>
        <w:tc>
          <w:tcPr>
            <w:tcW w:w="9357" w:type="dxa"/>
            <w:gridSpan w:val="6"/>
            <w:tcBorders>
              <w:top w:val="single" w:sz="17" w:space="0" w:color="000000"/>
              <w:left w:val="single" w:sz="17" w:space="0" w:color="000000"/>
              <w:bottom w:val="single" w:sz="17" w:space="0" w:color="000000"/>
              <w:right w:val="single" w:sz="17" w:space="0" w:color="000000"/>
            </w:tcBorders>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i/>
                <w:lang w:val="en-GB"/>
              </w:rPr>
              <w:t>Liquidity Ratios</w:t>
            </w:r>
          </w:p>
        </w:tc>
      </w:tr>
      <w:tr w:rsidR="00CE2ACC" w:rsidRPr="00444459">
        <w:trPr>
          <w:trHeight w:val="675"/>
          <w:jc w:val="center"/>
        </w:trPr>
        <w:tc>
          <w:tcPr>
            <w:tcW w:w="2840" w:type="dxa"/>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2019</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2020</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2021</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2022</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2023</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b/>
                <w:lang w:val="en-GB"/>
              </w:rPr>
            </w:pPr>
            <w:r w:rsidRPr="00444459">
              <w:rPr>
                <w:b/>
                <w:lang w:val="en-GB"/>
              </w:rPr>
              <w:t>Current Ratio</w:t>
            </w:r>
          </w:p>
          <w:p w:rsidR="00CE2ACC" w:rsidRPr="00444459" w:rsidRDefault="002A2FDB" w:rsidP="00444459">
            <w:pPr>
              <w:pStyle w:val="Normal1"/>
              <w:widowControl w:val="0"/>
              <w:jc w:val="left"/>
              <w:rPr>
                <w:lang w:val="en-GB"/>
              </w:rPr>
            </w:pPr>
            <w:r w:rsidRPr="00444459">
              <w:rPr>
                <w:lang w:val="en-GB"/>
              </w:rPr>
              <w:t xml:space="preserve">(Current Assets/ Current </w:t>
            </w:r>
            <w:r w:rsidRPr="00444459">
              <w:rPr>
                <w:lang w:val="en-GB"/>
              </w:rPr>
              <w:lastRenderedPageBreak/>
              <w:t>Liabilities)</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lastRenderedPageBreak/>
              <w:t>(7581/ 11417)</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(7582/ 12047)</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(7049/ 11717)</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(6742/ 9868)</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(7893/ 11614)</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0.66</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0.63</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0.60</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0.68</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0.68</w:t>
            </w:r>
          </w:p>
        </w:tc>
      </w:tr>
      <w:tr w:rsidR="00CE2ACC" w:rsidRPr="00444459">
        <w:trPr>
          <w:trHeight w:val="660"/>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lastRenderedPageBreak/>
              <w:t>Acid-Test Ratio</w:t>
            </w:r>
          </w:p>
          <w:p w:rsidR="00CE2ACC" w:rsidRPr="00444459" w:rsidRDefault="002A2FDB" w:rsidP="00444459">
            <w:pPr>
              <w:pStyle w:val="Normal1"/>
              <w:widowControl w:val="0"/>
              <w:jc w:val="left"/>
              <w:rPr>
                <w:lang w:val="en-GB"/>
              </w:rPr>
            </w:pPr>
            <w:r w:rsidRPr="00444459">
              <w:rPr>
                <w:lang w:val="en-GB"/>
              </w:rPr>
              <w:t>(Current Assets- Liabilities) / Current Liabilities</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(7581- 1929)/ 11417</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(7582- 1732)/ 12047</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(7049-1625) / 11717</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(6742 - 1797)/ 9868</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(7893- 1899)/ 11614</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0.50</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0.49</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0.46</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0.50</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0.52</w:t>
            </w:r>
          </w:p>
        </w:tc>
      </w:tr>
    </w:tbl>
    <w:p w:rsidR="00CE2ACC" w:rsidRPr="00444459" w:rsidRDefault="002A2FDB" w:rsidP="00444459">
      <w:pPr>
        <w:pStyle w:val="Normal1"/>
        <w:jc w:val="center"/>
        <w:rPr>
          <w:b/>
          <w:lang w:val="en-GB"/>
        </w:rPr>
      </w:pPr>
      <w:r w:rsidRPr="00444459">
        <w:rPr>
          <w:b/>
          <w:lang w:val="en-GB"/>
        </w:rPr>
        <w:t>Table 2: Liquidity Ratios</w:t>
      </w:r>
    </w:p>
    <w:p w:rsidR="00CE2ACC" w:rsidRPr="00444459" w:rsidRDefault="002A2FDB" w:rsidP="00444459">
      <w:pPr>
        <w:pStyle w:val="Normal1"/>
        <w:jc w:val="center"/>
        <w:rPr>
          <w:b/>
          <w:i/>
          <w:u w:val="single"/>
          <w:lang w:val="en-GB"/>
        </w:rPr>
      </w:pPr>
      <w:r w:rsidRPr="00444459">
        <w:rPr>
          <w:lang w:val="en-GB"/>
        </w:rPr>
        <w:t>(Source: Calculated by self)</w:t>
      </w:r>
    </w:p>
    <w:p w:rsidR="00CE2ACC" w:rsidRPr="00444459" w:rsidRDefault="002A2FDB" w:rsidP="00444459">
      <w:pPr>
        <w:pStyle w:val="Heading3"/>
        <w:rPr>
          <w:lang w:val="en-GB"/>
        </w:rPr>
      </w:pPr>
      <w:bookmarkStart w:id="32" w:name="_mv1qzgpv0vpw" w:colFirst="0" w:colLast="0"/>
      <w:bookmarkStart w:id="33" w:name="_Toc173414325"/>
      <w:bookmarkEnd w:id="32"/>
      <w:r w:rsidRPr="00444459">
        <w:rPr>
          <w:lang w:val="en-GB"/>
        </w:rPr>
        <w:t>Efficiency Ratios</w:t>
      </w:r>
      <w:bookmarkEnd w:id="33"/>
    </w:p>
    <w:tbl>
      <w:tblPr>
        <w:tblStyle w:val="Table3"/>
        <w:tblW w:w="9360" w:type="dxa"/>
        <w:jc w:val="center"/>
        <w:tblInd w:w="0" w:type="dxa"/>
        <w:tblBorders>
          <w:top w:val="nil"/>
          <w:left w:val="nil"/>
          <w:bottom w:val="nil"/>
          <w:right w:val="nil"/>
          <w:insideH w:val="nil"/>
          <w:insideV w:val="nil"/>
        </w:tblBorders>
        <w:tblLayout w:type="fixed"/>
        <w:tblLook w:val="0600"/>
      </w:tblPr>
      <w:tblGrid>
        <w:gridCol w:w="2842"/>
        <w:gridCol w:w="1399"/>
        <w:gridCol w:w="1353"/>
        <w:gridCol w:w="1291"/>
        <w:gridCol w:w="1246"/>
        <w:gridCol w:w="1229"/>
      </w:tblGrid>
      <w:tr w:rsidR="00CE2ACC" w:rsidRPr="00444459">
        <w:trPr>
          <w:trHeight w:val="390"/>
          <w:jc w:val="center"/>
        </w:trPr>
        <w:tc>
          <w:tcPr>
            <w:tcW w:w="9357" w:type="dxa"/>
            <w:gridSpan w:val="6"/>
            <w:tcBorders>
              <w:top w:val="single" w:sz="17" w:space="0" w:color="000000"/>
              <w:left w:val="single" w:sz="17" w:space="0" w:color="000000"/>
              <w:bottom w:val="single" w:sz="17" w:space="0" w:color="000000"/>
              <w:right w:val="single" w:sz="17" w:space="0" w:color="000000"/>
            </w:tcBorders>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i/>
                <w:lang w:val="en-GB"/>
              </w:rPr>
              <w:t>Efficiency Ratios</w:t>
            </w:r>
          </w:p>
        </w:tc>
      </w:tr>
      <w:tr w:rsidR="00CE2ACC" w:rsidRPr="00444459">
        <w:trPr>
          <w:trHeight w:val="675"/>
          <w:jc w:val="center"/>
        </w:trPr>
        <w:tc>
          <w:tcPr>
            <w:tcW w:w="2840" w:type="dxa"/>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2019</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2020</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2021</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2022</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2023</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Asset turnover ratio</w:t>
            </w:r>
          </w:p>
          <w:p w:rsidR="00CE2ACC" w:rsidRPr="00444459" w:rsidRDefault="002A2FDB" w:rsidP="00444459">
            <w:pPr>
              <w:pStyle w:val="Normal1"/>
              <w:widowControl w:val="0"/>
              <w:jc w:val="left"/>
              <w:rPr>
                <w:lang w:val="en-GB"/>
              </w:rPr>
            </w:pPr>
            <w:r w:rsidRPr="00444459">
              <w:rPr>
                <w:lang w:val="en-GB"/>
              </w:rPr>
              <w:t>(Net sales/ Total Assets)</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(29007/</w:t>
            </w:r>
            <w:r w:rsidR="00444459" w:rsidRPr="00444459">
              <w:rPr>
                <w:lang w:val="en-GB"/>
              </w:rPr>
              <w:t>23541)</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(28993/27937)</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(29048/</w:t>
            </w:r>
            <w:r w:rsidR="00444459" w:rsidRPr="00444459">
              <w:rPr>
                <w:lang w:val="en-GB"/>
              </w:rPr>
              <w:t>25162)</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(29895/26912)</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(31491/26158)</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1.23</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1.04</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1.15</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1.11</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1.20</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Inventory turnover ratio</w:t>
            </w:r>
          </w:p>
          <w:p w:rsidR="00CE2ACC" w:rsidRPr="00444459" w:rsidRDefault="002A2FDB" w:rsidP="00444459">
            <w:pPr>
              <w:pStyle w:val="Normal1"/>
              <w:widowControl w:val="0"/>
              <w:jc w:val="left"/>
              <w:rPr>
                <w:lang w:val="en-GB"/>
              </w:rPr>
            </w:pPr>
            <w:r w:rsidRPr="00444459">
              <w:rPr>
                <w:lang w:val="en-GB"/>
              </w:rPr>
              <w:t>(COGS/ Inventories)</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(27000/1929)</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(26977/1732)</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(27283/1625)</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(29895/1797)</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(31491 /1899)</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14.00</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15.58</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16.79</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16.64</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16.58</w:t>
            </w:r>
          </w:p>
        </w:tc>
      </w:tr>
    </w:tbl>
    <w:p w:rsidR="00CE2ACC" w:rsidRPr="00444459" w:rsidRDefault="002A2FDB" w:rsidP="00444459">
      <w:pPr>
        <w:pStyle w:val="Normal1"/>
        <w:jc w:val="center"/>
        <w:rPr>
          <w:b/>
          <w:lang w:val="en-GB"/>
        </w:rPr>
      </w:pPr>
      <w:r w:rsidRPr="00444459">
        <w:rPr>
          <w:b/>
          <w:lang w:val="en-GB"/>
        </w:rPr>
        <w:t>Table 3: Efficiency Ratios</w:t>
      </w:r>
    </w:p>
    <w:p w:rsidR="00CE2ACC" w:rsidRPr="00444459" w:rsidRDefault="002A2FDB" w:rsidP="00353669">
      <w:pPr>
        <w:jc w:val="center"/>
        <w:rPr>
          <w:lang w:val="en-GB"/>
        </w:rPr>
      </w:pPr>
      <w:bookmarkStart w:id="34" w:name="_4p0u7q26yhnk" w:colFirst="0" w:colLast="0"/>
      <w:bookmarkEnd w:id="34"/>
      <w:r w:rsidRPr="00444459">
        <w:rPr>
          <w:lang w:val="en-GB"/>
        </w:rPr>
        <w:t>(Source: Calculated by self)</w:t>
      </w:r>
    </w:p>
    <w:p w:rsidR="00CE2ACC" w:rsidRPr="00444459" w:rsidRDefault="002A2FDB" w:rsidP="00444459">
      <w:pPr>
        <w:pStyle w:val="Heading3"/>
        <w:jc w:val="left"/>
        <w:rPr>
          <w:lang w:val="en-GB"/>
        </w:rPr>
      </w:pPr>
      <w:bookmarkStart w:id="35" w:name="_8yil3r4qx58u" w:colFirst="0" w:colLast="0"/>
      <w:bookmarkStart w:id="36" w:name="_Toc173414326"/>
      <w:bookmarkEnd w:id="35"/>
      <w:r w:rsidRPr="00444459">
        <w:rPr>
          <w:lang w:val="en-GB"/>
        </w:rPr>
        <w:t>Solvency Ratios</w:t>
      </w:r>
      <w:bookmarkEnd w:id="36"/>
    </w:p>
    <w:tbl>
      <w:tblPr>
        <w:tblStyle w:val="Table4"/>
        <w:tblW w:w="9360" w:type="dxa"/>
        <w:jc w:val="center"/>
        <w:tblInd w:w="0" w:type="dxa"/>
        <w:tblBorders>
          <w:top w:val="nil"/>
          <w:left w:val="nil"/>
          <w:bottom w:val="nil"/>
          <w:right w:val="nil"/>
          <w:insideH w:val="nil"/>
          <w:insideV w:val="nil"/>
        </w:tblBorders>
        <w:tblLayout w:type="fixed"/>
        <w:tblLook w:val="0600"/>
      </w:tblPr>
      <w:tblGrid>
        <w:gridCol w:w="2842"/>
        <w:gridCol w:w="1399"/>
        <w:gridCol w:w="1353"/>
        <w:gridCol w:w="1291"/>
        <w:gridCol w:w="1246"/>
        <w:gridCol w:w="1229"/>
      </w:tblGrid>
      <w:tr w:rsidR="00CE2ACC" w:rsidRPr="00444459">
        <w:trPr>
          <w:trHeight w:val="390"/>
          <w:jc w:val="center"/>
        </w:trPr>
        <w:tc>
          <w:tcPr>
            <w:tcW w:w="9357" w:type="dxa"/>
            <w:gridSpan w:val="6"/>
            <w:tcBorders>
              <w:top w:val="single" w:sz="17" w:space="0" w:color="000000"/>
              <w:left w:val="single" w:sz="17" w:space="0" w:color="000000"/>
              <w:bottom w:val="single" w:sz="17" w:space="0" w:color="000000"/>
              <w:right w:val="single" w:sz="17" w:space="0" w:color="000000"/>
            </w:tcBorders>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i/>
                <w:lang w:val="en-GB"/>
              </w:rPr>
              <w:t>Solvency Ratios</w:t>
            </w:r>
          </w:p>
        </w:tc>
      </w:tr>
      <w:tr w:rsidR="00CE2ACC" w:rsidRPr="00444459">
        <w:trPr>
          <w:trHeight w:val="675"/>
          <w:jc w:val="center"/>
        </w:trPr>
        <w:tc>
          <w:tcPr>
            <w:tcW w:w="2840" w:type="dxa"/>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2019</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2020</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2021</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2022</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2023</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Amount in £m</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D/E</w:t>
            </w:r>
          </w:p>
          <w:p w:rsidR="00CE2ACC" w:rsidRPr="00444459" w:rsidRDefault="002A2FDB" w:rsidP="00444459">
            <w:pPr>
              <w:pStyle w:val="Normal1"/>
              <w:widowControl w:val="0"/>
              <w:jc w:val="left"/>
              <w:rPr>
                <w:lang w:val="en-GB"/>
              </w:rPr>
            </w:pPr>
            <w:r w:rsidRPr="00444459">
              <w:rPr>
                <w:lang w:val="en-GB"/>
              </w:rPr>
              <w:t>(Total Debt/ Total Equity)</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(11417 + 3668)/ 8456)</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(20164/ 7773)</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(18558/6604)</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(18905/7253)</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(18489/8423)</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1.78</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2.59</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2.81</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2.61</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2.20</w:t>
            </w:r>
          </w:p>
        </w:tc>
      </w:tr>
      <w:tr w:rsidR="00CE2ACC" w:rsidRPr="00444459">
        <w:trPr>
          <w:trHeight w:val="375"/>
          <w:jc w:val="center"/>
        </w:trPr>
        <w:tc>
          <w:tcPr>
            <w:tcW w:w="2840" w:type="dxa"/>
            <w:vMerge w:val="restart"/>
            <w:tcBorders>
              <w:top w:val="single" w:sz="4" w:space="0" w:color="CCCCCC"/>
              <w:left w:val="single" w:sz="17" w:space="0" w:color="000000"/>
              <w:bottom w:val="single" w:sz="17" w:space="0" w:color="000000"/>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lang w:val="en-GB"/>
              </w:rPr>
            </w:pPr>
            <w:r w:rsidRPr="00444459">
              <w:rPr>
                <w:lang w:val="en-GB"/>
              </w:rPr>
              <w:t>D/A</w:t>
            </w:r>
          </w:p>
          <w:p w:rsidR="00CE2ACC" w:rsidRPr="00444459" w:rsidRDefault="002A2FDB" w:rsidP="00444459">
            <w:pPr>
              <w:pStyle w:val="Normal1"/>
              <w:widowControl w:val="0"/>
              <w:jc w:val="left"/>
              <w:rPr>
                <w:lang w:val="en-GB"/>
              </w:rPr>
            </w:pPr>
            <w:r w:rsidRPr="00444459">
              <w:rPr>
                <w:lang w:val="en-GB"/>
              </w:rPr>
              <w:t>(Total Debt/Total Asset)</w:t>
            </w:r>
          </w:p>
        </w:tc>
        <w:tc>
          <w:tcPr>
            <w:tcW w:w="1398"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(11417 + 3668)/23541)</w:t>
            </w:r>
          </w:p>
        </w:tc>
        <w:tc>
          <w:tcPr>
            <w:tcW w:w="1353"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(20164/27937)</w:t>
            </w:r>
          </w:p>
        </w:tc>
        <w:tc>
          <w:tcPr>
            <w:tcW w:w="1291"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(18558/25162)</w:t>
            </w:r>
          </w:p>
        </w:tc>
        <w:tc>
          <w:tcPr>
            <w:tcW w:w="1246"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(18905/26912)</w:t>
            </w:r>
          </w:p>
        </w:tc>
        <w:tc>
          <w:tcPr>
            <w:tcW w:w="1229" w:type="dxa"/>
            <w:tcBorders>
              <w:top w:val="single" w:sz="4" w:space="0" w:color="CCCCCC"/>
              <w:left w:val="single" w:sz="4" w:space="0" w:color="CCCCCC"/>
              <w:bottom w:val="single" w:sz="4" w:space="0" w:color="CCCCCC"/>
              <w:right w:val="single" w:sz="17"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(18489/26158)</w:t>
            </w:r>
          </w:p>
        </w:tc>
      </w:tr>
      <w:tr w:rsidR="00CE2ACC" w:rsidRPr="00444459">
        <w:trPr>
          <w:trHeight w:val="375"/>
          <w:jc w:val="center"/>
        </w:trPr>
        <w:tc>
          <w:tcPr>
            <w:tcW w:w="2840" w:type="dxa"/>
            <w:vMerge/>
            <w:tcBorders>
              <w:top w:val="single" w:sz="4" w:space="0" w:color="CCCCCC"/>
              <w:left w:val="single" w:sz="17" w:space="0" w:color="000000"/>
              <w:bottom w:val="single" w:sz="17" w:space="0" w:color="000000"/>
              <w:right w:val="single" w:sz="17" w:space="0" w:color="000000"/>
            </w:tcBorders>
            <w:shd w:val="clear" w:color="auto" w:fill="auto"/>
            <w:tcMar>
              <w:top w:w="100" w:type="dxa"/>
              <w:left w:w="100" w:type="dxa"/>
              <w:bottom w:w="100" w:type="dxa"/>
              <w:right w:w="100" w:type="dxa"/>
            </w:tcMar>
          </w:tcPr>
          <w:p w:rsidR="00CE2ACC" w:rsidRPr="00444459" w:rsidRDefault="00CE2ACC" w:rsidP="00444459">
            <w:pPr>
              <w:pStyle w:val="Normal1"/>
              <w:widowControl w:val="0"/>
              <w:jc w:val="left"/>
              <w:rPr>
                <w:rFonts w:ascii="Arial" w:eastAsia="Arial" w:hAnsi="Arial" w:cs="Arial"/>
                <w:sz w:val="20"/>
                <w:szCs w:val="20"/>
                <w:lang w:val="en-GB"/>
              </w:rPr>
            </w:pPr>
          </w:p>
        </w:tc>
        <w:tc>
          <w:tcPr>
            <w:tcW w:w="1398" w:type="dxa"/>
            <w:tcBorders>
              <w:top w:val="single" w:sz="4" w:space="0" w:color="CCCCCC"/>
              <w:left w:val="single" w:sz="4" w:space="0" w:color="CCCCCC"/>
              <w:bottom w:val="single" w:sz="17"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0.64</w:t>
            </w:r>
          </w:p>
        </w:tc>
        <w:tc>
          <w:tcPr>
            <w:tcW w:w="1353"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0.72</w:t>
            </w:r>
          </w:p>
        </w:tc>
        <w:tc>
          <w:tcPr>
            <w:tcW w:w="1291"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0.74</w:t>
            </w:r>
          </w:p>
        </w:tc>
        <w:tc>
          <w:tcPr>
            <w:tcW w:w="1246" w:type="dxa"/>
            <w:tcBorders>
              <w:top w:val="single" w:sz="4" w:space="0" w:color="CCCCCC"/>
              <w:left w:val="single" w:sz="4" w:space="0" w:color="CCCCCC"/>
              <w:bottom w:val="single" w:sz="17" w:space="0" w:color="000000"/>
              <w:right w:val="single" w:sz="4" w:space="0" w:color="CCCCCC"/>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0.70</w:t>
            </w:r>
          </w:p>
        </w:tc>
        <w:tc>
          <w:tcPr>
            <w:tcW w:w="1229" w:type="dxa"/>
            <w:tcBorders>
              <w:top w:val="single" w:sz="4" w:space="0" w:color="CCCCCC"/>
              <w:left w:val="single" w:sz="4" w:space="0" w:color="CCCCCC"/>
              <w:bottom w:val="single" w:sz="17" w:space="0" w:color="000000"/>
              <w:right w:val="single" w:sz="17" w:space="0" w:color="000000"/>
            </w:tcBorders>
            <w:shd w:val="clear" w:color="auto" w:fill="auto"/>
            <w:tcMar>
              <w:top w:w="100" w:type="dxa"/>
              <w:left w:w="100" w:type="dxa"/>
              <w:bottom w:w="100" w:type="dxa"/>
              <w:right w:w="10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0.71</w:t>
            </w:r>
          </w:p>
        </w:tc>
      </w:tr>
    </w:tbl>
    <w:p w:rsidR="00CE2ACC" w:rsidRPr="00444459" w:rsidRDefault="002A2FDB" w:rsidP="00444459">
      <w:pPr>
        <w:pStyle w:val="Normal1"/>
        <w:jc w:val="center"/>
        <w:rPr>
          <w:b/>
          <w:lang w:val="en-GB"/>
        </w:rPr>
      </w:pPr>
      <w:r w:rsidRPr="00444459">
        <w:rPr>
          <w:b/>
          <w:lang w:val="en-GB"/>
        </w:rPr>
        <w:t>Table 3: Solvency Ratios</w:t>
      </w:r>
    </w:p>
    <w:p w:rsidR="00CE2ACC" w:rsidRPr="00444459" w:rsidRDefault="002A2FDB" w:rsidP="00444459">
      <w:pPr>
        <w:pStyle w:val="Normal1"/>
        <w:jc w:val="center"/>
        <w:rPr>
          <w:b/>
          <w:i/>
          <w:u w:val="single"/>
          <w:lang w:val="en-GB"/>
        </w:rPr>
      </w:pPr>
      <w:r w:rsidRPr="00444459">
        <w:rPr>
          <w:lang w:val="en-GB"/>
        </w:rPr>
        <w:t>(Source: Calculated by self)</w:t>
      </w:r>
    </w:p>
    <w:p w:rsidR="00CE2ACC" w:rsidRPr="00444459" w:rsidRDefault="002A2FDB" w:rsidP="00444459">
      <w:pPr>
        <w:pStyle w:val="Heading2"/>
        <w:rPr>
          <w:lang w:val="en-GB"/>
        </w:rPr>
      </w:pPr>
      <w:bookmarkStart w:id="37" w:name="_hc0zk2t1skze" w:colFirst="0" w:colLast="0"/>
      <w:bookmarkStart w:id="38" w:name="_Toc173414327"/>
      <w:bookmarkEnd w:id="37"/>
      <w:r w:rsidRPr="00444459">
        <w:rPr>
          <w:lang w:val="en-GB"/>
        </w:rPr>
        <w:t>Critical evaluation of the calculated ratios</w:t>
      </w:r>
      <w:bookmarkEnd w:id="38"/>
    </w:p>
    <w:p w:rsidR="00CE2ACC" w:rsidRPr="00444459" w:rsidRDefault="002A2FDB" w:rsidP="00444459">
      <w:pPr>
        <w:pStyle w:val="Normal1"/>
        <w:rPr>
          <w:lang w:val="en-GB"/>
        </w:rPr>
      </w:pPr>
      <w:r w:rsidRPr="00444459">
        <w:rPr>
          <w:lang w:val="en-GB"/>
        </w:rPr>
        <w:t xml:space="preserve">In the field of finance, profitability ratios are considered to be one of the prominent metrics that measure the profit level that an </w:t>
      </w:r>
      <w:r w:rsidRPr="00444459">
        <w:rPr>
          <w:lang w:val="en-GB"/>
        </w:rPr>
        <w:t>organisation is able to generate from its key business operations (</w:t>
      </w:r>
      <w:r w:rsidRPr="00444459">
        <w:rPr>
          <w:color w:val="222222"/>
          <w:highlight w:val="white"/>
          <w:lang w:val="en-GB"/>
        </w:rPr>
        <w:t>Al-Busaidi, 2021</w:t>
      </w:r>
      <w:r w:rsidRPr="00444459">
        <w:rPr>
          <w:lang w:val="en-GB"/>
        </w:rPr>
        <w:t xml:space="preserve">). In the table presented above (Table 1), the relevance of the operating profit margin lies </w:t>
      </w:r>
      <w:r w:rsidR="000C2491">
        <w:rPr>
          <w:lang w:val="en-GB"/>
        </w:rPr>
        <w:t>in</w:t>
      </w:r>
      <w:r w:rsidRPr="00444459">
        <w:rPr>
          <w:lang w:val="en-GB"/>
        </w:rPr>
        <w:t xml:space="preserve"> the evaluation of the aggregate income that is generated through the operatin</w:t>
      </w:r>
      <w:r w:rsidRPr="00444459">
        <w:rPr>
          <w:lang w:val="en-GB"/>
        </w:rPr>
        <w:t>g activities of the business (</w:t>
      </w:r>
      <w:r w:rsidRPr="00444459">
        <w:rPr>
          <w:color w:val="222222"/>
          <w:highlight w:val="white"/>
          <w:lang w:val="en-GB"/>
        </w:rPr>
        <w:t>Jayathilaka, 2020</w:t>
      </w:r>
      <w:r w:rsidRPr="00444459">
        <w:rPr>
          <w:lang w:val="en-GB"/>
        </w:rPr>
        <w:t xml:space="preserve">). Based on this, it can be ascertained that the OP% of Sainsbury was standing at 1.08% in 2019 which has further reached 2.24% by the end of the very next financial year. However, again in the year 2021, the </w:t>
      </w:r>
      <w:r w:rsidRPr="00444459">
        <w:rPr>
          <w:lang w:val="en-GB"/>
        </w:rPr>
        <w:t>company noted an OP% of 0.21% and in 2022 it improved to 1.78%. Furthermore, in 2023 it can be noted that the organisation has maintained an operating margin of 3.87% as a whole. Thus, over the years a performance fluctuation mainly occurred due to the dec</w:t>
      </w:r>
      <w:r w:rsidRPr="00444459">
        <w:rPr>
          <w:lang w:val="en-GB"/>
        </w:rPr>
        <w:t xml:space="preserve">line of the revenue has occurred mainly because of the outbreak of Covid-19.  </w:t>
      </w:r>
    </w:p>
    <w:p w:rsidR="00CE2ACC" w:rsidRPr="00444459" w:rsidRDefault="002A2FDB" w:rsidP="00444459">
      <w:pPr>
        <w:pStyle w:val="Normal1"/>
        <w:rPr>
          <w:lang w:val="en-GB"/>
        </w:rPr>
      </w:pPr>
      <w:r w:rsidRPr="00444459">
        <w:rPr>
          <w:lang w:val="en-GB"/>
        </w:rPr>
        <w:t>On the other hand, the NP% of the organisation was computed to be 0.75% during the financial year of 2019 which further decreased to 0.52% by 2020. In 2021, the NP% of the compa</w:t>
      </w:r>
      <w:r w:rsidRPr="00444459">
        <w:rPr>
          <w:lang w:val="en-GB"/>
        </w:rPr>
        <w:t>ny was standing at 0.96% which has further increased to 2.15% in 2022. However, in 2023, the NP% of the company has reached 0.69%. By means of evaluating the trend of the profitability ratios, it can be noted that the organisation was having a higher level</w:t>
      </w:r>
      <w:r w:rsidRPr="00444459">
        <w:rPr>
          <w:lang w:val="en-GB"/>
        </w:rPr>
        <w:t xml:space="preserve"> of fluctuation within their margin. However, the overall profitability of the company has decreased in the past five financial years. </w:t>
      </w:r>
    </w:p>
    <w:p w:rsidR="00CE2ACC" w:rsidRPr="00444459" w:rsidRDefault="002A2FDB" w:rsidP="00444459">
      <w:pPr>
        <w:pStyle w:val="Normal1"/>
        <w:rPr>
          <w:lang w:val="en-GB"/>
        </w:rPr>
      </w:pPr>
      <w:r w:rsidRPr="00444459">
        <w:rPr>
          <w:lang w:val="en-GB"/>
        </w:rPr>
        <w:t>The key prospectus of the liquidity ratios is towards the evaluation of the efficiency of the companies in terms of mana</w:t>
      </w:r>
      <w:r w:rsidRPr="00444459">
        <w:rPr>
          <w:lang w:val="en-GB"/>
        </w:rPr>
        <w:t>ging the outstanding obligations that are outstanding (</w:t>
      </w:r>
      <w:r w:rsidR="00444459" w:rsidRPr="00444459">
        <w:rPr>
          <w:color w:val="222222"/>
          <w:highlight w:val="white"/>
          <w:lang w:val="en-GB"/>
        </w:rPr>
        <w:t>KINYANJUI, 2020</w:t>
      </w:r>
      <w:r w:rsidRPr="00444459">
        <w:rPr>
          <w:lang w:val="en-GB"/>
        </w:rPr>
        <w:t>). Having a higher level of liquidity is considered to be a positive attribute for the growth and development of any business. Based on this, two of the prominent liquidity ratios have b</w:t>
      </w:r>
      <w:r w:rsidRPr="00444459">
        <w:rPr>
          <w:lang w:val="en-GB"/>
        </w:rPr>
        <w:t xml:space="preserve">een calculated in the above-indicated table for Sainsbury against the past five financial years. Based on this, it can be noted that the current ratio of the company was computed to be 0.66 times </w:t>
      </w:r>
      <w:r w:rsidRPr="00444459">
        <w:rPr>
          <w:lang w:val="en-GB"/>
        </w:rPr>
        <w:lastRenderedPageBreak/>
        <w:t>during the financial year of 2019 which has further decrease</w:t>
      </w:r>
      <w:r w:rsidRPr="00444459">
        <w:rPr>
          <w:lang w:val="en-GB"/>
        </w:rPr>
        <w:t xml:space="preserve">d to 0.63 times towards the end of the very next financial year. The key factor that can be noted behind the decline in the current ratio is the increase in the value of </w:t>
      </w:r>
      <w:r w:rsidR="000C2491">
        <w:rPr>
          <w:lang w:val="en-GB"/>
        </w:rPr>
        <w:t xml:space="preserve">the </w:t>
      </w:r>
      <w:r w:rsidRPr="00444459">
        <w:rPr>
          <w:lang w:val="en-GB"/>
        </w:rPr>
        <w:t xml:space="preserve">current liabilities of the organisation for the year. Again, in 2021, the current ratio of the organisation has reached 0.60 times which has further increased to </w:t>
      </w:r>
      <w:r w:rsidR="000C2491" w:rsidRPr="00444459">
        <w:rPr>
          <w:lang w:val="en-GB"/>
        </w:rPr>
        <w:t>0.68 times</w:t>
      </w:r>
      <w:r w:rsidRPr="00444459">
        <w:rPr>
          <w:lang w:val="en-GB"/>
        </w:rPr>
        <w:t xml:space="preserve"> against both the financial year of 2022 and 2023. The current liabilities of the co</w:t>
      </w:r>
      <w:r w:rsidRPr="00444459">
        <w:rPr>
          <w:lang w:val="en-GB"/>
        </w:rPr>
        <w:t>mpany have decreased in these two financial years as a result of which there has been a broader increase within the liquidity level. Subsequently, the organisation is also able to manage its obligations in an adequate manner against these two financial yea</w:t>
      </w:r>
      <w:r w:rsidRPr="00444459">
        <w:rPr>
          <w:lang w:val="en-GB"/>
        </w:rPr>
        <w:t xml:space="preserve">rs through </w:t>
      </w:r>
      <w:r w:rsidR="000C2491">
        <w:rPr>
          <w:lang w:val="en-GB"/>
        </w:rPr>
        <w:t>its</w:t>
      </w:r>
      <w:r w:rsidRPr="00444459">
        <w:rPr>
          <w:lang w:val="en-GB"/>
        </w:rPr>
        <w:t xml:space="preserve"> internal resources. </w:t>
      </w:r>
    </w:p>
    <w:p w:rsidR="00CE2ACC" w:rsidRPr="00444459" w:rsidRDefault="002A2FDB" w:rsidP="00444459">
      <w:pPr>
        <w:pStyle w:val="Normal1"/>
        <w:rPr>
          <w:lang w:val="en-GB"/>
        </w:rPr>
      </w:pPr>
      <w:r w:rsidRPr="00444459">
        <w:rPr>
          <w:lang w:val="en-GB"/>
        </w:rPr>
        <w:t>In the second part, the acid-test ratio has been computed in terms of relating the relevance of the quick assets that Sainsbury has. Based on this, it can be noted that the acid-test ratio of theorganisation was computed</w:t>
      </w:r>
      <w:r w:rsidRPr="00444459">
        <w:rPr>
          <w:lang w:val="en-GB"/>
        </w:rPr>
        <w:t xml:space="preserve"> to be 0.50 times in 2019 which has further reached 0.49 times by the end of year 2020 just for having an increase in their liabilities. A further decline in the value of the ratio can be observed for the year 2021 wherein the acid-test ratio of the compan</w:t>
      </w:r>
      <w:r w:rsidRPr="00444459">
        <w:rPr>
          <w:lang w:val="en-GB"/>
        </w:rPr>
        <w:t>y was standing at 0.46 times as a whole. However, after that, the acid-test ratio of the organisation is observed to be 0.50 times in 2022 and 0.52 times by the end of the year 2023. Thus, in terms of comparing the overall liquidity ratios of the organisat</w:t>
      </w:r>
      <w:r w:rsidRPr="00444459">
        <w:rPr>
          <w:lang w:val="en-GB"/>
        </w:rPr>
        <w:t xml:space="preserve">ion, it can be noted that there has been an increase in the liquidity level. In other words, it can also be stated that Sainsbury is more efficiently using its internal resources in terms of managing the outstanding debt obligations. </w:t>
      </w:r>
    </w:p>
    <w:p w:rsidR="00CE2ACC" w:rsidRPr="00444459" w:rsidRDefault="002A2FDB" w:rsidP="00444459">
      <w:pPr>
        <w:pStyle w:val="Normal1"/>
        <w:rPr>
          <w:lang w:val="en-GB"/>
        </w:rPr>
      </w:pPr>
      <w:r w:rsidRPr="00444459">
        <w:rPr>
          <w:lang w:val="en-GB"/>
        </w:rPr>
        <w:t>Asset turnover can th</w:t>
      </w:r>
      <w:r w:rsidRPr="00444459">
        <w:rPr>
          <w:lang w:val="en-GB"/>
        </w:rPr>
        <w:t>erefore be described as an efficiency ratio, the efficiency of which is used to determine the level of sales generated by a specific asset (Kovalchuk and Verhun, 2019). Another varying rate revealed in J. Sainsbury’s company analysis was the asset turnover</w:t>
      </w:r>
      <w:r w:rsidRPr="00444459">
        <w:rPr>
          <w:lang w:val="en-GB"/>
        </w:rPr>
        <w:t xml:space="preserve"> ratio which was found to have oscillated from 1.23 in 2019 to 1.04 in 2020, and then returning to 1.20 in 2023.  The decrease in 2020 might be explained by the COVID-19 situation as it is likely that the company experienced some stoppages and sales offers</w:t>
      </w:r>
      <w:r w:rsidRPr="00444459">
        <w:rPr>
          <w:lang w:val="en-GB"/>
        </w:rPr>
        <w:t xml:space="preserve"> inefficiency due to the pandemic. The latter year, on the other hand, shows a more accurate assessment of the utilization of assets, probably due to some strategies implemented on operations and inventory. </w:t>
      </w:r>
    </w:p>
    <w:p w:rsidR="00CE2ACC" w:rsidRPr="00444459" w:rsidRDefault="002A2FDB" w:rsidP="00444459">
      <w:pPr>
        <w:pStyle w:val="Normal1"/>
        <w:rPr>
          <w:lang w:val="en-GB"/>
        </w:rPr>
      </w:pPr>
      <w:r w:rsidRPr="00444459">
        <w:rPr>
          <w:lang w:val="en-GB"/>
        </w:rPr>
        <w:t>The inventory turnover ratio gives an idea about</w:t>
      </w:r>
      <w:r w:rsidRPr="00444459">
        <w:rPr>
          <w:lang w:val="en-GB"/>
        </w:rPr>
        <w:t xml:space="preserve"> the efficiency of managing inventory by a business firm (Martini and Suardana, 2019). The ratio of Sainsbury's grew from 14.00 in 2019 to 16.79 in 2021, indicating that the company has improved its inventory management and is having a quicker turnover. Ne</w:t>
      </w:r>
      <w:r w:rsidRPr="00444459">
        <w:rPr>
          <w:lang w:val="en-GB"/>
        </w:rPr>
        <w:t xml:space="preserve">vertheless, the tiny decrease to 16.58 in 2023 indicates that there </w:t>
      </w:r>
      <w:r w:rsidRPr="00444459">
        <w:rPr>
          <w:lang w:val="en-GB"/>
        </w:rPr>
        <w:lastRenderedPageBreak/>
        <w:t xml:space="preserve">will be a little slowdown, which </w:t>
      </w:r>
      <w:r w:rsidR="000C2491">
        <w:rPr>
          <w:lang w:val="en-GB"/>
        </w:rPr>
        <w:t>states</w:t>
      </w:r>
      <w:r w:rsidRPr="00444459">
        <w:rPr>
          <w:lang w:val="en-GB"/>
        </w:rPr>
        <w:t xml:space="preserve"> a slightly lower growth than the previous years. This can be attributed to such factors as the build-up of inventories, which could be occasioned by</w:t>
      </w:r>
      <w:r w:rsidRPr="00444459">
        <w:rPr>
          <w:lang w:val="en-GB"/>
        </w:rPr>
        <w:t xml:space="preserve"> a number of factors, including fluctuation in the supply chain or business expectations of future inflation rates. The above table 3 suggests a consistent ratio above 15 which confirms efficiency in operations but the slight reduction in 2023 should encou</w:t>
      </w:r>
      <w:r w:rsidRPr="00444459">
        <w:rPr>
          <w:lang w:val="en-GB"/>
        </w:rPr>
        <w:t>rage the management to carefully review the management of inventories.</w:t>
      </w:r>
    </w:p>
    <w:p w:rsidR="00CE2ACC" w:rsidRPr="00444459" w:rsidRDefault="002A2FDB" w:rsidP="00444459">
      <w:pPr>
        <w:pStyle w:val="Normal1"/>
        <w:rPr>
          <w:lang w:val="en-GB"/>
        </w:rPr>
      </w:pPr>
      <w:r w:rsidRPr="00444459">
        <w:rPr>
          <w:lang w:val="en-GB"/>
        </w:rPr>
        <w:t>The debt-to-equity ratio is a measure of the financial risk of a business that compares the total amount of liabilities to stockholders’ equity (Nukala and Prasada Rao, 2021). Sainsbury</w:t>
      </w:r>
      <w:r w:rsidRPr="00444459">
        <w:rPr>
          <w:lang w:val="en-GB"/>
        </w:rPr>
        <w:t>'s ratio went from 1.78 in 2019 to a high point of 2.81 in 2021, which shows that the company is relying more on loan financing. The rise could mean that the company is putting money into growth or buying other businesses. But the later drop to 2.20 in 202</w:t>
      </w:r>
      <w:r w:rsidRPr="00444459">
        <w:rPr>
          <w:lang w:val="en-GB"/>
        </w:rPr>
        <w:t xml:space="preserve">3 shows a move toward deleveraging, possibly to improve the balance sheet and lower financial risk. There is obvious leverage in 2020 and 2021, but in 2023, there is a hint of deleveraging, which may be aimed at improving the firm’s financial position and </w:t>
      </w:r>
      <w:r w:rsidRPr="00444459">
        <w:rPr>
          <w:lang w:val="en-GB"/>
        </w:rPr>
        <w:t>thus the level of financial risk. This has decreased which is good news</w:t>
      </w:r>
      <w:r w:rsidR="008A4188">
        <w:rPr>
          <w:lang w:val="en-GB"/>
        </w:rPr>
        <w:t>,</w:t>
      </w:r>
      <w:r w:rsidRPr="00444459">
        <w:rPr>
          <w:lang w:val="en-GB"/>
        </w:rPr>
        <w:t xml:space="preserve"> especially for the organi</w:t>
      </w:r>
      <w:r w:rsidR="008A4188">
        <w:rPr>
          <w:lang w:val="en-GB"/>
        </w:rPr>
        <w:t>s</w:t>
      </w:r>
      <w:r w:rsidRPr="00444459">
        <w:rPr>
          <w:lang w:val="en-GB"/>
        </w:rPr>
        <w:t>ation as it is showing that the organization is financially stronger than before and is relying less on credit.</w:t>
      </w:r>
    </w:p>
    <w:p w:rsidR="00CE2ACC" w:rsidRPr="00444459" w:rsidRDefault="002A2FDB" w:rsidP="00444459">
      <w:pPr>
        <w:pStyle w:val="Normal1"/>
        <w:rPr>
          <w:lang w:val="en-GB"/>
        </w:rPr>
      </w:pPr>
      <w:r w:rsidRPr="00444459">
        <w:rPr>
          <w:lang w:val="en-GB"/>
        </w:rPr>
        <w:t xml:space="preserve">The </w:t>
      </w:r>
      <w:r w:rsidR="008A4188">
        <w:rPr>
          <w:lang w:val="en-GB"/>
        </w:rPr>
        <w:t>debt-to-asset</w:t>
      </w:r>
      <w:r w:rsidRPr="00444459">
        <w:rPr>
          <w:lang w:val="en-GB"/>
        </w:rPr>
        <w:t xml:space="preserve"> ratio which is also referre</w:t>
      </w:r>
      <w:r w:rsidRPr="00444459">
        <w:rPr>
          <w:lang w:val="en-GB"/>
        </w:rPr>
        <w:t>d to as the gearing ratio assesses the extent of debt financing in a business enterprise (Orji, EO and Agubata, 2021). Sainsbury's ratio went up from 0.64 in 2019 to 0.74 in 2021, which means that the company has more debt compared to its total assets. Thi</w:t>
      </w:r>
      <w:r w:rsidRPr="00444459">
        <w:rPr>
          <w:lang w:val="en-GB"/>
        </w:rPr>
        <w:t>s ratio reached its highest point in 2021, which is the same year that the company may have taken on more debt because it made big investments or bought other companies. The small drop to 0.71 in 2023, suggests that there is improvement in the financial st</w:t>
      </w:r>
      <w:r w:rsidRPr="00444459">
        <w:rPr>
          <w:lang w:val="en-GB"/>
        </w:rPr>
        <w:t>ructure with an appropriate mix of the source of funds to finance the assets. However, the high ratio, even though a little above the threshold, signifies the persistence of the debt-funded strategy, which can be dangerous if not monitored properly, more s</w:t>
      </w:r>
      <w:r w:rsidRPr="00444459">
        <w:rPr>
          <w:lang w:val="en-GB"/>
        </w:rPr>
        <w:t>o in cases of fluctuating market situations.</w:t>
      </w:r>
    </w:p>
    <w:p w:rsidR="00CE2ACC" w:rsidRPr="00444459" w:rsidRDefault="002A2FDB" w:rsidP="00444459">
      <w:pPr>
        <w:pStyle w:val="Heading2"/>
        <w:rPr>
          <w:lang w:val="en-GB"/>
        </w:rPr>
      </w:pPr>
      <w:bookmarkStart w:id="39" w:name="_dnlublikx78q" w:colFirst="0" w:colLast="0"/>
      <w:bookmarkStart w:id="40" w:name="_Toc173414328"/>
      <w:bookmarkEnd w:id="39"/>
      <w:r w:rsidRPr="00444459">
        <w:rPr>
          <w:lang w:val="en-GB"/>
        </w:rPr>
        <w:t>Comparison with the competitors</w:t>
      </w:r>
      <w:bookmarkEnd w:id="40"/>
    </w:p>
    <w:p w:rsidR="00CE2ACC" w:rsidRPr="00444459" w:rsidRDefault="002A2FDB" w:rsidP="00444459">
      <w:pPr>
        <w:pStyle w:val="Heading3"/>
        <w:rPr>
          <w:i/>
          <w:lang w:val="en-GB"/>
        </w:rPr>
      </w:pPr>
      <w:bookmarkStart w:id="41" w:name="_h5dfsy5q37jv" w:colFirst="0" w:colLast="0"/>
      <w:bookmarkStart w:id="42" w:name="_Toc173414329"/>
      <w:bookmarkEnd w:id="41"/>
      <w:r w:rsidRPr="00444459">
        <w:rPr>
          <w:lang w:val="en-GB"/>
        </w:rPr>
        <w:t>Profitability Ratios</w:t>
      </w:r>
      <w:bookmarkEnd w:id="42"/>
    </w:p>
    <w:tbl>
      <w:tblPr>
        <w:tblStyle w:val="Table5"/>
        <w:tblW w:w="4590" w:type="dxa"/>
        <w:jc w:val="center"/>
        <w:tblInd w:w="0" w:type="dxa"/>
        <w:tblBorders>
          <w:top w:val="nil"/>
          <w:left w:val="nil"/>
          <w:bottom w:val="nil"/>
          <w:right w:val="nil"/>
          <w:insideH w:val="nil"/>
          <w:insideV w:val="nil"/>
        </w:tblBorders>
        <w:tblLayout w:type="fixed"/>
        <w:tblLook w:val="0600"/>
      </w:tblPr>
      <w:tblGrid>
        <w:gridCol w:w="1500"/>
        <w:gridCol w:w="1500"/>
        <w:gridCol w:w="1590"/>
      </w:tblGrid>
      <w:tr w:rsidR="00CE2ACC" w:rsidRPr="00444459">
        <w:trPr>
          <w:trHeight w:val="375"/>
          <w:jc w:val="center"/>
        </w:trPr>
        <w:tc>
          <w:tcPr>
            <w:tcW w:w="4590" w:type="dxa"/>
            <w:gridSpan w:val="3"/>
            <w:tcBorders>
              <w:top w:val="single" w:sz="17" w:space="0" w:color="000000"/>
              <w:left w:val="single" w:sz="17" w:space="0" w:color="000000"/>
              <w:bottom w:val="single" w:sz="4" w:space="0" w:color="000000"/>
              <w:right w:val="single" w:sz="17" w:space="0" w:color="000000"/>
            </w:tcBorders>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Profitability Ratios</w:t>
            </w:r>
          </w:p>
        </w:tc>
      </w:tr>
      <w:tr w:rsidR="00CE2ACC" w:rsidRPr="00444459">
        <w:trPr>
          <w:trHeight w:val="360"/>
          <w:jc w:val="center"/>
        </w:trPr>
        <w:tc>
          <w:tcPr>
            <w:tcW w:w="4590" w:type="dxa"/>
            <w:gridSpan w:val="3"/>
            <w:tcBorders>
              <w:top w:val="single" w:sz="4" w:space="0" w:color="CCCCCC"/>
              <w:left w:val="single" w:sz="17" w:space="0" w:color="000000"/>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OP Margin</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Sainsbury</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Morrisons</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lastRenderedPageBreak/>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1.08%</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2.44%</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2.24%</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2.97%</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0.21%</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1.44%</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1.78%</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0.10%</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3.87%</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0.48%</w:t>
            </w:r>
          </w:p>
        </w:tc>
      </w:tr>
      <w:tr w:rsidR="00CE2ACC" w:rsidRPr="00444459">
        <w:trPr>
          <w:trHeight w:val="360"/>
          <w:jc w:val="center"/>
        </w:trPr>
        <w:tc>
          <w:tcPr>
            <w:tcW w:w="4590" w:type="dxa"/>
            <w:gridSpan w:val="3"/>
            <w:tcBorders>
              <w:top w:val="single" w:sz="4" w:space="0" w:color="CCCCCC"/>
              <w:left w:val="single" w:sz="17" w:space="0" w:color="000000"/>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NP Margin</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Sainsbury</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Morrisons</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0.75%</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1.31%</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0.52%</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1.98%</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0.96%</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0.55%</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2.15%</w:t>
            </w:r>
          </w:p>
        </w:tc>
        <w:tc>
          <w:tcPr>
            <w:tcW w:w="159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-0.16%</w:t>
            </w:r>
          </w:p>
        </w:tc>
      </w:tr>
      <w:tr w:rsidR="00CE2ACC" w:rsidRPr="00444459">
        <w:trPr>
          <w:trHeight w:val="375"/>
          <w:jc w:val="center"/>
        </w:trPr>
        <w:tc>
          <w:tcPr>
            <w:tcW w:w="1500" w:type="dxa"/>
            <w:tcBorders>
              <w:top w:val="single" w:sz="4" w:space="0" w:color="CCCCCC"/>
              <w:left w:val="single" w:sz="17" w:space="0" w:color="000000"/>
              <w:bottom w:val="single" w:sz="17"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17"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0.69%</w:t>
            </w:r>
          </w:p>
        </w:tc>
        <w:tc>
          <w:tcPr>
            <w:tcW w:w="1590"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0.28%</w:t>
            </w:r>
          </w:p>
        </w:tc>
      </w:tr>
    </w:tbl>
    <w:p w:rsidR="00CE2ACC" w:rsidRPr="00444459" w:rsidRDefault="002A2FDB" w:rsidP="00444459">
      <w:pPr>
        <w:pStyle w:val="Normal1"/>
        <w:jc w:val="center"/>
        <w:rPr>
          <w:b/>
          <w:lang w:val="en-GB"/>
        </w:rPr>
      </w:pPr>
      <w:r w:rsidRPr="00444459">
        <w:rPr>
          <w:b/>
          <w:lang w:val="en-GB"/>
        </w:rPr>
        <w:t>Table 4: Comparison of the Profitability Ratios</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The above-indicated figure relates the comparison of the profitability ratios of Sainsbury with one of the close competitors that is Morrisons. In terms of considering this, it can be noted that in the financial year of 2019, both the operating profit marg</w:t>
      </w:r>
      <w:r w:rsidRPr="00444459">
        <w:rPr>
          <w:lang w:val="en-GB"/>
        </w:rPr>
        <w:t xml:space="preserve">in and net profit margin were higher in Sainsbury. However, over time it has been noted that the profitability of Morrisons has increased. </w:t>
      </w:r>
      <w:r w:rsidR="00444459" w:rsidRPr="00444459">
        <w:rPr>
          <w:lang w:val="en-GB"/>
        </w:rPr>
        <w:t>Again,</w:t>
      </w:r>
      <w:r w:rsidRPr="00444459">
        <w:rPr>
          <w:lang w:val="en-GB"/>
        </w:rPr>
        <w:t xml:space="preserve"> while reaching the end of the year 2023, it can be ascertained that the profitability of Sainsbury has increas</w:t>
      </w:r>
      <w:r w:rsidRPr="00444459">
        <w:rPr>
          <w:lang w:val="en-GB"/>
        </w:rPr>
        <w:t xml:space="preserve">ed at a higher level as compared to that of the Morrisons. Thus, by means of considering this, it can be stated that in the recent financial year, the profitability of </w:t>
      </w:r>
      <w:r w:rsidR="008A4188">
        <w:rPr>
          <w:lang w:val="en-GB"/>
        </w:rPr>
        <w:t>Sainsbury's</w:t>
      </w:r>
      <w:r w:rsidRPr="00444459">
        <w:rPr>
          <w:lang w:val="en-GB"/>
        </w:rPr>
        <w:t xml:space="preserve"> is at a higher level as compared to that of its competitor. </w:t>
      </w:r>
    </w:p>
    <w:p w:rsidR="00CE2ACC" w:rsidRPr="00444459" w:rsidRDefault="002A2FDB" w:rsidP="00444459">
      <w:pPr>
        <w:pStyle w:val="Heading3"/>
        <w:rPr>
          <w:lang w:val="en-GB"/>
        </w:rPr>
      </w:pPr>
      <w:bookmarkStart w:id="43" w:name="_144nkks28s42" w:colFirst="0" w:colLast="0"/>
      <w:bookmarkStart w:id="44" w:name="_Toc173414330"/>
      <w:bookmarkEnd w:id="43"/>
      <w:r w:rsidRPr="00444459">
        <w:rPr>
          <w:lang w:val="en-GB"/>
        </w:rPr>
        <w:t>Liquidity Ratio</w:t>
      </w:r>
      <w:r w:rsidRPr="00444459">
        <w:rPr>
          <w:lang w:val="en-GB"/>
        </w:rPr>
        <w:t>s</w:t>
      </w:r>
      <w:bookmarkEnd w:id="44"/>
    </w:p>
    <w:tbl>
      <w:tblPr>
        <w:tblStyle w:val="Table6"/>
        <w:tblW w:w="4500" w:type="dxa"/>
        <w:jc w:val="center"/>
        <w:tblInd w:w="0" w:type="dxa"/>
        <w:tblBorders>
          <w:top w:val="nil"/>
          <w:left w:val="nil"/>
          <w:bottom w:val="nil"/>
          <w:right w:val="nil"/>
          <w:insideH w:val="nil"/>
          <w:insideV w:val="nil"/>
        </w:tblBorders>
        <w:tblLayout w:type="fixed"/>
        <w:tblLook w:val="0600"/>
      </w:tblPr>
      <w:tblGrid>
        <w:gridCol w:w="1500"/>
        <w:gridCol w:w="1500"/>
        <w:gridCol w:w="1500"/>
      </w:tblGrid>
      <w:tr w:rsidR="00CE2ACC" w:rsidRPr="00444459">
        <w:trPr>
          <w:trHeight w:val="375"/>
          <w:jc w:val="center"/>
        </w:trPr>
        <w:tc>
          <w:tcPr>
            <w:tcW w:w="4500" w:type="dxa"/>
            <w:gridSpan w:val="3"/>
            <w:tcBorders>
              <w:top w:val="single" w:sz="17" w:space="0" w:color="000000"/>
              <w:left w:val="single" w:sz="17" w:space="0" w:color="000000"/>
              <w:bottom w:val="single" w:sz="4" w:space="0" w:color="000000"/>
              <w:right w:val="single" w:sz="17" w:space="0" w:color="000000"/>
            </w:tcBorders>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Liquidity Ratios</w:t>
            </w:r>
          </w:p>
        </w:tc>
      </w:tr>
      <w:tr w:rsidR="00CE2ACC" w:rsidRPr="00444459">
        <w:trPr>
          <w:trHeight w:val="360"/>
          <w:jc w:val="center"/>
        </w:trPr>
        <w:tc>
          <w:tcPr>
            <w:tcW w:w="4500" w:type="dxa"/>
            <w:gridSpan w:val="3"/>
            <w:tcBorders>
              <w:top w:val="single" w:sz="4" w:space="0" w:color="CCCCCC"/>
              <w:left w:val="single" w:sz="17" w:space="0" w:color="000000"/>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Current Ratio</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Sainsbury</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Morrisons</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0.66</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0.40</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lastRenderedPageBreak/>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0.63</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0.39</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0.60</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0.48</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0.68</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0.38</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2023</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0.68</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0.36</w:t>
            </w:r>
          </w:p>
        </w:tc>
      </w:tr>
      <w:tr w:rsidR="00CE2ACC" w:rsidRPr="00444459">
        <w:trPr>
          <w:trHeight w:val="360"/>
          <w:jc w:val="center"/>
        </w:trPr>
        <w:tc>
          <w:tcPr>
            <w:tcW w:w="4500" w:type="dxa"/>
            <w:gridSpan w:val="3"/>
            <w:tcBorders>
              <w:top w:val="single" w:sz="4" w:space="0" w:color="CCCCCC"/>
              <w:left w:val="single" w:sz="17" w:space="0" w:color="000000"/>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Acid-Test Ratio</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Sainsbury</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eastAsia="Arial"/>
                <w:sz w:val="20"/>
                <w:szCs w:val="20"/>
                <w:lang w:val="en-GB"/>
              </w:rPr>
            </w:pPr>
            <w:r w:rsidRPr="00444459">
              <w:rPr>
                <w:b/>
                <w:lang w:val="en-GB"/>
              </w:rPr>
              <w:t>Morrisons</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0.50</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0.19</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0.49</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0.19</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0.46</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0.21</w:t>
            </w:r>
          </w:p>
        </w:tc>
      </w:tr>
      <w:tr w:rsidR="00CE2ACC" w:rsidRPr="00444459">
        <w:trPr>
          <w:trHeight w:val="360"/>
          <w:jc w:val="center"/>
        </w:trPr>
        <w:tc>
          <w:tcPr>
            <w:tcW w:w="1500" w:type="dxa"/>
            <w:tcBorders>
              <w:top w:val="single" w:sz="4" w:space="0" w:color="CCCCCC"/>
              <w:left w:val="single" w:sz="17"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0.50</w:t>
            </w:r>
          </w:p>
        </w:tc>
        <w:tc>
          <w:tcPr>
            <w:tcW w:w="1500" w:type="dxa"/>
            <w:tcBorders>
              <w:top w:val="single" w:sz="4" w:space="0" w:color="CCCCCC"/>
              <w:left w:val="single" w:sz="4" w:space="0" w:color="CCCCCC"/>
              <w:bottom w:val="single" w:sz="4"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0.19</w:t>
            </w:r>
          </w:p>
        </w:tc>
      </w:tr>
      <w:tr w:rsidR="00CE2ACC" w:rsidRPr="00444459">
        <w:trPr>
          <w:trHeight w:val="375"/>
          <w:jc w:val="center"/>
        </w:trPr>
        <w:tc>
          <w:tcPr>
            <w:tcW w:w="1500" w:type="dxa"/>
            <w:tcBorders>
              <w:top w:val="single" w:sz="4" w:space="0" w:color="CCCCCC"/>
              <w:left w:val="single" w:sz="17" w:space="0" w:color="000000"/>
              <w:bottom w:val="single" w:sz="17"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2023</w:t>
            </w:r>
          </w:p>
        </w:tc>
        <w:tc>
          <w:tcPr>
            <w:tcW w:w="1500" w:type="dxa"/>
            <w:tcBorders>
              <w:top w:val="single" w:sz="4" w:space="0" w:color="CCCCCC"/>
              <w:left w:val="single" w:sz="4" w:space="0" w:color="CCCCCC"/>
              <w:bottom w:val="single" w:sz="17"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0.52</w:t>
            </w:r>
          </w:p>
        </w:tc>
        <w:tc>
          <w:tcPr>
            <w:tcW w:w="1500" w:type="dxa"/>
            <w:tcBorders>
              <w:top w:val="single" w:sz="4" w:space="0" w:color="CCCCCC"/>
              <w:left w:val="single" w:sz="4" w:space="0" w:color="CCCCCC"/>
              <w:bottom w:val="single" w:sz="17" w:space="0" w:color="000000"/>
              <w:right w:val="single" w:sz="17"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eastAsia="Arial"/>
                <w:sz w:val="20"/>
                <w:szCs w:val="20"/>
                <w:lang w:val="en-GB"/>
              </w:rPr>
            </w:pPr>
            <w:r w:rsidRPr="00444459">
              <w:rPr>
                <w:lang w:val="en-GB"/>
              </w:rPr>
              <w:t>0.16</w:t>
            </w:r>
          </w:p>
        </w:tc>
      </w:tr>
    </w:tbl>
    <w:p w:rsidR="00CE2ACC" w:rsidRPr="00444459" w:rsidRDefault="002A2FDB" w:rsidP="00444459">
      <w:pPr>
        <w:pStyle w:val="Normal1"/>
        <w:jc w:val="center"/>
        <w:rPr>
          <w:b/>
          <w:lang w:val="en-GB"/>
        </w:rPr>
      </w:pPr>
      <w:r w:rsidRPr="00444459">
        <w:rPr>
          <w:b/>
          <w:lang w:val="en-GB"/>
        </w:rPr>
        <w:t>Table 5: Comparison of the Liquidity Ratios</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The table presented above relates the comparison of the liquidity ratios in terms of the financial performance of both companies over the past five financial years. Based on the table, it can be ascertained that for all five financial years, the current ra</w:t>
      </w:r>
      <w:r w:rsidRPr="00444459">
        <w:rPr>
          <w:lang w:val="en-GB"/>
        </w:rPr>
        <w:t>tios were higher for Sainsbury as compared to that of its competitor. A similar scenario can also be observed in the case of the acid-test ratio wherein the performance of Sainsbury is better than that of the Morrisons. Based on this, it can be observed th</w:t>
      </w:r>
      <w:r w:rsidRPr="00444459">
        <w:rPr>
          <w:lang w:val="en-GB"/>
        </w:rPr>
        <w:t xml:space="preserve">at the overall performance of Sainsbury in terms of managing the outstanding attributes of its business is better than that of its competitor that is Morrisons. </w:t>
      </w:r>
    </w:p>
    <w:p w:rsidR="00CE2ACC" w:rsidRPr="00444459" w:rsidRDefault="002A2FDB" w:rsidP="00444459">
      <w:pPr>
        <w:pStyle w:val="Heading3"/>
        <w:rPr>
          <w:i/>
          <w:lang w:val="en-GB"/>
        </w:rPr>
      </w:pPr>
      <w:bookmarkStart w:id="45" w:name="_402xn4vbwrym" w:colFirst="0" w:colLast="0"/>
      <w:bookmarkStart w:id="46" w:name="_Toc173414331"/>
      <w:bookmarkEnd w:id="45"/>
      <w:r w:rsidRPr="00444459">
        <w:rPr>
          <w:lang w:val="en-GB"/>
        </w:rPr>
        <w:t>Efficiency Ratios</w:t>
      </w:r>
      <w:bookmarkEnd w:id="46"/>
    </w:p>
    <w:tbl>
      <w:tblPr>
        <w:tblStyle w:val="Table7"/>
        <w:tblW w:w="5370" w:type="dxa"/>
        <w:jc w:val="center"/>
        <w:tblInd w:w="0" w:type="dxa"/>
        <w:tblBorders>
          <w:top w:val="nil"/>
          <w:left w:val="nil"/>
          <w:bottom w:val="nil"/>
          <w:right w:val="nil"/>
          <w:insideH w:val="nil"/>
          <w:insideV w:val="nil"/>
        </w:tblBorders>
        <w:tblLayout w:type="fixed"/>
        <w:tblLook w:val="0600"/>
      </w:tblPr>
      <w:tblGrid>
        <w:gridCol w:w="1500"/>
        <w:gridCol w:w="1500"/>
        <w:gridCol w:w="2370"/>
      </w:tblGrid>
      <w:tr w:rsidR="00CE2ACC" w:rsidRPr="00444459">
        <w:trPr>
          <w:trHeight w:val="360"/>
          <w:jc w:val="center"/>
        </w:trPr>
        <w:tc>
          <w:tcPr>
            <w:tcW w:w="5370" w:type="dxa"/>
            <w:gridSpan w:val="3"/>
            <w:tcBorders>
              <w:top w:val="single" w:sz="15" w:space="0" w:color="000000"/>
              <w:left w:val="single" w:sz="15" w:space="0" w:color="000000"/>
              <w:bottom w:val="single" w:sz="4" w:space="0" w:color="000000"/>
              <w:right w:val="single" w:sz="15" w:space="0" w:color="000000"/>
            </w:tcBorders>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Efficiency Ratios</w:t>
            </w:r>
          </w:p>
        </w:tc>
      </w:tr>
      <w:tr w:rsidR="00CE2ACC" w:rsidRPr="00444459">
        <w:trPr>
          <w:trHeight w:val="345"/>
          <w:jc w:val="center"/>
        </w:trPr>
        <w:tc>
          <w:tcPr>
            <w:tcW w:w="5370" w:type="dxa"/>
            <w:gridSpan w:val="3"/>
            <w:tcBorders>
              <w:top w:val="single" w:sz="4" w:space="0" w:color="CCCCCC"/>
              <w:left w:val="single" w:sz="15" w:space="0" w:color="000000"/>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b/>
                <w:sz w:val="20"/>
                <w:szCs w:val="20"/>
                <w:lang w:val="en-GB"/>
              </w:rPr>
            </w:pPr>
            <w:r w:rsidRPr="00444459">
              <w:rPr>
                <w:b/>
                <w:lang w:val="en-GB"/>
              </w:rPr>
              <w:t>Asset turnover ratio</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Sainsbury</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Morrisons</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1.23</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1.79</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1.04</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1.61</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1.15</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1.59</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lastRenderedPageBreak/>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1.11</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1.59</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1.2</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1.76</w:t>
            </w:r>
          </w:p>
        </w:tc>
      </w:tr>
      <w:tr w:rsidR="00CE2ACC" w:rsidRPr="00444459">
        <w:trPr>
          <w:trHeight w:val="345"/>
          <w:jc w:val="center"/>
        </w:trPr>
        <w:tc>
          <w:tcPr>
            <w:tcW w:w="5370" w:type="dxa"/>
            <w:gridSpan w:val="3"/>
            <w:tcBorders>
              <w:top w:val="single" w:sz="4" w:space="0" w:color="CCCCCC"/>
              <w:left w:val="single" w:sz="15" w:space="0" w:color="000000"/>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b/>
                <w:sz w:val="20"/>
                <w:szCs w:val="20"/>
                <w:lang w:val="en-GB"/>
              </w:rPr>
            </w:pPr>
            <w:r w:rsidRPr="00444459">
              <w:rPr>
                <w:b/>
                <w:lang w:val="en-GB"/>
              </w:rPr>
              <w:t>Inventory turnover ratio</w:t>
            </w:r>
          </w:p>
        </w:tc>
      </w:tr>
      <w:tr w:rsidR="00CE2ACC" w:rsidRPr="00444459">
        <w:trPr>
          <w:trHeight w:val="360"/>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Sainsbury</w:t>
            </w:r>
          </w:p>
        </w:tc>
        <w:tc>
          <w:tcPr>
            <w:tcW w:w="2370" w:type="dxa"/>
            <w:tcBorders>
              <w:top w:val="single" w:sz="4" w:space="0" w:color="CCCCCC"/>
              <w:left w:val="single" w:sz="4" w:space="0" w:color="CCCCCC"/>
              <w:bottom w:val="single" w:sz="11"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Morrisons</w:t>
            </w:r>
          </w:p>
        </w:tc>
      </w:tr>
      <w:tr w:rsidR="00CE2ACC" w:rsidRPr="00444459">
        <w:trPr>
          <w:trHeight w:val="37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11"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14</w:t>
            </w:r>
          </w:p>
        </w:tc>
        <w:tc>
          <w:tcPr>
            <w:tcW w:w="2370" w:type="dxa"/>
            <w:tcBorders>
              <w:top w:val="single" w:sz="4" w:space="0" w:color="CCCCCC"/>
              <w:left w:val="single" w:sz="4" w:space="0" w:color="CCCCCC"/>
              <w:bottom w:val="single" w:sz="11" w:space="0" w:color="000000"/>
              <w:right w:val="single" w:sz="11" w:space="0" w:color="000000"/>
            </w:tcBorders>
            <w:shd w:val="clear" w:color="auto" w:fill="FFFFFF"/>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24.02</w:t>
            </w:r>
          </w:p>
        </w:tc>
      </w:tr>
      <w:tr w:rsidR="00CE2ACC" w:rsidRPr="00444459">
        <w:trPr>
          <w:trHeight w:val="360"/>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15.58</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25.47</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16.79</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21.14</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16.64</w:t>
            </w:r>
          </w:p>
        </w:tc>
        <w:tc>
          <w:tcPr>
            <w:tcW w:w="237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18.27</w:t>
            </w:r>
          </w:p>
        </w:tc>
      </w:tr>
      <w:tr w:rsidR="00CE2ACC" w:rsidRPr="00444459">
        <w:trPr>
          <w:trHeight w:val="360"/>
          <w:jc w:val="center"/>
        </w:trPr>
        <w:tc>
          <w:tcPr>
            <w:tcW w:w="1500" w:type="dxa"/>
            <w:tcBorders>
              <w:top w:val="single" w:sz="4" w:space="0" w:color="CCCCCC"/>
              <w:left w:val="single" w:sz="15" w:space="0" w:color="000000"/>
              <w:bottom w:val="single" w:sz="15"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15"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16.58</w:t>
            </w:r>
          </w:p>
        </w:tc>
        <w:tc>
          <w:tcPr>
            <w:tcW w:w="2370" w:type="dxa"/>
            <w:tcBorders>
              <w:top w:val="single" w:sz="4" w:space="0" w:color="CCCCCC"/>
              <w:left w:val="single" w:sz="4" w:space="0" w:color="CCCCCC"/>
              <w:bottom w:val="single" w:sz="15"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19.48</w:t>
            </w:r>
          </w:p>
        </w:tc>
      </w:tr>
    </w:tbl>
    <w:p w:rsidR="00CE2ACC" w:rsidRPr="00444459" w:rsidRDefault="002A2FDB" w:rsidP="00444459">
      <w:pPr>
        <w:pStyle w:val="Normal1"/>
        <w:jc w:val="center"/>
        <w:rPr>
          <w:b/>
          <w:lang w:val="en-GB"/>
        </w:rPr>
      </w:pPr>
      <w:r w:rsidRPr="00444459">
        <w:rPr>
          <w:b/>
          <w:lang w:val="en-GB"/>
        </w:rPr>
        <w:t>Table 6: Comparison of the Efficiency Ratios</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 xml:space="preserve">The asset turnover ratio is the ratio by which the net sales of a firm </w:t>
      </w:r>
      <w:r w:rsidR="008A4188">
        <w:rPr>
          <w:lang w:val="en-GB"/>
        </w:rPr>
        <w:t xml:space="preserve">are dividedby </w:t>
      </w:r>
      <w:r w:rsidRPr="00444459">
        <w:rPr>
          <w:lang w:val="en-GB"/>
        </w:rPr>
        <w:t>the total assets of the firm as a way of showing how effectively total assets are being used to facilitate sales. The asset turnover ratio lin</w:t>
      </w:r>
      <w:r w:rsidRPr="00444459">
        <w:rPr>
          <w:lang w:val="en-GB"/>
        </w:rPr>
        <w:t>e graph declined for Sainsbury means that it is not effectively utilising its assets to generate sales. Their asset turnover ratio will drop from 1.23 in 2019 to 1.04 in 2020. It will then stay between 1.1 and 1.2 for the next few years. In contrast, Morri</w:t>
      </w:r>
      <w:r w:rsidRPr="00444459">
        <w:rPr>
          <w:lang w:val="en-GB"/>
        </w:rPr>
        <w:t>sons has a higher number that stays the same over time, ranging from 1.59 to 1.79. This implies that Morrisons has been more efficient in its use of its assets as compared to J. Sainsbury.</w:t>
      </w:r>
    </w:p>
    <w:p w:rsidR="00CE2ACC" w:rsidRPr="00444459" w:rsidRDefault="002A2FDB" w:rsidP="00444459">
      <w:pPr>
        <w:pStyle w:val="Normal1"/>
        <w:rPr>
          <w:lang w:val="en-GB"/>
        </w:rPr>
      </w:pPr>
      <w:r w:rsidRPr="00444459">
        <w:rPr>
          <w:lang w:val="en-GB"/>
        </w:rPr>
        <w:t>The average inventory turnover ratio is calculated as the cost of g</w:t>
      </w:r>
      <w:r w:rsidRPr="00444459">
        <w:rPr>
          <w:lang w:val="en-GB"/>
        </w:rPr>
        <w:t>oods sold divided by the average inventory for a period and the ratio is consistently greater. According to Morrisons, the number of inventory turnover, which shows how often items are sold and changed over time, is steadily going up and will hit its highe</w:t>
      </w:r>
      <w:r w:rsidRPr="00444459">
        <w:rPr>
          <w:lang w:val="en-GB"/>
        </w:rPr>
        <w:t>st point of 25.47 in 2020. For J. Sainsbury's, on the other hand, the number slowly rises from 14 in 2019 to about 16.6 in 2023. The observed higher inventory turnover for Morrisons suggests satisfactory inventory management and sales turnover that are fas</w:t>
      </w:r>
      <w:r w:rsidRPr="00444459">
        <w:rPr>
          <w:lang w:val="en-GB"/>
        </w:rPr>
        <w:t>ter than for J. Sainsbury, thus leading to lower holding costs and a better handle on products that could become obsolete.</w:t>
      </w:r>
    </w:p>
    <w:p w:rsidR="00CE2ACC" w:rsidRPr="00444459" w:rsidRDefault="002A2FDB" w:rsidP="00444459">
      <w:pPr>
        <w:pStyle w:val="Heading3"/>
        <w:rPr>
          <w:lang w:val="en-GB"/>
        </w:rPr>
      </w:pPr>
      <w:bookmarkStart w:id="47" w:name="_83czpluodeik" w:colFirst="0" w:colLast="0"/>
      <w:bookmarkStart w:id="48" w:name="_Toc173414332"/>
      <w:bookmarkEnd w:id="47"/>
      <w:r w:rsidRPr="00444459">
        <w:rPr>
          <w:lang w:val="en-GB"/>
        </w:rPr>
        <w:t>Solvency Ratios</w:t>
      </w:r>
      <w:bookmarkEnd w:id="48"/>
    </w:p>
    <w:tbl>
      <w:tblPr>
        <w:tblStyle w:val="Table8"/>
        <w:tblW w:w="4500" w:type="dxa"/>
        <w:jc w:val="center"/>
        <w:tblInd w:w="0" w:type="dxa"/>
        <w:tblBorders>
          <w:top w:val="nil"/>
          <w:left w:val="nil"/>
          <w:bottom w:val="nil"/>
          <w:right w:val="nil"/>
          <w:insideH w:val="nil"/>
          <w:insideV w:val="nil"/>
        </w:tblBorders>
        <w:tblLayout w:type="fixed"/>
        <w:tblLook w:val="0600"/>
      </w:tblPr>
      <w:tblGrid>
        <w:gridCol w:w="1500"/>
        <w:gridCol w:w="1500"/>
        <w:gridCol w:w="1500"/>
      </w:tblGrid>
      <w:tr w:rsidR="00CE2ACC" w:rsidRPr="00444459">
        <w:trPr>
          <w:trHeight w:val="360"/>
          <w:jc w:val="center"/>
        </w:trPr>
        <w:tc>
          <w:tcPr>
            <w:tcW w:w="4500" w:type="dxa"/>
            <w:gridSpan w:val="3"/>
            <w:tcBorders>
              <w:top w:val="single" w:sz="15" w:space="0" w:color="000000"/>
              <w:left w:val="single" w:sz="15" w:space="0" w:color="000000"/>
              <w:bottom w:val="single" w:sz="4" w:space="0" w:color="000000"/>
              <w:right w:val="single" w:sz="15" w:space="0" w:color="000000"/>
            </w:tcBorders>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Solvency Ratios</w:t>
            </w:r>
          </w:p>
        </w:tc>
      </w:tr>
      <w:tr w:rsidR="00CE2ACC" w:rsidRPr="00444459">
        <w:trPr>
          <w:trHeight w:val="345"/>
          <w:jc w:val="center"/>
        </w:trPr>
        <w:tc>
          <w:tcPr>
            <w:tcW w:w="4500" w:type="dxa"/>
            <w:gridSpan w:val="3"/>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b/>
                <w:sz w:val="20"/>
                <w:szCs w:val="20"/>
                <w:lang w:val="en-GB"/>
              </w:rPr>
            </w:pPr>
            <w:r w:rsidRPr="00444459">
              <w:rPr>
                <w:b/>
                <w:lang w:val="en-GB"/>
              </w:rPr>
              <w:lastRenderedPageBreak/>
              <w:t>D/E</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Sainsbury</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Morrisons</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1.78</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1.14</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2.59</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1.40</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2.81</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1.62</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2.61</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1.79</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2.2</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1.83</w:t>
            </w:r>
          </w:p>
        </w:tc>
      </w:tr>
      <w:tr w:rsidR="00CE2ACC" w:rsidRPr="00444459">
        <w:trPr>
          <w:trHeight w:val="345"/>
          <w:jc w:val="center"/>
        </w:trPr>
        <w:tc>
          <w:tcPr>
            <w:tcW w:w="4500" w:type="dxa"/>
            <w:gridSpan w:val="3"/>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b/>
                <w:sz w:val="20"/>
                <w:szCs w:val="20"/>
                <w:lang w:val="en-GB"/>
              </w:rPr>
            </w:pPr>
            <w:r w:rsidRPr="00444459">
              <w:rPr>
                <w:b/>
                <w:lang w:val="en-GB"/>
              </w:rPr>
              <w:t>D/A</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Sainsbury</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Morrisons</w:t>
            </w:r>
          </w:p>
        </w:tc>
      </w:tr>
      <w:tr w:rsidR="00CE2ACC" w:rsidRPr="00444459">
        <w:trPr>
          <w:trHeight w:val="34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2019</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0.64</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0.53</w:t>
            </w:r>
          </w:p>
        </w:tc>
      </w:tr>
      <w:tr w:rsidR="00CE2ACC" w:rsidRPr="00444459">
        <w:trPr>
          <w:trHeight w:val="360"/>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2020</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0.72</w:t>
            </w:r>
          </w:p>
        </w:tc>
        <w:tc>
          <w:tcPr>
            <w:tcW w:w="1500" w:type="dxa"/>
            <w:tcBorders>
              <w:top w:val="single" w:sz="4" w:space="0" w:color="CCCCCC"/>
              <w:left w:val="single" w:sz="4" w:space="0" w:color="CCCCCC"/>
              <w:bottom w:val="single" w:sz="11"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0.58</w:t>
            </w:r>
          </w:p>
        </w:tc>
      </w:tr>
      <w:tr w:rsidR="00CE2ACC" w:rsidRPr="00444459">
        <w:trPr>
          <w:trHeight w:val="375"/>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2021</w:t>
            </w:r>
          </w:p>
        </w:tc>
        <w:tc>
          <w:tcPr>
            <w:tcW w:w="1500" w:type="dxa"/>
            <w:tcBorders>
              <w:top w:val="single" w:sz="4" w:space="0" w:color="CCCCCC"/>
              <w:left w:val="single" w:sz="4" w:space="0" w:color="CCCCCC"/>
              <w:bottom w:val="single" w:sz="4" w:space="0" w:color="000000"/>
              <w:right w:val="single" w:sz="11"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0.74</w:t>
            </w:r>
          </w:p>
        </w:tc>
        <w:tc>
          <w:tcPr>
            <w:tcW w:w="1500" w:type="dxa"/>
            <w:tcBorders>
              <w:top w:val="single" w:sz="4" w:space="0" w:color="CCCCCC"/>
              <w:left w:val="single" w:sz="4" w:space="0" w:color="CCCCCC"/>
              <w:bottom w:val="single" w:sz="11" w:space="0" w:color="000000"/>
              <w:right w:val="single" w:sz="11" w:space="0" w:color="000000"/>
            </w:tcBorders>
            <w:shd w:val="clear" w:color="auto" w:fill="FFFFFF"/>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0.62</w:t>
            </w:r>
          </w:p>
        </w:tc>
      </w:tr>
      <w:tr w:rsidR="00CE2ACC" w:rsidRPr="00444459">
        <w:trPr>
          <w:trHeight w:val="360"/>
          <w:jc w:val="center"/>
        </w:trPr>
        <w:tc>
          <w:tcPr>
            <w:tcW w:w="1500" w:type="dxa"/>
            <w:tcBorders>
              <w:top w:val="single" w:sz="4" w:space="0" w:color="CCCCCC"/>
              <w:left w:val="single" w:sz="15" w:space="0" w:color="000000"/>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2022</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0.7</w:t>
            </w:r>
          </w:p>
        </w:tc>
        <w:tc>
          <w:tcPr>
            <w:tcW w:w="1500" w:type="dxa"/>
            <w:tcBorders>
              <w:top w:val="single" w:sz="4" w:space="0" w:color="CCCCCC"/>
              <w:left w:val="single" w:sz="4" w:space="0" w:color="CCCCCC"/>
              <w:bottom w:val="single" w:sz="4"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0.64</w:t>
            </w:r>
          </w:p>
        </w:tc>
      </w:tr>
      <w:tr w:rsidR="00CE2ACC" w:rsidRPr="00444459">
        <w:trPr>
          <w:trHeight w:val="360"/>
          <w:jc w:val="center"/>
        </w:trPr>
        <w:tc>
          <w:tcPr>
            <w:tcW w:w="1500" w:type="dxa"/>
            <w:tcBorders>
              <w:top w:val="single" w:sz="4" w:space="0" w:color="CCCCCC"/>
              <w:left w:val="single" w:sz="15" w:space="0" w:color="000000"/>
              <w:bottom w:val="single" w:sz="15"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2023</w:t>
            </w:r>
          </w:p>
        </w:tc>
        <w:tc>
          <w:tcPr>
            <w:tcW w:w="1500" w:type="dxa"/>
            <w:tcBorders>
              <w:top w:val="single" w:sz="4" w:space="0" w:color="CCCCCC"/>
              <w:left w:val="single" w:sz="4" w:space="0" w:color="CCCCCC"/>
              <w:bottom w:val="single" w:sz="15" w:space="0" w:color="000000"/>
              <w:right w:val="single" w:sz="4"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0.71</w:t>
            </w:r>
          </w:p>
        </w:tc>
        <w:tc>
          <w:tcPr>
            <w:tcW w:w="1500" w:type="dxa"/>
            <w:tcBorders>
              <w:top w:val="single" w:sz="4" w:space="0" w:color="CCCCCC"/>
              <w:left w:val="single" w:sz="4" w:space="0" w:color="CCCCCC"/>
              <w:bottom w:val="single" w:sz="15" w:space="0" w:color="000000"/>
              <w:right w:val="single" w:sz="15" w:space="0" w:color="000000"/>
            </w:tcBorders>
            <w:shd w:val="clear" w:color="auto" w:fill="auto"/>
            <w:tcMar>
              <w:top w:w="40" w:type="dxa"/>
              <w:left w:w="40" w:type="dxa"/>
              <w:bottom w:w="40" w:type="dxa"/>
              <w:right w:w="40" w:type="dxa"/>
            </w:tcMar>
            <w:vAlign w:val="bottom"/>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0.65</w:t>
            </w:r>
          </w:p>
        </w:tc>
      </w:tr>
    </w:tbl>
    <w:p w:rsidR="00CE2ACC" w:rsidRPr="00444459" w:rsidRDefault="002A2FDB" w:rsidP="00444459">
      <w:pPr>
        <w:pStyle w:val="Normal1"/>
        <w:jc w:val="center"/>
        <w:rPr>
          <w:b/>
          <w:lang w:val="en-GB"/>
        </w:rPr>
      </w:pPr>
      <w:r w:rsidRPr="00444459">
        <w:rPr>
          <w:b/>
          <w:lang w:val="en-GB"/>
        </w:rPr>
        <w:t>Table 7: Comparison of the Solvency Ratios</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The debt-equity ratio is another measure of relative financial obligation, and it shows how much debt has been used in relation to shareholders’ equity. The observation made above means that, the ratio of Sainsbury's goes from 1.78 in 2019 to 2.81 in 2021,</w:t>
      </w:r>
      <w:r w:rsidRPr="00444459">
        <w:rPr>
          <w:lang w:val="en-GB"/>
        </w:rPr>
        <w:t xml:space="preserve"> and then it goes down to 2.2 in 2023, which is a modest decrease from the previous two years.  This shows that debt financing is higher than equity financing implying that the firm has more financial risks given by debts implying that it has more problems</w:t>
      </w:r>
      <w:r w:rsidRPr="00444459">
        <w:rPr>
          <w:lang w:val="en-GB"/>
        </w:rPr>
        <w:t xml:space="preserve"> if there is a downturn in the economy. On the other hand, Morrisons has a debt-equity ratio that is even more cautious, ranging from 1.14 to 1.83, which may mean that it provides a greater balance between </w:t>
      </w:r>
      <w:r w:rsidR="008A4188">
        <w:rPr>
          <w:lang w:val="en-GB"/>
        </w:rPr>
        <w:t xml:space="preserve">the </w:t>
      </w:r>
      <w:r w:rsidRPr="00444459">
        <w:rPr>
          <w:lang w:val="en-GB"/>
        </w:rPr>
        <w:t>use of debt and equity to finance its activiti</w:t>
      </w:r>
      <w:r w:rsidRPr="00444459">
        <w:rPr>
          <w:lang w:val="en-GB"/>
        </w:rPr>
        <w:t>es with the resultant prospect of better financial stability.</w:t>
      </w:r>
    </w:p>
    <w:p w:rsidR="00CE2ACC" w:rsidRPr="00444459" w:rsidRDefault="002A2FDB" w:rsidP="00444459">
      <w:pPr>
        <w:pStyle w:val="Normal1"/>
        <w:rPr>
          <w:lang w:val="en-GB"/>
        </w:rPr>
      </w:pPr>
      <w:r w:rsidRPr="00444459">
        <w:rPr>
          <w:lang w:val="en-GB"/>
        </w:rPr>
        <w:t>The debt-asset ratio, which points to the extent to which a company is using debt financing to fund its assets, is another area where the two companies exhibit a difference. The debt-to-asset ra</w:t>
      </w:r>
      <w:r w:rsidRPr="00444459">
        <w:rPr>
          <w:lang w:val="en-GB"/>
        </w:rPr>
        <w:t xml:space="preserve">tio for Sainsbury stays higher during the time, going from 0.64 to 0.74, while the ratio for </w:t>
      </w:r>
      <w:r w:rsidRPr="00444459">
        <w:rPr>
          <w:lang w:val="en-GB"/>
        </w:rPr>
        <w:lastRenderedPageBreak/>
        <w:t xml:space="preserve">Morrisons goes up slightly, from 0.53 to 0.65. This implies that relative to the total amount of assets, Sainsbury seems to be more geared up </w:t>
      </w:r>
      <w:r w:rsidR="008A4188">
        <w:rPr>
          <w:lang w:val="en-GB"/>
        </w:rPr>
        <w:t xml:space="preserve">and </w:t>
      </w:r>
      <w:r w:rsidRPr="00444459">
        <w:rPr>
          <w:lang w:val="en-GB"/>
        </w:rPr>
        <w:t>thus exposed to m</w:t>
      </w:r>
      <w:r w:rsidRPr="00444459">
        <w:rPr>
          <w:lang w:val="en-GB"/>
        </w:rPr>
        <w:t>ore financial pressures as compared to Morrisons which has a more conservative capital structure.</w:t>
      </w:r>
    </w:p>
    <w:p w:rsidR="00CE2ACC" w:rsidRPr="00444459" w:rsidRDefault="002A2FDB" w:rsidP="00444459">
      <w:pPr>
        <w:pStyle w:val="Heading2"/>
        <w:rPr>
          <w:lang w:val="en-GB"/>
        </w:rPr>
      </w:pPr>
      <w:bookmarkStart w:id="49" w:name="_fxdrbvltvp9z" w:colFirst="0" w:colLast="0"/>
      <w:bookmarkStart w:id="50" w:name="_Toc173414333"/>
      <w:bookmarkEnd w:id="49"/>
      <w:r w:rsidRPr="00444459">
        <w:rPr>
          <w:lang w:val="en-GB"/>
        </w:rPr>
        <w:t>Recommendation towards improvement</w:t>
      </w:r>
      <w:bookmarkEnd w:id="50"/>
    </w:p>
    <w:p w:rsidR="00CE2ACC" w:rsidRPr="00444459" w:rsidRDefault="002A2FDB" w:rsidP="00444459">
      <w:pPr>
        <w:pStyle w:val="Normal1"/>
        <w:rPr>
          <w:lang w:val="en-GB"/>
        </w:rPr>
      </w:pPr>
      <w:r w:rsidRPr="00444459">
        <w:rPr>
          <w:lang w:val="en-GB"/>
        </w:rPr>
        <w:t xml:space="preserve">The financial ratios have formulated the comparison of the financial well-being of both companies in a significant format. </w:t>
      </w:r>
      <w:r w:rsidRPr="00444459">
        <w:rPr>
          <w:lang w:val="en-GB"/>
        </w:rPr>
        <w:t xml:space="preserve">In terms of considering this, it can be noted that there </w:t>
      </w:r>
      <w:r w:rsidR="008A4188" w:rsidRPr="00444459">
        <w:rPr>
          <w:lang w:val="en-GB"/>
        </w:rPr>
        <w:t>is</w:t>
      </w:r>
      <w:r w:rsidR="009070E9">
        <w:rPr>
          <w:lang w:val="en-GB"/>
        </w:rPr>
        <w:t xml:space="preserve">a </w:t>
      </w:r>
      <w:r w:rsidRPr="00444459">
        <w:rPr>
          <w:lang w:val="en-GB"/>
        </w:rPr>
        <w:t>certain prospectus that can provide a better opportunity for the growth and development of the company as a whole. The recommendations are outlined and discussed in brief below:</w:t>
      </w:r>
    </w:p>
    <w:p w:rsidR="00CE2ACC" w:rsidRPr="00444459" w:rsidRDefault="002A2FDB" w:rsidP="00444459">
      <w:pPr>
        <w:pStyle w:val="Normal1"/>
        <w:numPr>
          <w:ilvl w:val="0"/>
          <w:numId w:val="3"/>
        </w:numPr>
        <w:rPr>
          <w:lang w:val="en-GB"/>
        </w:rPr>
      </w:pPr>
      <w:r w:rsidRPr="00444459">
        <w:rPr>
          <w:lang w:val="en-GB"/>
        </w:rPr>
        <w:t>The profit margin</w:t>
      </w:r>
      <w:r w:rsidRPr="00444459">
        <w:rPr>
          <w:lang w:val="en-GB"/>
        </w:rPr>
        <w:t xml:space="preserve"> of Sainsbury is not at a standard level. The revenue of the organisation has increased, though there is no such positive impact on the profit margin. Based on this, it is recommended to maintain a lower cost of the expense that can contribute towards a st</w:t>
      </w:r>
      <w:r w:rsidRPr="00444459">
        <w:rPr>
          <w:lang w:val="en-GB"/>
        </w:rPr>
        <w:t xml:space="preserve">andard profit margin to the business as a whole. For this purpose, the organisation can also eliminate certain </w:t>
      </w:r>
      <w:r w:rsidR="00AA1F3D">
        <w:rPr>
          <w:lang w:val="en-GB"/>
        </w:rPr>
        <w:t>unnecessary</w:t>
      </w:r>
      <w:r w:rsidRPr="00444459">
        <w:rPr>
          <w:lang w:val="en-GB"/>
        </w:rPr>
        <w:t xml:space="preserve"> expenses that they are using within their operational activities. </w:t>
      </w:r>
    </w:p>
    <w:p w:rsidR="00CE2ACC" w:rsidRPr="00444459" w:rsidRDefault="002A2FDB" w:rsidP="00444459">
      <w:pPr>
        <w:pStyle w:val="Normal1"/>
        <w:numPr>
          <w:ilvl w:val="0"/>
          <w:numId w:val="3"/>
        </w:numPr>
        <w:rPr>
          <w:lang w:val="en-GB"/>
        </w:rPr>
      </w:pPr>
      <w:r w:rsidRPr="00444459">
        <w:rPr>
          <w:lang w:val="en-GB"/>
        </w:rPr>
        <w:t>Sainsbury is recommended to focus on the inventories that their bu</w:t>
      </w:r>
      <w:r w:rsidRPr="00444459">
        <w:rPr>
          <w:lang w:val="en-GB"/>
        </w:rPr>
        <w:t xml:space="preserve">siness is having. It has been noted that over the period, the relevance of the inventory has decreased for the company in terms of managing the business requirements. Certainly, it is recommended that the company have a broader focus on </w:t>
      </w:r>
      <w:r w:rsidR="00AA1F3D">
        <w:rPr>
          <w:lang w:val="en-GB"/>
        </w:rPr>
        <w:t>its</w:t>
      </w:r>
      <w:r w:rsidRPr="00444459">
        <w:rPr>
          <w:lang w:val="en-GB"/>
        </w:rPr>
        <w:t xml:space="preserve"> inventory that </w:t>
      </w:r>
      <w:r w:rsidRPr="00444459">
        <w:rPr>
          <w:lang w:val="en-GB"/>
        </w:rPr>
        <w:t xml:space="preserve">can further support the business prospectus. </w:t>
      </w:r>
    </w:p>
    <w:p w:rsidR="00CE2ACC" w:rsidRPr="00444459" w:rsidRDefault="002A2FDB" w:rsidP="00444459">
      <w:pPr>
        <w:pStyle w:val="Normal1"/>
        <w:numPr>
          <w:ilvl w:val="0"/>
          <w:numId w:val="3"/>
        </w:numPr>
        <w:rPr>
          <w:lang w:val="en-GB"/>
        </w:rPr>
      </w:pPr>
      <w:r w:rsidRPr="00444459">
        <w:rPr>
          <w:lang w:val="en-GB"/>
        </w:rPr>
        <w:t>Sainsbury is also recommended for the liabilities that are present within their business. It has been observed that over the period, Sainsbury had a higher level of debt as compared to that of its competitor. S</w:t>
      </w:r>
      <w:r w:rsidRPr="00444459">
        <w:rPr>
          <w:lang w:val="en-GB"/>
        </w:rPr>
        <w:t xml:space="preserve">ubsequently, the organisation is recommended to maintain the valuation of liabilities within </w:t>
      </w:r>
      <w:r w:rsidR="00AA1F3D">
        <w:rPr>
          <w:lang w:val="en-GB"/>
        </w:rPr>
        <w:t>its</w:t>
      </w:r>
      <w:r w:rsidRPr="00444459">
        <w:rPr>
          <w:lang w:val="en-GB"/>
        </w:rPr>
        <w:t xml:space="preserve"> business. </w:t>
      </w:r>
    </w:p>
    <w:p w:rsidR="00CE2ACC" w:rsidRPr="00444459" w:rsidRDefault="002A2FDB" w:rsidP="00444459">
      <w:pPr>
        <w:pStyle w:val="Heading1"/>
        <w:rPr>
          <w:lang w:val="en-GB"/>
        </w:rPr>
      </w:pPr>
      <w:bookmarkStart w:id="51" w:name="_ql944j43pz9a" w:colFirst="0" w:colLast="0"/>
      <w:bookmarkStart w:id="52" w:name="_Toc173414334"/>
      <w:bookmarkEnd w:id="51"/>
      <w:r w:rsidRPr="00444459">
        <w:rPr>
          <w:lang w:val="en-GB"/>
        </w:rPr>
        <w:t xml:space="preserve">Part </w:t>
      </w:r>
      <w:r w:rsidR="00444459" w:rsidRPr="00444459">
        <w:rPr>
          <w:lang w:val="en-GB"/>
        </w:rPr>
        <w:t>(C</w:t>
      </w:r>
      <w:r w:rsidRPr="00444459">
        <w:rPr>
          <w:lang w:val="en-GB"/>
        </w:rPr>
        <w:t>): Investment appraisal</w:t>
      </w:r>
      <w:bookmarkEnd w:id="52"/>
    </w:p>
    <w:p w:rsidR="00CE2ACC" w:rsidRPr="00444459" w:rsidRDefault="002A2FDB" w:rsidP="00444459">
      <w:pPr>
        <w:pStyle w:val="Heading2"/>
        <w:rPr>
          <w:lang w:val="en-GB"/>
        </w:rPr>
      </w:pPr>
      <w:bookmarkStart w:id="53" w:name="_bzzk8wdx6y23" w:colFirst="0" w:colLast="0"/>
      <w:bookmarkStart w:id="54" w:name="_Toc173414335"/>
      <w:bookmarkEnd w:id="53"/>
      <w:r w:rsidRPr="00444459">
        <w:rPr>
          <w:lang w:val="en-GB"/>
        </w:rPr>
        <w:t>The investment appraisal techniques</w:t>
      </w:r>
      <w:bookmarkEnd w:id="54"/>
    </w:p>
    <w:tbl>
      <w:tblPr>
        <w:tblStyle w:val="Table9"/>
        <w:tblW w:w="8085" w:type="dxa"/>
        <w:jc w:val="center"/>
        <w:tblInd w:w="0" w:type="dxa"/>
        <w:tblBorders>
          <w:top w:val="nil"/>
          <w:left w:val="nil"/>
          <w:bottom w:val="nil"/>
          <w:right w:val="nil"/>
          <w:insideH w:val="nil"/>
          <w:insideV w:val="nil"/>
        </w:tblBorders>
        <w:tblLayout w:type="fixed"/>
        <w:tblLook w:val="0600"/>
      </w:tblPr>
      <w:tblGrid>
        <w:gridCol w:w="1500"/>
        <w:gridCol w:w="1500"/>
        <w:gridCol w:w="1650"/>
        <w:gridCol w:w="1725"/>
        <w:gridCol w:w="1710"/>
      </w:tblGrid>
      <w:tr w:rsidR="00CE2ACC" w:rsidRPr="00444459">
        <w:trPr>
          <w:trHeight w:val="360"/>
          <w:jc w:val="center"/>
        </w:trPr>
        <w:tc>
          <w:tcPr>
            <w:tcW w:w="8085" w:type="dxa"/>
            <w:gridSpan w:val="5"/>
            <w:tcBorders>
              <w:top w:val="single" w:sz="4" w:space="0" w:color="000000"/>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Payback Period for A and B</w:t>
            </w:r>
          </w:p>
        </w:tc>
      </w:tr>
      <w:tr w:rsidR="00CE2ACC" w:rsidRPr="00444459">
        <w:trPr>
          <w:trHeight w:val="645"/>
          <w:jc w:val="center"/>
        </w:trPr>
        <w:tc>
          <w:tcPr>
            <w:tcW w:w="1500" w:type="dxa"/>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CF (for A)</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c>
          <w:tcPr>
            <w:tcW w:w="165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Cumulative</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CF (for A) in £</w:t>
            </w:r>
          </w:p>
        </w:tc>
        <w:tc>
          <w:tcPr>
            <w:tcW w:w="1725" w:type="dxa"/>
            <w:tcBorders>
              <w:top w:val="single" w:sz="4" w:space="0" w:color="CCCCCC"/>
              <w:left w:val="single" w:sz="4" w:space="0" w:color="CCCCCC"/>
              <w:bottom w:val="single" w:sz="4" w:space="0" w:color="000000"/>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 xml:space="preserve">CF </w:t>
            </w:r>
            <w:r w:rsidRPr="00444459">
              <w:rPr>
                <w:b/>
                <w:lang w:val="en-GB"/>
              </w:rPr>
              <w:t>(for B)</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c>
          <w:tcPr>
            <w:tcW w:w="171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Cumulative</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CF (for B) in £</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0</w:t>
            </w:r>
          </w:p>
        </w:tc>
        <w:tc>
          <w:tcPr>
            <w:tcW w:w="1500"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-80,000,000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-80,000,000</w:t>
            </w:r>
          </w:p>
        </w:tc>
        <w:tc>
          <w:tcPr>
            <w:tcW w:w="172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-75,000,000</w:t>
            </w:r>
          </w:p>
        </w:tc>
        <w:tc>
          <w:tcPr>
            <w:tcW w:w="171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-75,000,000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w:t>
            </w:r>
          </w:p>
        </w:tc>
        <w:tc>
          <w:tcPr>
            <w:tcW w:w="1500"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-55,000,000</w:t>
            </w:r>
          </w:p>
        </w:tc>
        <w:tc>
          <w:tcPr>
            <w:tcW w:w="172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50,000,000</w:t>
            </w:r>
          </w:p>
        </w:tc>
        <w:tc>
          <w:tcPr>
            <w:tcW w:w="171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-25,000,000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lastRenderedPageBreak/>
              <w:t>2</w:t>
            </w:r>
          </w:p>
        </w:tc>
        <w:tc>
          <w:tcPr>
            <w:tcW w:w="1500"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-30,000,000</w:t>
            </w:r>
          </w:p>
        </w:tc>
        <w:tc>
          <w:tcPr>
            <w:tcW w:w="172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20,000,000</w:t>
            </w:r>
          </w:p>
        </w:tc>
        <w:tc>
          <w:tcPr>
            <w:tcW w:w="171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-5,000,000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w:t>
            </w:r>
          </w:p>
        </w:tc>
        <w:tc>
          <w:tcPr>
            <w:tcW w:w="1500"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-10,000,000</w:t>
            </w:r>
          </w:p>
        </w:tc>
        <w:tc>
          <w:tcPr>
            <w:tcW w:w="172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20,000,000</w:t>
            </w:r>
          </w:p>
        </w:tc>
        <w:tc>
          <w:tcPr>
            <w:tcW w:w="171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15,000,000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4</w:t>
            </w:r>
          </w:p>
        </w:tc>
        <w:tc>
          <w:tcPr>
            <w:tcW w:w="1500"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55,000,000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45,000,000</w:t>
            </w:r>
          </w:p>
        </w:tc>
        <w:tc>
          <w:tcPr>
            <w:tcW w:w="172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20,000,000</w:t>
            </w:r>
          </w:p>
        </w:tc>
        <w:tc>
          <w:tcPr>
            <w:tcW w:w="171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lang w:val="en-GB"/>
              </w:rPr>
              <w:t>35,000,000</w:t>
            </w:r>
          </w:p>
        </w:tc>
      </w:tr>
      <w:tr w:rsidR="00CE2ACC" w:rsidRPr="00444459">
        <w:trPr>
          <w:trHeight w:val="645"/>
          <w:jc w:val="center"/>
        </w:trPr>
        <w:tc>
          <w:tcPr>
            <w:tcW w:w="1500" w:type="dxa"/>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Payback period</w:t>
            </w:r>
          </w:p>
        </w:tc>
        <w:tc>
          <w:tcPr>
            <w:tcW w:w="3150" w:type="dxa"/>
            <w:gridSpan w:val="2"/>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3.2</w:t>
            </w:r>
          </w:p>
        </w:tc>
        <w:tc>
          <w:tcPr>
            <w:tcW w:w="3435" w:type="dxa"/>
            <w:gridSpan w:val="2"/>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2.3</w:t>
            </w:r>
          </w:p>
        </w:tc>
      </w:tr>
    </w:tbl>
    <w:p w:rsidR="00CE2ACC" w:rsidRPr="00444459" w:rsidRDefault="002A2FDB" w:rsidP="00444459">
      <w:pPr>
        <w:pStyle w:val="Normal1"/>
        <w:jc w:val="center"/>
        <w:rPr>
          <w:b/>
          <w:lang w:val="en-GB"/>
        </w:rPr>
      </w:pPr>
      <w:r w:rsidRPr="00444459">
        <w:rPr>
          <w:b/>
          <w:lang w:val="en-GB"/>
        </w:rPr>
        <w:t>Table 8: Payback Period</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The payback period implies the time that a certain investment is taking in terms of covering the overall cost of investment (</w:t>
      </w:r>
      <w:r w:rsidRPr="00444459">
        <w:rPr>
          <w:color w:val="222222"/>
          <w:highlight w:val="white"/>
          <w:lang w:val="en-GB"/>
        </w:rPr>
        <w:t>Dai, 2023</w:t>
      </w:r>
      <w:r w:rsidRPr="00444459">
        <w:rPr>
          <w:lang w:val="en-GB"/>
        </w:rPr>
        <w:t>). In terms of considering this, it can be noted that the above figure indicates the payback time against covering the overall cost of investment. Certainly, it has been observed that investment A will be able to cover the able to cover the cost of investm</w:t>
      </w:r>
      <w:r w:rsidRPr="00444459">
        <w:rPr>
          <w:lang w:val="en-GB"/>
        </w:rPr>
        <w:t xml:space="preserve">ent in 3 years and 2 months. On the other hand, investment B will take 2 years and 3 months while covering the cost of investment. Based on the comparison it can be ascertained that investment B can act as the most suitable option as it can cover the cost </w:t>
      </w:r>
      <w:r w:rsidRPr="00444459">
        <w:rPr>
          <w:lang w:val="en-GB"/>
        </w:rPr>
        <w:t xml:space="preserve">of investment in a lower time span as compared to the other investment option.  </w:t>
      </w:r>
    </w:p>
    <w:tbl>
      <w:tblPr>
        <w:tblStyle w:val="Table10"/>
        <w:tblW w:w="8910" w:type="dxa"/>
        <w:jc w:val="center"/>
        <w:tblInd w:w="0" w:type="dxa"/>
        <w:tblBorders>
          <w:top w:val="nil"/>
          <w:left w:val="nil"/>
          <w:bottom w:val="nil"/>
          <w:right w:val="nil"/>
          <w:insideH w:val="nil"/>
          <w:insideV w:val="nil"/>
        </w:tblBorders>
        <w:tblLayout w:type="fixed"/>
        <w:tblLook w:val="0600"/>
      </w:tblPr>
      <w:tblGrid>
        <w:gridCol w:w="1455"/>
        <w:gridCol w:w="1455"/>
        <w:gridCol w:w="1455"/>
        <w:gridCol w:w="1455"/>
        <w:gridCol w:w="1455"/>
        <w:gridCol w:w="1635"/>
      </w:tblGrid>
      <w:tr w:rsidR="00CE2ACC" w:rsidRPr="00444459">
        <w:trPr>
          <w:trHeight w:val="360"/>
          <w:jc w:val="center"/>
        </w:trPr>
        <w:tc>
          <w:tcPr>
            <w:tcW w:w="8910" w:type="dxa"/>
            <w:gridSpan w:val="6"/>
            <w:tcBorders>
              <w:top w:val="single" w:sz="4" w:space="0" w:color="000000"/>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Net Present Value</w:t>
            </w:r>
          </w:p>
        </w:tc>
      </w:tr>
      <w:tr w:rsidR="00CE2ACC" w:rsidRPr="00444459">
        <w:trPr>
          <w:trHeight w:val="915"/>
          <w:jc w:val="center"/>
        </w:trPr>
        <w:tc>
          <w:tcPr>
            <w:tcW w:w="1455" w:type="dxa"/>
            <w:tcBorders>
              <w:top w:val="single" w:sz="4" w:space="0" w:color="CCCCCC"/>
              <w:left w:val="single" w:sz="4" w:space="0" w:color="000000"/>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Years</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Discounting</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Factor (9.75%)</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CF (for A)</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Discounted CF (for A)</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CF (for B)</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c>
          <w:tcPr>
            <w:tcW w:w="163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b/>
                <w:lang w:val="en-GB"/>
              </w:rPr>
            </w:pPr>
            <w:r w:rsidRPr="00444459">
              <w:rPr>
                <w:b/>
                <w:lang w:val="en-GB"/>
              </w:rPr>
              <w:t>Discounted CF (for B)</w:t>
            </w:r>
          </w:p>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in £</w:t>
            </w:r>
          </w:p>
        </w:tc>
      </w:tr>
      <w:tr w:rsidR="00CE2ACC" w:rsidRPr="00444459">
        <w:trPr>
          <w:trHeight w:val="360"/>
          <w:jc w:val="center"/>
        </w:trPr>
        <w:tc>
          <w:tcPr>
            <w:tcW w:w="1455" w:type="dxa"/>
            <w:tcBorders>
              <w:top w:val="single" w:sz="4" w:space="0" w:color="CCCCCC"/>
              <w:left w:val="single" w:sz="4" w:space="0" w:color="000000"/>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1.11</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25,000,000</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27,700,831</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50,000,000</w:t>
            </w:r>
          </w:p>
        </w:tc>
        <w:tc>
          <w:tcPr>
            <w:tcW w:w="163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55,401,662</w:t>
            </w:r>
          </w:p>
        </w:tc>
      </w:tr>
      <w:tr w:rsidR="00CE2ACC" w:rsidRPr="00444459">
        <w:trPr>
          <w:trHeight w:val="360"/>
          <w:jc w:val="center"/>
        </w:trPr>
        <w:tc>
          <w:tcPr>
            <w:tcW w:w="1455" w:type="dxa"/>
            <w:tcBorders>
              <w:top w:val="single" w:sz="4" w:space="0" w:color="CCCCCC"/>
              <w:left w:val="single" w:sz="4" w:space="0" w:color="000000"/>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1.23</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25,000,000</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30,693,442</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c>
          <w:tcPr>
            <w:tcW w:w="163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24,554,753</w:t>
            </w:r>
          </w:p>
        </w:tc>
      </w:tr>
      <w:tr w:rsidR="00CE2ACC" w:rsidRPr="00444459">
        <w:trPr>
          <w:trHeight w:val="360"/>
          <w:jc w:val="center"/>
        </w:trPr>
        <w:tc>
          <w:tcPr>
            <w:tcW w:w="1455" w:type="dxa"/>
            <w:tcBorders>
              <w:top w:val="single" w:sz="4" w:space="0" w:color="CCCCCC"/>
              <w:left w:val="single" w:sz="4" w:space="0" w:color="000000"/>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1.36</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27,207,483</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c>
          <w:tcPr>
            <w:tcW w:w="163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27,207,483</w:t>
            </w:r>
          </w:p>
        </w:tc>
      </w:tr>
      <w:tr w:rsidR="00CE2ACC" w:rsidRPr="00444459">
        <w:trPr>
          <w:trHeight w:val="360"/>
          <w:jc w:val="center"/>
        </w:trPr>
        <w:tc>
          <w:tcPr>
            <w:tcW w:w="1455" w:type="dxa"/>
            <w:tcBorders>
              <w:top w:val="single" w:sz="4" w:space="0" w:color="CCCCCC"/>
              <w:left w:val="single" w:sz="4" w:space="0" w:color="000000"/>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4</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1.51</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55,000,000</w:t>
            </w:r>
          </w:p>
        </w:tc>
        <w:tc>
          <w:tcPr>
            <w:tcW w:w="145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82,903,687</w:t>
            </w:r>
          </w:p>
        </w:tc>
        <w:tc>
          <w:tcPr>
            <w:tcW w:w="1455" w:type="dxa"/>
            <w:tcBorders>
              <w:top w:val="single" w:sz="4" w:space="0" w:color="CCCCCC"/>
              <w:left w:val="single" w:sz="4" w:space="0" w:color="CCCCCC"/>
              <w:bottom w:val="single" w:sz="4" w:space="0" w:color="CCCCCC"/>
              <w:right w:val="single" w:sz="4" w:space="0" w:color="CCCCCC"/>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c>
          <w:tcPr>
            <w:tcW w:w="1635"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30,146,795</w:t>
            </w:r>
          </w:p>
        </w:tc>
      </w:tr>
      <w:tr w:rsidR="00CE2ACC" w:rsidRPr="00444459">
        <w:trPr>
          <w:trHeight w:val="645"/>
          <w:jc w:val="center"/>
        </w:trPr>
        <w:tc>
          <w:tcPr>
            <w:tcW w:w="2910" w:type="dxa"/>
            <w:gridSpan w:val="2"/>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Present Value of the cash flows (i)</w:t>
            </w:r>
          </w:p>
        </w:tc>
        <w:tc>
          <w:tcPr>
            <w:tcW w:w="2910" w:type="dxa"/>
            <w:gridSpan w:val="2"/>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168,505,443</w:t>
            </w:r>
          </w:p>
        </w:tc>
        <w:tc>
          <w:tcPr>
            <w:tcW w:w="3090" w:type="dxa"/>
            <w:gridSpan w:val="2"/>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137,310,694</w:t>
            </w:r>
          </w:p>
        </w:tc>
      </w:tr>
      <w:tr w:rsidR="00CE2ACC" w:rsidRPr="00444459">
        <w:trPr>
          <w:trHeight w:val="360"/>
          <w:jc w:val="center"/>
        </w:trPr>
        <w:tc>
          <w:tcPr>
            <w:tcW w:w="2910" w:type="dxa"/>
            <w:gridSpan w:val="2"/>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 xml:space="preserve">Initial </w:t>
            </w:r>
            <w:r w:rsidRPr="00444459">
              <w:rPr>
                <w:lang w:val="en-GB"/>
              </w:rPr>
              <w:t>Investment (ii)</w:t>
            </w:r>
          </w:p>
        </w:tc>
        <w:tc>
          <w:tcPr>
            <w:tcW w:w="2910" w:type="dxa"/>
            <w:gridSpan w:val="2"/>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80,000,000</w:t>
            </w:r>
          </w:p>
        </w:tc>
        <w:tc>
          <w:tcPr>
            <w:tcW w:w="3090" w:type="dxa"/>
            <w:gridSpan w:val="2"/>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75,000,000</w:t>
            </w:r>
          </w:p>
        </w:tc>
      </w:tr>
      <w:tr w:rsidR="00CE2ACC" w:rsidRPr="00444459">
        <w:trPr>
          <w:trHeight w:val="360"/>
          <w:jc w:val="center"/>
        </w:trPr>
        <w:tc>
          <w:tcPr>
            <w:tcW w:w="2910" w:type="dxa"/>
            <w:gridSpan w:val="2"/>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NPV (i - ii)</w:t>
            </w:r>
          </w:p>
        </w:tc>
        <w:tc>
          <w:tcPr>
            <w:tcW w:w="2910" w:type="dxa"/>
            <w:gridSpan w:val="2"/>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b/>
                <w:u w:val="single"/>
                <w:lang w:val="en-GB"/>
              </w:rPr>
              <w:t>£88,505,443</w:t>
            </w:r>
          </w:p>
        </w:tc>
        <w:tc>
          <w:tcPr>
            <w:tcW w:w="3090" w:type="dxa"/>
            <w:gridSpan w:val="2"/>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b/>
                <w:u w:val="single"/>
                <w:lang w:val="en-GB"/>
              </w:rPr>
              <w:t>£62,310,694</w:t>
            </w:r>
          </w:p>
        </w:tc>
      </w:tr>
    </w:tbl>
    <w:p w:rsidR="00CE2ACC" w:rsidRPr="00444459" w:rsidRDefault="002A2FDB" w:rsidP="00444459">
      <w:pPr>
        <w:pStyle w:val="Normal1"/>
        <w:jc w:val="center"/>
        <w:rPr>
          <w:b/>
          <w:lang w:val="en-GB"/>
        </w:rPr>
      </w:pPr>
      <w:r w:rsidRPr="00444459">
        <w:rPr>
          <w:b/>
          <w:lang w:val="en-GB"/>
        </w:rPr>
        <w:t>Table 9: Net Present Value</w:t>
      </w:r>
    </w:p>
    <w:p w:rsidR="00CE2ACC" w:rsidRPr="00444459" w:rsidRDefault="002A2FDB" w:rsidP="00444459">
      <w:pPr>
        <w:pStyle w:val="Normal1"/>
        <w:jc w:val="center"/>
        <w:rPr>
          <w:lang w:val="en-GB"/>
        </w:rPr>
      </w:pPr>
      <w:r w:rsidRPr="00444459">
        <w:rPr>
          <w:lang w:val="en-GB"/>
        </w:rPr>
        <w:lastRenderedPageBreak/>
        <w:t>(Source: Calculated by self)</w:t>
      </w:r>
    </w:p>
    <w:p w:rsidR="00CE2ACC" w:rsidRPr="00444459" w:rsidRDefault="002A2FDB" w:rsidP="00444459">
      <w:pPr>
        <w:pStyle w:val="Normal1"/>
        <w:rPr>
          <w:lang w:val="en-GB"/>
        </w:rPr>
      </w:pPr>
      <w:r w:rsidRPr="00444459">
        <w:rPr>
          <w:lang w:val="en-GB"/>
        </w:rPr>
        <w:t xml:space="preserve">The evaluation of net present value is mainly done in terms of indicating the future return that a certain investment will </w:t>
      </w:r>
      <w:r w:rsidRPr="00444459">
        <w:rPr>
          <w:lang w:val="en-GB"/>
        </w:rPr>
        <w:t>be generating in the future course of action (</w:t>
      </w:r>
      <w:r w:rsidRPr="00444459">
        <w:rPr>
          <w:color w:val="222222"/>
          <w:highlight w:val="white"/>
          <w:lang w:val="en-GB"/>
        </w:rPr>
        <w:t>Xiao, 2023</w:t>
      </w:r>
      <w:r w:rsidRPr="00444459">
        <w:rPr>
          <w:lang w:val="en-GB"/>
        </w:rPr>
        <w:t>). In terms of considering this, the above-indicated table reflects the NPV of the two investments. It can be noted that for investment A the NPV is £88,505,443 and for investment B the NPV is £62,310</w:t>
      </w:r>
      <w:r w:rsidRPr="00444459">
        <w:rPr>
          <w:lang w:val="en-GB"/>
        </w:rPr>
        <w:t xml:space="preserve">,694. While comparing the NPV of both investments, it can be ascertained that the investment option “A” will be the most appreciated option on the basis of the future return of the same. </w:t>
      </w:r>
    </w:p>
    <w:tbl>
      <w:tblPr>
        <w:tblStyle w:val="Table11"/>
        <w:tblW w:w="4650" w:type="dxa"/>
        <w:jc w:val="center"/>
        <w:tblInd w:w="0" w:type="dxa"/>
        <w:tblBorders>
          <w:top w:val="nil"/>
          <w:left w:val="nil"/>
          <w:bottom w:val="nil"/>
          <w:right w:val="nil"/>
          <w:insideH w:val="nil"/>
          <w:insideV w:val="nil"/>
        </w:tblBorders>
        <w:tblLayout w:type="fixed"/>
        <w:tblLook w:val="0600"/>
      </w:tblPr>
      <w:tblGrid>
        <w:gridCol w:w="1500"/>
        <w:gridCol w:w="1500"/>
        <w:gridCol w:w="1650"/>
      </w:tblGrid>
      <w:tr w:rsidR="00CE2ACC" w:rsidRPr="00444459">
        <w:trPr>
          <w:trHeight w:val="360"/>
          <w:jc w:val="center"/>
        </w:trPr>
        <w:tc>
          <w:tcPr>
            <w:tcW w:w="4650" w:type="dxa"/>
            <w:gridSpan w:val="3"/>
            <w:tcBorders>
              <w:top w:val="single" w:sz="4" w:space="0" w:color="000000"/>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center"/>
              <w:rPr>
                <w:rFonts w:ascii="Arial" w:eastAsia="Arial" w:hAnsi="Arial" w:cs="Arial"/>
                <w:sz w:val="20"/>
                <w:szCs w:val="20"/>
                <w:lang w:val="en-GB"/>
              </w:rPr>
            </w:pPr>
            <w:r w:rsidRPr="00444459">
              <w:rPr>
                <w:b/>
                <w:lang w:val="en-GB"/>
              </w:rPr>
              <w:t>Average rate of return</w:t>
            </w:r>
          </w:p>
        </w:tc>
      </w:tr>
      <w:tr w:rsidR="00CE2ACC" w:rsidRPr="00444459">
        <w:trPr>
          <w:trHeight w:val="360"/>
          <w:jc w:val="center"/>
        </w:trPr>
        <w:tc>
          <w:tcPr>
            <w:tcW w:w="1500" w:type="dxa"/>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Year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CF (for A)</w:t>
            </w:r>
          </w:p>
        </w:tc>
        <w:tc>
          <w:tcPr>
            <w:tcW w:w="165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CF (for B)</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1</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50,000,000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r>
      <w:tr w:rsidR="00CE2ACC" w:rsidRPr="00444459">
        <w:trPr>
          <w:trHeight w:val="377"/>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4</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55,000,000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20,000,000</w:t>
            </w:r>
          </w:p>
        </w:tc>
      </w:tr>
      <w:tr w:rsidR="00CE2ACC" w:rsidRPr="00444459">
        <w:trPr>
          <w:trHeight w:val="360"/>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Average</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23,333,333</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30,000,000</w:t>
            </w:r>
          </w:p>
        </w:tc>
      </w:tr>
      <w:tr w:rsidR="00CE2ACC" w:rsidRPr="00444459">
        <w:trPr>
          <w:trHeight w:val="645"/>
          <w:jc w:val="center"/>
        </w:trPr>
        <w:tc>
          <w:tcPr>
            <w:tcW w:w="1500" w:type="dxa"/>
            <w:tcBorders>
              <w:top w:val="single" w:sz="4" w:space="0" w:color="CCCCCC"/>
              <w:left w:val="single" w:sz="4" w:space="0" w:color="000000"/>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lang w:val="en-GB"/>
              </w:rPr>
              <w:t>Initial Investment</w:t>
            </w:r>
          </w:p>
        </w:tc>
        <w:tc>
          <w:tcPr>
            <w:tcW w:w="150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80,000,000</w:t>
            </w:r>
          </w:p>
        </w:tc>
        <w:tc>
          <w:tcPr>
            <w:tcW w:w="1650" w:type="dxa"/>
            <w:tcBorders>
              <w:top w:val="single" w:sz="4" w:space="0" w:color="CCCCCC"/>
              <w:left w:val="single" w:sz="4" w:space="0" w:color="CCCCCC"/>
              <w:bottom w:val="single" w:sz="4" w:space="0" w:color="CCCCCC"/>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lang w:val="en-GB"/>
              </w:rPr>
              <w:t>62,310,694</w:t>
            </w:r>
          </w:p>
        </w:tc>
      </w:tr>
      <w:tr w:rsidR="00CE2ACC" w:rsidRPr="00444459">
        <w:trPr>
          <w:trHeight w:val="360"/>
          <w:jc w:val="center"/>
        </w:trPr>
        <w:tc>
          <w:tcPr>
            <w:tcW w:w="1500" w:type="dxa"/>
            <w:tcBorders>
              <w:top w:val="single" w:sz="4" w:space="0" w:color="CCCCCC"/>
              <w:left w:val="single" w:sz="4" w:space="0" w:color="000000"/>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left"/>
              <w:rPr>
                <w:rFonts w:ascii="Arial" w:eastAsia="Arial" w:hAnsi="Arial" w:cs="Arial"/>
                <w:sz w:val="20"/>
                <w:szCs w:val="20"/>
                <w:lang w:val="en-GB"/>
              </w:rPr>
            </w:pPr>
            <w:r w:rsidRPr="00444459">
              <w:rPr>
                <w:b/>
                <w:lang w:val="en-GB"/>
              </w:rPr>
              <w:t>ARR</w:t>
            </w:r>
          </w:p>
        </w:tc>
        <w:tc>
          <w:tcPr>
            <w:tcW w:w="150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b/>
                <w:lang w:val="en-GB"/>
              </w:rPr>
              <w:t>29.17%</w:t>
            </w:r>
          </w:p>
        </w:tc>
        <w:tc>
          <w:tcPr>
            <w:tcW w:w="1650" w:type="dxa"/>
            <w:tcBorders>
              <w:top w:val="single" w:sz="4" w:space="0" w:color="CCCCCC"/>
              <w:left w:val="single" w:sz="4" w:space="0" w:color="CCCCCC"/>
              <w:bottom w:val="single" w:sz="4" w:space="0" w:color="000000"/>
              <w:right w:val="single" w:sz="4" w:space="0" w:color="000000"/>
            </w:tcBorders>
            <w:shd w:val="clear" w:color="auto" w:fill="auto"/>
            <w:tcMar>
              <w:top w:w="40" w:type="dxa"/>
              <w:left w:w="40" w:type="dxa"/>
              <w:bottom w:w="40" w:type="dxa"/>
              <w:right w:w="40" w:type="dxa"/>
            </w:tcMar>
            <w:vAlign w:val="center"/>
          </w:tcPr>
          <w:p w:rsidR="00CE2ACC" w:rsidRPr="00444459" w:rsidRDefault="002A2FDB" w:rsidP="00444459">
            <w:pPr>
              <w:pStyle w:val="Normal1"/>
              <w:widowControl w:val="0"/>
              <w:jc w:val="right"/>
              <w:rPr>
                <w:rFonts w:ascii="Arial" w:eastAsia="Arial" w:hAnsi="Arial" w:cs="Arial"/>
                <w:sz w:val="20"/>
                <w:szCs w:val="20"/>
                <w:lang w:val="en-GB"/>
              </w:rPr>
            </w:pPr>
            <w:r w:rsidRPr="00444459">
              <w:rPr>
                <w:b/>
                <w:lang w:val="en-GB"/>
              </w:rPr>
              <w:t>48.15%</w:t>
            </w:r>
          </w:p>
        </w:tc>
      </w:tr>
    </w:tbl>
    <w:p w:rsidR="00CE2ACC" w:rsidRPr="00444459" w:rsidRDefault="002A2FDB" w:rsidP="00444459">
      <w:pPr>
        <w:pStyle w:val="Normal1"/>
        <w:jc w:val="center"/>
        <w:rPr>
          <w:b/>
          <w:lang w:val="en-GB"/>
        </w:rPr>
      </w:pPr>
      <w:r w:rsidRPr="00444459">
        <w:rPr>
          <w:b/>
          <w:lang w:val="en-GB"/>
        </w:rPr>
        <w:t>Table 10: Accounting Rate of Return</w:t>
      </w:r>
    </w:p>
    <w:p w:rsidR="00CE2ACC" w:rsidRPr="00444459" w:rsidRDefault="002A2FDB" w:rsidP="00444459">
      <w:pPr>
        <w:pStyle w:val="Normal1"/>
        <w:jc w:val="center"/>
        <w:rPr>
          <w:lang w:val="en-GB"/>
        </w:rPr>
      </w:pPr>
      <w:r w:rsidRPr="00444459">
        <w:rPr>
          <w:lang w:val="en-GB"/>
        </w:rPr>
        <w:t>(Source: Calculated by self)</w:t>
      </w:r>
    </w:p>
    <w:p w:rsidR="00CE2ACC" w:rsidRPr="00444459" w:rsidRDefault="002A2FDB" w:rsidP="00444459">
      <w:pPr>
        <w:pStyle w:val="Normal1"/>
        <w:rPr>
          <w:lang w:val="en-GB"/>
        </w:rPr>
      </w:pPr>
      <w:r w:rsidRPr="00444459">
        <w:rPr>
          <w:lang w:val="en-GB"/>
        </w:rPr>
        <w:t xml:space="preserve">The </w:t>
      </w:r>
      <w:r w:rsidRPr="00444459">
        <w:rPr>
          <w:lang w:val="en-GB"/>
        </w:rPr>
        <w:t>accounting rate of return (ARR) is one of the prominent investment appraisal techniques that relates to the growth rate of a certain investment (</w:t>
      </w:r>
      <w:r w:rsidRPr="00444459">
        <w:rPr>
          <w:color w:val="222222"/>
          <w:highlight w:val="white"/>
          <w:lang w:val="en-GB"/>
        </w:rPr>
        <w:t>Nukala, 2021</w:t>
      </w:r>
      <w:r w:rsidRPr="00444459">
        <w:rPr>
          <w:lang w:val="en-GB"/>
        </w:rPr>
        <w:t>). Based on this, the above-indicated table relates the ARR for the concerned two investments. It c</w:t>
      </w:r>
      <w:r w:rsidRPr="00444459">
        <w:rPr>
          <w:lang w:val="en-GB"/>
        </w:rPr>
        <w:t xml:space="preserve">an be observed from the comparison that the ARR of investment in A will have a 39.06% growth rate. On the other hand, investment in the B will have a growth rate of about 36.67% as a whole. The evaluation indicates that on the basis of the ARR, investment </w:t>
      </w:r>
      <w:r w:rsidRPr="00444459">
        <w:rPr>
          <w:lang w:val="en-GB"/>
        </w:rPr>
        <w:t xml:space="preserve">B will have a broader growth rate in the future course of action. </w:t>
      </w:r>
    </w:p>
    <w:p w:rsidR="00CE2ACC" w:rsidRPr="00444459" w:rsidRDefault="002A2FDB" w:rsidP="00444459">
      <w:pPr>
        <w:pStyle w:val="Normal1"/>
        <w:rPr>
          <w:lang w:val="en-GB"/>
        </w:rPr>
      </w:pPr>
      <w:r w:rsidRPr="00444459">
        <w:rPr>
          <w:lang w:val="en-GB"/>
        </w:rPr>
        <w:t>The final decision that can be made against the investment will be for option A. The first reason behind this aspect is just that after the fourth financial year the investments will be abl</w:t>
      </w:r>
      <w:r w:rsidRPr="00444459">
        <w:rPr>
          <w:lang w:val="en-GB"/>
        </w:rPr>
        <w:t xml:space="preserve">e to </w:t>
      </w:r>
      <w:r w:rsidRPr="00444459">
        <w:rPr>
          <w:lang w:val="en-GB"/>
        </w:rPr>
        <w:lastRenderedPageBreak/>
        <w:t xml:space="preserve">generate a broader return. On the other hand, the second reason behind this aspect is just that the growth rate of option A is higher than that of option B. Subsequently, option A acts as the most profitable investment approach from the point of view </w:t>
      </w:r>
      <w:r w:rsidRPr="00444459">
        <w:rPr>
          <w:lang w:val="en-GB"/>
        </w:rPr>
        <w:t xml:space="preserve">of an investor. </w:t>
      </w:r>
    </w:p>
    <w:p w:rsidR="00CE2ACC" w:rsidRPr="00444459" w:rsidRDefault="002A2FDB" w:rsidP="00444459">
      <w:pPr>
        <w:pStyle w:val="Heading2"/>
        <w:rPr>
          <w:lang w:val="en-GB"/>
        </w:rPr>
      </w:pPr>
      <w:bookmarkStart w:id="55" w:name="_qgrt0k14wdjk" w:colFirst="0" w:colLast="0"/>
      <w:bookmarkStart w:id="56" w:name="_Toc173414336"/>
      <w:bookmarkEnd w:id="55"/>
      <w:r w:rsidRPr="00444459">
        <w:rPr>
          <w:lang w:val="en-GB"/>
        </w:rPr>
        <w:t>Advantages and shortcomings</w:t>
      </w:r>
      <w:bookmarkEnd w:id="56"/>
    </w:p>
    <w:p w:rsidR="00CE2ACC" w:rsidRPr="00444459" w:rsidRDefault="002A2FDB" w:rsidP="00444459">
      <w:pPr>
        <w:pStyle w:val="Normal1"/>
        <w:rPr>
          <w:i/>
          <w:u w:val="single"/>
          <w:lang w:val="en-GB"/>
        </w:rPr>
      </w:pPr>
      <w:r w:rsidRPr="00444459">
        <w:rPr>
          <w:i/>
          <w:u w:val="single"/>
          <w:lang w:val="en-GB"/>
        </w:rPr>
        <w:t>Net Present Value (NPV)</w:t>
      </w:r>
    </w:p>
    <w:p w:rsidR="00CE2ACC" w:rsidRPr="00444459" w:rsidRDefault="002A2FDB" w:rsidP="00444459">
      <w:pPr>
        <w:pStyle w:val="Normal1"/>
        <w:rPr>
          <w:lang w:val="en-GB"/>
        </w:rPr>
      </w:pPr>
      <w:r w:rsidRPr="00444459">
        <w:rPr>
          <w:lang w:val="en-GB"/>
        </w:rPr>
        <w:t>Advantages:</w:t>
      </w:r>
    </w:p>
    <w:p w:rsidR="00CE2ACC" w:rsidRPr="00444459" w:rsidRDefault="002A2FDB" w:rsidP="00444459">
      <w:pPr>
        <w:pStyle w:val="Normal1"/>
        <w:numPr>
          <w:ilvl w:val="0"/>
          <w:numId w:val="1"/>
        </w:numPr>
        <w:rPr>
          <w:lang w:val="en-GB"/>
        </w:rPr>
      </w:pPr>
      <w:r w:rsidRPr="00444459">
        <w:rPr>
          <w:lang w:val="en-GB"/>
        </w:rPr>
        <w:t>NPV works on the principle of the time value of money (</w:t>
      </w:r>
      <w:r w:rsidRPr="00444459">
        <w:rPr>
          <w:color w:val="222222"/>
          <w:highlight w:val="white"/>
          <w:lang w:val="en-GB"/>
        </w:rPr>
        <w:t>Dai, 2022</w:t>
      </w:r>
      <w:r w:rsidRPr="00444459">
        <w:rPr>
          <w:lang w:val="en-GB"/>
        </w:rPr>
        <w:t xml:space="preserve">). As a result of this, it becomes easier for an individual to measure the future valuation of a certain some </w:t>
      </w:r>
      <w:r w:rsidRPr="00444459">
        <w:rPr>
          <w:lang w:val="en-GB"/>
        </w:rPr>
        <w:t>of money.</w:t>
      </w:r>
    </w:p>
    <w:p w:rsidR="00CE2ACC" w:rsidRPr="00444459" w:rsidRDefault="002A2FDB" w:rsidP="00444459">
      <w:pPr>
        <w:pStyle w:val="Normal1"/>
        <w:numPr>
          <w:ilvl w:val="0"/>
          <w:numId w:val="1"/>
        </w:numPr>
        <w:rPr>
          <w:lang w:val="en-GB"/>
        </w:rPr>
      </w:pPr>
      <w:r w:rsidRPr="00444459">
        <w:rPr>
          <w:lang w:val="en-GB"/>
        </w:rPr>
        <w:t>The NPV uses the cost of capital of an investment as a result of which it becomes easier to formulate future trends of the same in an adequate manner (</w:t>
      </w:r>
      <w:r w:rsidRPr="00444459">
        <w:rPr>
          <w:color w:val="222222"/>
          <w:highlight w:val="white"/>
          <w:lang w:val="en-GB"/>
        </w:rPr>
        <w:t>Dobrowolski, 2022</w:t>
      </w:r>
      <w:r w:rsidRPr="00444459">
        <w:rPr>
          <w:lang w:val="en-GB"/>
        </w:rPr>
        <w:t xml:space="preserve">). </w:t>
      </w:r>
    </w:p>
    <w:p w:rsidR="00CE2ACC" w:rsidRPr="00444459" w:rsidRDefault="002A2FDB" w:rsidP="00444459">
      <w:pPr>
        <w:pStyle w:val="Normal1"/>
        <w:numPr>
          <w:ilvl w:val="0"/>
          <w:numId w:val="1"/>
        </w:numPr>
        <w:rPr>
          <w:lang w:val="en-GB"/>
        </w:rPr>
      </w:pPr>
      <w:r w:rsidRPr="00444459">
        <w:rPr>
          <w:lang w:val="en-GB"/>
        </w:rPr>
        <w:t>The use of NPV formulates a systematic evaluation while having a variation</w:t>
      </w:r>
      <w:r w:rsidRPr="00444459">
        <w:rPr>
          <w:lang w:val="en-GB"/>
        </w:rPr>
        <w:t xml:space="preserve"> within the cash flows of the investment (</w:t>
      </w:r>
      <w:r w:rsidRPr="00444459">
        <w:rPr>
          <w:color w:val="222222"/>
          <w:highlight w:val="white"/>
          <w:lang w:val="en-GB"/>
        </w:rPr>
        <w:t>Li, 2022</w:t>
      </w:r>
      <w:r w:rsidRPr="00444459">
        <w:rPr>
          <w:lang w:val="en-GB"/>
        </w:rPr>
        <w:t xml:space="preserve">). </w:t>
      </w:r>
    </w:p>
    <w:p w:rsidR="00CE2ACC" w:rsidRPr="00444459" w:rsidRDefault="002A2FDB" w:rsidP="00444459">
      <w:pPr>
        <w:pStyle w:val="Normal1"/>
        <w:rPr>
          <w:lang w:val="en-GB"/>
        </w:rPr>
      </w:pPr>
      <w:r w:rsidRPr="00444459">
        <w:rPr>
          <w:lang w:val="en-GB"/>
        </w:rPr>
        <w:t>Shortcomings:</w:t>
      </w:r>
    </w:p>
    <w:p w:rsidR="00CE2ACC" w:rsidRPr="00444459" w:rsidRDefault="002A2FDB" w:rsidP="00444459">
      <w:pPr>
        <w:pStyle w:val="Normal1"/>
        <w:numPr>
          <w:ilvl w:val="0"/>
          <w:numId w:val="4"/>
        </w:numPr>
        <w:rPr>
          <w:lang w:val="en-GB"/>
        </w:rPr>
      </w:pPr>
      <w:r w:rsidRPr="00444459">
        <w:rPr>
          <w:lang w:val="en-GB"/>
        </w:rPr>
        <w:t xml:space="preserve">NPV is majorly dependent on the cost of capital. Certainly, the absence of the cost of capital creates a major issue in terms of commuting the future value of investments. </w:t>
      </w:r>
    </w:p>
    <w:p w:rsidR="00CE2ACC" w:rsidRPr="00444459" w:rsidRDefault="002A2FDB" w:rsidP="00444459">
      <w:pPr>
        <w:pStyle w:val="Normal1"/>
        <w:numPr>
          <w:ilvl w:val="0"/>
          <w:numId w:val="4"/>
        </w:numPr>
        <w:rPr>
          <w:lang w:val="en-GB"/>
        </w:rPr>
      </w:pPr>
      <w:r w:rsidRPr="00444459">
        <w:rPr>
          <w:lang w:val="en-GB"/>
        </w:rPr>
        <w:t>The NPV is also</w:t>
      </w:r>
      <w:r w:rsidRPr="00444459">
        <w:rPr>
          <w:lang w:val="en-GB"/>
        </w:rPr>
        <w:t xml:space="preserve"> associated with the estimated cash flows of a project (</w:t>
      </w:r>
      <w:r w:rsidRPr="00444459">
        <w:rPr>
          <w:color w:val="222222"/>
          <w:highlight w:val="white"/>
          <w:lang w:val="en-GB"/>
        </w:rPr>
        <w:t>Magni, 2020</w:t>
      </w:r>
      <w:r w:rsidRPr="00444459">
        <w:rPr>
          <w:lang w:val="en-GB"/>
        </w:rPr>
        <w:t xml:space="preserve">). Based on this, there is a higher chance that the future return may not match with the actual return in the future course of action. </w:t>
      </w:r>
    </w:p>
    <w:p w:rsidR="00CE2ACC" w:rsidRPr="00444459" w:rsidRDefault="002A2FDB" w:rsidP="00444459">
      <w:pPr>
        <w:pStyle w:val="Normal1"/>
        <w:rPr>
          <w:i/>
          <w:u w:val="single"/>
          <w:lang w:val="en-GB"/>
        </w:rPr>
      </w:pPr>
      <w:r w:rsidRPr="00444459">
        <w:rPr>
          <w:i/>
          <w:u w:val="single"/>
          <w:lang w:val="en-GB"/>
        </w:rPr>
        <w:t>Payback Period (PBP)</w:t>
      </w:r>
    </w:p>
    <w:p w:rsidR="00CE2ACC" w:rsidRPr="00444459" w:rsidRDefault="002A2FDB" w:rsidP="00444459">
      <w:pPr>
        <w:pStyle w:val="Normal1"/>
        <w:rPr>
          <w:lang w:val="en-GB"/>
        </w:rPr>
      </w:pPr>
      <w:r w:rsidRPr="00444459">
        <w:rPr>
          <w:lang w:val="en-GB"/>
        </w:rPr>
        <w:t>Advantages:</w:t>
      </w:r>
    </w:p>
    <w:p w:rsidR="00CE2ACC" w:rsidRPr="00444459" w:rsidRDefault="002A2FDB" w:rsidP="00444459">
      <w:pPr>
        <w:pStyle w:val="Normal1"/>
        <w:numPr>
          <w:ilvl w:val="0"/>
          <w:numId w:val="1"/>
        </w:numPr>
        <w:rPr>
          <w:lang w:val="en-GB"/>
        </w:rPr>
      </w:pPr>
      <w:r w:rsidRPr="00444459">
        <w:rPr>
          <w:lang w:val="en-GB"/>
        </w:rPr>
        <w:t>The PBP helps the as</w:t>
      </w:r>
      <w:r w:rsidRPr="00444459">
        <w:rPr>
          <w:lang w:val="en-GB"/>
        </w:rPr>
        <w:t>certainment of the aggregate time that a certain investment is taking to cover the overall expenses involved with the same (</w:t>
      </w:r>
      <w:r w:rsidRPr="00444459">
        <w:rPr>
          <w:color w:val="222222"/>
          <w:highlight w:val="white"/>
          <w:lang w:val="en-GB"/>
        </w:rPr>
        <w:t xml:space="preserve">Dai </w:t>
      </w:r>
      <w:r w:rsidRPr="00444459">
        <w:rPr>
          <w:i/>
          <w:color w:val="222222"/>
          <w:highlight w:val="white"/>
          <w:lang w:val="en-GB"/>
        </w:rPr>
        <w:t xml:space="preserve">et al. </w:t>
      </w:r>
      <w:r w:rsidRPr="00444459">
        <w:rPr>
          <w:color w:val="222222"/>
          <w:highlight w:val="white"/>
          <w:lang w:val="en-GB"/>
        </w:rPr>
        <w:t>2022</w:t>
      </w:r>
      <w:r w:rsidRPr="00444459">
        <w:rPr>
          <w:lang w:val="en-GB"/>
        </w:rPr>
        <w:t>). Certainly, one can understand the time taken to cover the operational expenses.</w:t>
      </w:r>
    </w:p>
    <w:p w:rsidR="00CE2ACC" w:rsidRPr="00444459" w:rsidRDefault="002A2FDB" w:rsidP="00444459">
      <w:pPr>
        <w:pStyle w:val="Normal1"/>
        <w:numPr>
          <w:ilvl w:val="0"/>
          <w:numId w:val="1"/>
        </w:numPr>
        <w:rPr>
          <w:lang w:val="en-GB"/>
        </w:rPr>
      </w:pPr>
      <w:r w:rsidRPr="00444459">
        <w:rPr>
          <w:lang w:val="en-GB"/>
        </w:rPr>
        <w:t>PBP is also relevant for the consi</w:t>
      </w:r>
      <w:r w:rsidRPr="00444459">
        <w:rPr>
          <w:lang w:val="en-GB"/>
        </w:rPr>
        <w:t>deration of the salvaged stock that is present within an investment after the end of a certain accounting period (</w:t>
      </w:r>
      <w:r w:rsidRPr="00444459">
        <w:rPr>
          <w:color w:val="222222"/>
          <w:highlight w:val="white"/>
          <w:lang w:val="en-GB"/>
        </w:rPr>
        <w:t xml:space="preserve">Sinaga </w:t>
      </w:r>
      <w:r w:rsidRPr="00444459">
        <w:rPr>
          <w:i/>
          <w:color w:val="222222"/>
          <w:highlight w:val="white"/>
          <w:lang w:val="en-GB"/>
        </w:rPr>
        <w:t xml:space="preserve">et al. </w:t>
      </w:r>
      <w:r w:rsidRPr="00444459">
        <w:rPr>
          <w:color w:val="222222"/>
          <w:highlight w:val="white"/>
          <w:lang w:val="en-GB"/>
        </w:rPr>
        <w:t>2023</w:t>
      </w:r>
      <w:r w:rsidRPr="00444459">
        <w:rPr>
          <w:lang w:val="en-GB"/>
        </w:rPr>
        <w:t>). Subsequently, it can be ascertained that one can also measure the valuation of the inventory that is outstanding within t</w:t>
      </w:r>
      <w:r w:rsidRPr="00444459">
        <w:rPr>
          <w:lang w:val="en-GB"/>
        </w:rPr>
        <w:t xml:space="preserve">he business at the end of the accounting period. </w:t>
      </w:r>
    </w:p>
    <w:p w:rsidR="00CE2ACC" w:rsidRPr="00444459" w:rsidRDefault="002A2FDB" w:rsidP="00444459">
      <w:pPr>
        <w:pStyle w:val="Normal1"/>
        <w:rPr>
          <w:lang w:val="en-GB"/>
        </w:rPr>
      </w:pPr>
      <w:r w:rsidRPr="00444459">
        <w:rPr>
          <w:lang w:val="en-GB"/>
        </w:rPr>
        <w:t>Shortcomings:</w:t>
      </w:r>
    </w:p>
    <w:p w:rsidR="00CE2ACC" w:rsidRPr="00444459" w:rsidRDefault="002A2FDB" w:rsidP="00444459">
      <w:pPr>
        <w:pStyle w:val="Normal1"/>
        <w:numPr>
          <w:ilvl w:val="0"/>
          <w:numId w:val="5"/>
        </w:numPr>
        <w:rPr>
          <w:lang w:val="en-GB"/>
        </w:rPr>
      </w:pPr>
      <w:r w:rsidRPr="00444459">
        <w:rPr>
          <w:lang w:val="en-GB"/>
        </w:rPr>
        <w:lastRenderedPageBreak/>
        <w:t>PBP does not use the principle of the time value of money in both the short-term and long-term (</w:t>
      </w:r>
      <w:r w:rsidRPr="00444459">
        <w:rPr>
          <w:color w:val="222222"/>
          <w:highlight w:val="white"/>
          <w:lang w:val="en-GB"/>
        </w:rPr>
        <w:t>Kipkirui, 2022</w:t>
      </w:r>
      <w:r w:rsidRPr="00444459">
        <w:rPr>
          <w:lang w:val="en-GB"/>
        </w:rPr>
        <w:t>). In this context, an accurate evaluation of the future scenario of investments i</w:t>
      </w:r>
      <w:r w:rsidRPr="00444459">
        <w:rPr>
          <w:lang w:val="en-GB"/>
        </w:rPr>
        <w:t xml:space="preserve">s not possible. </w:t>
      </w:r>
    </w:p>
    <w:p w:rsidR="00CE2ACC" w:rsidRPr="00444459" w:rsidRDefault="002A2FDB" w:rsidP="00444459">
      <w:pPr>
        <w:pStyle w:val="Normal1"/>
        <w:numPr>
          <w:ilvl w:val="0"/>
          <w:numId w:val="5"/>
        </w:numPr>
        <w:rPr>
          <w:lang w:val="en-GB"/>
        </w:rPr>
      </w:pPr>
      <w:r w:rsidRPr="00444459">
        <w:rPr>
          <w:lang w:val="en-GB"/>
        </w:rPr>
        <w:t>PBP also ignores the profitability or income that a certain investment is able to maintain after the payback period (</w:t>
      </w:r>
      <w:r w:rsidRPr="00444459">
        <w:rPr>
          <w:color w:val="222222"/>
          <w:highlight w:val="white"/>
          <w:lang w:val="en-GB"/>
        </w:rPr>
        <w:t xml:space="preserve">Saur </w:t>
      </w:r>
      <w:r w:rsidRPr="00444459">
        <w:rPr>
          <w:i/>
          <w:color w:val="222222"/>
          <w:highlight w:val="white"/>
          <w:lang w:val="en-GB"/>
        </w:rPr>
        <w:t xml:space="preserve">et al. </w:t>
      </w:r>
      <w:r w:rsidRPr="00444459">
        <w:rPr>
          <w:color w:val="222222"/>
          <w:highlight w:val="white"/>
          <w:lang w:val="en-GB"/>
        </w:rPr>
        <w:t>2022</w:t>
      </w:r>
      <w:r w:rsidRPr="00444459">
        <w:rPr>
          <w:lang w:val="en-GB"/>
        </w:rPr>
        <w:t>). In this aspect, it is not possible for any investment or project to measure the aggregate income genera</w:t>
      </w:r>
      <w:r w:rsidRPr="00444459">
        <w:rPr>
          <w:lang w:val="en-GB"/>
        </w:rPr>
        <w:t xml:space="preserve">ted from the investments in the future course of action. </w:t>
      </w:r>
    </w:p>
    <w:p w:rsidR="00CE2ACC" w:rsidRPr="00444459" w:rsidRDefault="002A2FDB" w:rsidP="00444459">
      <w:pPr>
        <w:pStyle w:val="Normal1"/>
        <w:rPr>
          <w:i/>
          <w:u w:val="single"/>
          <w:lang w:val="en-GB"/>
        </w:rPr>
      </w:pPr>
      <w:r w:rsidRPr="00444459">
        <w:rPr>
          <w:i/>
          <w:u w:val="single"/>
          <w:lang w:val="en-GB"/>
        </w:rPr>
        <w:t>Accounting Rate of Return (ARR)</w:t>
      </w:r>
    </w:p>
    <w:p w:rsidR="00CE2ACC" w:rsidRPr="00444459" w:rsidRDefault="002A2FDB" w:rsidP="00444459">
      <w:pPr>
        <w:pStyle w:val="Normal1"/>
        <w:rPr>
          <w:lang w:val="en-GB"/>
        </w:rPr>
      </w:pPr>
      <w:r w:rsidRPr="00444459">
        <w:rPr>
          <w:lang w:val="en-GB"/>
        </w:rPr>
        <w:t>Advantages:</w:t>
      </w:r>
    </w:p>
    <w:p w:rsidR="00CE2ACC" w:rsidRPr="00444459" w:rsidRDefault="002A2FDB" w:rsidP="00444459">
      <w:pPr>
        <w:pStyle w:val="Normal1"/>
        <w:numPr>
          <w:ilvl w:val="0"/>
          <w:numId w:val="1"/>
        </w:numPr>
        <w:rPr>
          <w:lang w:val="en-GB"/>
        </w:rPr>
      </w:pPr>
      <w:r w:rsidRPr="00444459">
        <w:rPr>
          <w:lang w:val="en-GB"/>
        </w:rPr>
        <w:t xml:space="preserve">ARR helps </w:t>
      </w:r>
      <w:r w:rsidR="00EA18F0">
        <w:rPr>
          <w:lang w:val="en-GB"/>
        </w:rPr>
        <w:t>with</w:t>
      </w:r>
      <w:r w:rsidRPr="00444459">
        <w:rPr>
          <w:lang w:val="en-GB"/>
        </w:rPr>
        <w:t xml:space="preserve"> the evaluation of the overall growth rate of a certain investment or project (</w:t>
      </w:r>
      <w:r w:rsidRPr="00444459">
        <w:rPr>
          <w:color w:val="222222"/>
          <w:highlight w:val="white"/>
          <w:lang w:val="en-GB"/>
        </w:rPr>
        <w:t xml:space="preserve">Demirel </w:t>
      </w:r>
      <w:r w:rsidRPr="00444459">
        <w:rPr>
          <w:i/>
          <w:color w:val="222222"/>
          <w:highlight w:val="white"/>
          <w:lang w:val="en-GB"/>
        </w:rPr>
        <w:t xml:space="preserve">et al. </w:t>
      </w:r>
      <w:r w:rsidRPr="00444459">
        <w:rPr>
          <w:color w:val="222222"/>
          <w:highlight w:val="white"/>
          <w:lang w:val="en-GB"/>
        </w:rPr>
        <w:t>2022</w:t>
      </w:r>
      <w:r w:rsidRPr="00444459">
        <w:rPr>
          <w:lang w:val="en-GB"/>
        </w:rPr>
        <w:t>). As a result of this, one can easily mea</w:t>
      </w:r>
      <w:r w:rsidRPr="00444459">
        <w:rPr>
          <w:lang w:val="en-GB"/>
        </w:rPr>
        <w:t xml:space="preserve">sure the aggregate valuation of growth that has been observed within an investment over time. </w:t>
      </w:r>
    </w:p>
    <w:p w:rsidR="00CE2ACC" w:rsidRPr="00444459" w:rsidRDefault="002A2FDB" w:rsidP="00444459">
      <w:pPr>
        <w:pStyle w:val="Normal1"/>
        <w:numPr>
          <w:ilvl w:val="0"/>
          <w:numId w:val="1"/>
        </w:numPr>
        <w:rPr>
          <w:lang w:val="en-GB"/>
        </w:rPr>
      </w:pPr>
      <w:r w:rsidRPr="00444459">
        <w:rPr>
          <w:lang w:val="en-GB"/>
        </w:rPr>
        <w:t>ARR is simple enough in terms of comparison of more than two projects or investments within a single frame (</w:t>
      </w:r>
      <w:r w:rsidRPr="00444459">
        <w:rPr>
          <w:color w:val="222222"/>
          <w:highlight w:val="white"/>
          <w:lang w:val="en-GB"/>
        </w:rPr>
        <w:t xml:space="preserve">Gerald </w:t>
      </w:r>
      <w:r w:rsidRPr="00444459">
        <w:rPr>
          <w:i/>
          <w:color w:val="222222"/>
          <w:highlight w:val="white"/>
          <w:lang w:val="en-GB"/>
        </w:rPr>
        <w:t xml:space="preserve">et al. </w:t>
      </w:r>
      <w:r w:rsidRPr="00444459">
        <w:rPr>
          <w:color w:val="222222"/>
          <w:highlight w:val="white"/>
          <w:lang w:val="en-GB"/>
        </w:rPr>
        <w:t>2023</w:t>
      </w:r>
      <w:r w:rsidRPr="00444459">
        <w:rPr>
          <w:lang w:val="en-GB"/>
        </w:rPr>
        <w:t>). Based on this, it can be ascerta</w:t>
      </w:r>
      <w:r w:rsidRPr="00444459">
        <w:rPr>
          <w:lang w:val="en-GB"/>
        </w:rPr>
        <w:t>ined that by the means using ARR one can easily make the comparison of the future return of two or more projects within a single frame.</w:t>
      </w:r>
    </w:p>
    <w:p w:rsidR="00CE2ACC" w:rsidRPr="00444459" w:rsidRDefault="002A2FDB" w:rsidP="00444459">
      <w:pPr>
        <w:pStyle w:val="Normal1"/>
        <w:rPr>
          <w:lang w:val="en-GB"/>
        </w:rPr>
      </w:pPr>
      <w:r w:rsidRPr="00444459">
        <w:rPr>
          <w:lang w:val="en-GB"/>
        </w:rPr>
        <w:t>Shortcomings:</w:t>
      </w:r>
    </w:p>
    <w:p w:rsidR="00CE2ACC" w:rsidRPr="00444459" w:rsidRDefault="002A2FDB" w:rsidP="00444459">
      <w:pPr>
        <w:pStyle w:val="Normal1"/>
        <w:numPr>
          <w:ilvl w:val="0"/>
          <w:numId w:val="2"/>
        </w:numPr>
        <w:rPr>
          <w:lang w:val="en-GB"/>
        </w:rPr>
      </w:pPr>
      <w:r w:rsidRPr="00444459">
        <w:rPr>
          <w:lang w:val="en-GB"/>
        </w:rPr>
        <w:t>ARR does not use the prospectus of the time value of money (</w:t>
      </w:r>
      <w:r w:rsidRPr="00444459">
        <w:rPr>
          <w:color w:val="222222"/>
          <w:highlight w:val="white"/>
          <w:lang w:val="en-GB"/>
        </w:rPr>
        <w:t xml:space="preserve">Chambers </w:t>
      </w:r>
      <w:r w:rsidRPr="00444459">
        <w:rPr>
          <w:i/>
          <w:color w:val="222222"/>
          <w:highlight w:val="white"/>
          <w:lang w:val="en-GB"/>
        </w:rPr>
        <w:t xml:space="preserve">et al. </w:t>
      </w:r>
      <w:r w:rsidRPr="00444459">
        <w:rPr>
          <w:color w:val="222222"/>
          <w:highlight w:val="white"/>
          <w:lang w:val="en-GB"/>
        </w:rPr>
        <w:t>2022</w:t>
      </w:r>
      <w:r w:rsidRPr="00444459">
        <w:rPr>
          <w:lang w:val="en-GB"/>
        </w:rPr>
        <w:t xml:space="preserve">). Certainly, there is a higher chance that the future return generated from the investment will be accurate enough on the basis of the data that are used to calculate the ARR. </w:t>
      </w:r>
    </w:p>
    <w:p w:rsidR="00CE2ACC" w:rsidRPr="00444459" w:rsidRDefault="002A2FDB" w:rsidP="00444459">
      <w:pPr>
        <w:pStyle w:val="Normal1"/>
        <w:numPr>
          <w:ilvl w:val="0"/>
          <w:numId w:val="2"/>
        </w:numPr>
        <w:rPr>
          <w:lang w:val="en-GB"/>
        </w:rPr>
      </w:pPr>
      <w:r w:rsidRPr="00444459">
        <w:rPr>
          <w:lang w:val="en-GB"/>
        </w:rPr>
        <w:t>ARR is related to the use of the net profit of the investments rather than the</w:t>
      </w:r>
      <w:r w:rsidRPr="00444459">
        <w:rPr>
          <w:lang w:val="en-GB"/>
        </w:rPr>
        <w:t xml:space="preserve"> consideration of the cash flows (</w:t>
      </w:r>
      <w:r w:rsidRPr="00444459">
        <w:rPr>
          <w:color w:val="222222"/>
          <w:highlight w:val="white"/>
          <w:lang w:val="en-GB"/>
        </w:rPr>
        <w:t xml:space="preserve">Hilton </w:t>
      </w:r>
      <w:r w:rsidRPr="00444459">
        <w:rPr>
          <w:i/>
          <w:color w:val="222222"/>
          <w:highlight w:val="white"/>
          <w:lang w:val="en-GB"/>
        </w:rPr>
        <w:t xml:space="preserve">et al. </w:t>
      </w:r>
      <w:r w:rsidRPr="00444459">
        <w:rPr>
          <w:color w:val="222222"/>
          <w:highlight w:val="white"/>
          <w:lang w:val="en-GB"/>
        </w:rPr>
        <w:t>2020</w:t>
      </w:r>
      <w:r w:rsidRPr="00444459">
        <w:rPr>
          <w:lang w:val="en-GB"/>
        </w:rPr>
        <w:t>). In addition to this, it also covers some of the other non-cash items like bad debt and depreciation. As a result of this, there is a higher chance that the results generated from the ARR are not releva</w:t>
      </w:r>
      <w:r w:rsidRPr="00444459">
        <w:rPr>
          <w:lang w:val="en-GB"/>
        </w:rPr>
        <w:t xml:space="preserve">nt enough for the consideration of an investment decision. </w:t>
      </w:r>
    </w:p>
    <w:p w:rsidR="00CE2ACC" w:rsidRPr="00444459" w:rsidRDefault="002A2FDB" w:rsidP="00444459">
      <w:pPr>
        <w:pStyle w:val="Heading2"/>
        <w:rPr>
          <w:lang w:val="en-GB"/>
        </w:rPr>
      </w:pPr>
      <w:bookmarkStart w:id="57" w:name="_jp90dzlebgf2" w:colFirst="0" w:colLast="0"/>
      <w:bookmarkStart w:id="58" w:name="_Toc173414337"/>
      <w:bookmarkEnd w:id="57"/>
      <w:r w:rsidRPr="00444459">
        <w:rPr>
          <w:lang w:val="en-GB"/>
        </w:rPr>
        <w:t>Non-financial factors</w:t>
      </w:r>
      <w:bookmarkEnd w:id="58"/>
    </w:p>
    <w:p w:rsidR="00CE2ACC" w:rsidRPr="00444459" w:rsidRDefault="002A2FDB" w:rsidP="00444459">
      <w:pPr>
        <w:pStyle w:val="Normal1"/>
        <w:rPr>
          <w:lang w:val="en-GB"/>
        </w:rPr>
      </w:pPr>
      <w:r w:rsidRPr="00444459">
        <w:rPr>
          <w:lang w:val="en-GB"/>
        </w:rPr>
        <w:t>The decisions of an investment must be taken by means of considering a wide range of prospectus. It can also be stated that apart from the financial, there are also a wide ra</w:t>
      </w:r>
      <w:r w:rsidRPr="00444459">
        <w:rPr>
          <w:lang w:val="en-GB"/>
        </w:rPr>
        <w:t>nge of non-financial factors that are required to be considered while making the investment. A brief explanation of these non-financial factors is outlined below:</w:t>
      </w:r>
    </w:p>
    <w:p w:rsidR="00CE2ACC" w:rsidRPr="00444459" w:rsidRDefault="002A2FDB" w:rsidP="00444459">
      <w:pPr>
        <w:pStyle w:val="Normal1"/>
        <w:numPr>
          <w:ilvl w:val="0"/>
          <w:numId w:val="6"/>
        </w:numPr>
        <w:rPr>
          <w:lang w:val="en-GB"/>
        </w:rPr>
      </w:pPr>
      <w:r w:rsidRPr="00444459">
        <w:rPr>
          <w:lang w:val="en-GB"/>
        </w:rPr>
        <w:lastRenderedPageBreak/>
        <w:t xml:space="preserve">Financial Risk- The evaluation of the financial risk is considered the most prominent factor </w:t>
      </w:r>
      <w:r w:rsidRPr="00444459">
        <w:rPr>
          <w:lang w:val="en-GB"/>
        </w:rPr>
        <w:t xml:space="preserve">that is required to be considered while making investment decisions. An investment requires a broader cost of expenses that are required to be evaluated in the very initial stage. Subsequently, it can be noted that the financial risk involved with a </w:t>
      </w:r>
      <w:r w:rsidR="00EA18F0" w:rsidRPr="00444459">
        <w:rPr>
          <w:lang w:val="en-GB"/>
        </w:rPr>
        <w:t>certain investment act</w:t>
      </w:r>
      <w:r w:rsidRPr="00444459">
        <w:rPr>
          <w:lang w:val="en-GB"/>
        </w:rPr>
        <w:t xml:space="preserve"> as the major factor before making a choice. </w:t>
      </w:r>
    </w:p>
    <w:p w:rsidR="00CE2ACC" w:rsidRPr="00444459" w:rsidRDefault="002A2FDB" w:rsidP="00444459">
      <w:pPr>
        <w:pStyle w:val="Normal1"/>
        <w:numPr>
          <w:ilvl w:val="0"/>
          <w:numId w:val="6"/>
        </w:numPr>
        <w:rPr>
          <w:lang w:val="en-GB"/>
        </w:rPr>
      </w:pPr>
      <w:r w:rsidRPr="00444459">
        <w:rPr>
          <w:lang w:val="en-GB"/>
        </w:rPr>
        <w:t>Legal Compliance- Legal and regular compliance is another prominent factor that is required to be considered before making the decisions for investment. In this aspect, legal compliance is mainl</w:t>
      </w:r>
      <w:r w:rsidRPr="00444459">
        <w:rPr>
          <w:lang w:val="en-GB"/>
        </w:rPr>
        <w:t xml:space="preserve">y consistent with the rules and regulations that the investors are required to follow. </w:t>
      </w:r>
    </w:p>
    <w:p w:rsidR="00CE2ACC" w:rsidRPr="00444459" w:rsidRDefault="002A2FDB" w:rsidP="00444459">
      <w:pPr>
        <w:pStyle w:val="Normal1"/>
        <w:numPr>
          <w:ilvl w:val="0"/>
          <w:numId w:val="6"/>
        </w:numPr>
        <w:rPr>
          <w:lang w:val="en-GB"/>
        </w:rPr>
      </w:pPr>
      <w:r w:rsidRPr="00444459">
        <w:rPr>
          <w:lang w:val="en-GB"/>
        </w:rPr>
        <w:t>Internal Dynamics- The internal dynamics of the companies or the segment wherein the investments are done are also necessary factors (</w:t>
      </w:r>
      <w:r w:rsidRPr="00444459">
        <w:rPr>
          <w:color w:val="222222"/>
          <w:highlight w:val="white"/>
          <w:lang w:val="en-GB"/>
        </w:rPr>
        <w:t>Koparan, 2020</w:t>
      </w:r>
      <w:r w:rsidRPr="00444459">
        <w:rPr>
          <w:lang w:val="en-GB"/>
        </w:rPr>
        <w:t>). There may be a var</w:t>
      </w:r>
      <w:r w:rsidRPr="00444459">
        <w:rPr>
          <w:lang w:val="en-GB"/>
        </w:rPr>
        <w:t xml:space="preserve">iation within the internal dynamic structure with that of the requirements of the investors. For this reason, it becomes necessary for an individual to consider the internal dynamic structure of the company before making the decisions for the investment. </w:t>
      </w:r>
    </w:p>
    <w:p w:rsidR="00CE2ACC" w:rsidRPr="00444459" w:rsidRDefault="002A2FDB" w:rsidP="00444459">
      <w:pPr>
        <w:pStyle w:val="Normal1"/>
        <w:numPr>
          <w:ilvl w:val="0"/>
          <w:numId w:val="6"/>
        </w:numPr>
        <w:rPr>
          <w:lang w:val="en-GB"/>
        </w:rPr>
      </w:pPr>
      <w:r w:rsidRPr="00444459">
        <w:rPr>
          <w:lang w:val="en-GB"/>
        </w:rPr>
        <w:t>Market Requirements- The tastes and preferences of the consumers are not constant (</w:t>
      </w:r>
      <w:r w:rsidRPr="00444459">
        <w:rPr>
          <w:color w:val="222222"/>
          <w:highlight w:val="white"/>
          <w:lang w:val="en-GB"/>
        </w:rPr>
        <w:t>Khan, 2020</w:t>
      </w:r>
      <w:r w:rsidRPr="00444459">
        <w:rPr>
          <w:lang w:val="en-GB"/>
        </w:rPr>
        <w:t xml:space="preserve">). However, the major requirement for any </w:t>
      </w:r>
      <w:r w:rsidR="00EA18F0" w:rsidRPr="00444459">
        <w:rPr>
          <w:lang w:val="en-GB"/>
        </w:rPr>
        <w:t>organisation</w:t>
      </w:r>
      <w:r w:rsidRPr="00444459">
        <w:rPr>
          <w:lang w:val="en-GB"/>
        </w:rPr>
        <w:t xml:space="preserve"> or investment is to work according to the market requirements and address respective consumers. In this aspe</w:t>
      </w:r>
      <w:r w:rsidRPr="00444459">
        <w:rPr>
          <w:lang w:val="en-GB"/>
        </w:rPr>
        <w:t xml:space="preserve">ct, it is necessary to measure the market requirement before making the most appropriate decision for investment. </w:t>
      </w:r>
    </w:p>
    <w:p w:rsidR="00CE2ACC" w:rsidRPr="00EA18F0" w:rsidRDefault="002A2FDB" w:rsidP="00444459">
      <w:pPr>
        <w:pStyle w:val="Normal1"/>
        <w:numPr>
          <w:ilvl w:val="0"/>
          <w:numId w:val="6"/>
        </w:numPr>
        <w:rPr>
          <w:lang w:val="en-GB"/>
        </w:rPr>
      </w:pPr>
      <w:r w:rsidRPr="00444459">
        <w:rPr>
          <w:lang w:val="en-GB"/>
        </w:rPr>
        <w:t>Competitive Advancement- The evaluation of competitive advancement is necessary to make the comparison (</w:t>
      </w:r>
      <w:r w:rsidRPr="00444459">
        <w:rPr>
          <w:color w:val="222222"/>
          <w:highlight w:val="white"/>
          <w:lang w:val="en-GB"/>
        </w:rPr>
        <w:t>Farida, 2022</w:t>
      </w:r>
      <w:r w:rsidRPr="00444459">
        <w:rPr>
          <w:lang w:val="en-GB"/>
        </w:rPr>
        <w:t>). The key reason behind this aspect is just to understand the key requirements that the consumers are having. On the other hand, by the means of evaluating the competitive advancement, the companies and investments can formulate a better evaluation of the</w:t>
      </w:r>
      <w:r w:rsidRPr="00444459">
        <w:rPr>
          <w:lang w:val="en-GB"/>
        </w:rPr>
        <w:t xml:space="preserve"> market requirements. Based on </w:t>
      </w:r>
      <w:r w:rsidR="00444459" w:rsidRPr="00444459">
        <w:rPr>
          <w:lang w:val="en-GB"/>
        </w:rPr>
        <w:t>this, it</w:t>
      </w:r>
      <w:r w:rsidRPr="00444459">
        <w:rPr>
          <w:lang w:val="en-GB"/>
        </w:rPr>
        <w:t xml:space="preserve"> can be ascertained that consideration of competitive advancement is also a major non-financial factor that is required to be considered before associating with a certain investment.</w:t>
      </w:r>
      <w:bookmarkStart w:id="59" w:name="_3lcmg86hxihe" w:colFirst="0" w:colLast="0"/>
      <w:bookmarkEnd w:id="59"/>
    </w:p>
    <w:p w:rsidR="00EA18F0" w:rsidRDefault="00EA18F0">
      <w:pPr>
        <w:rPr>
          <w:b/>
          <w:sz w:val="28"/>
          <w:szCs w:val="28"/>
          <w:lang w:val="en-GB"/>
        </w:rPr>
      </w:pPr>
      <w:bookmarkStart w:id="60" w:name="_7spitwi1bykt" w:colFirst="0" w:colLast="0"/>
      <w:bookmarkEnd w:id="60"/>
      <w:r>
        <w:rPr>
          <w:lang w:val="en-GB"/>
        </w:rPr>
        <w:br w:type="page"/>
      </w:r>
    </w:p>
    <w:p w:rsidR="00CE2ACC" w:rsidRPr="00444459" w:rsidRDefault="002A2FDB" w:rsidP="00444459">
      <w:pPr>
        <w:pStyle w:val="Heading1"/>
        <w:rPr>
          <w:lang w:val="en-GB"/>
        </w:rPr>
      </w:pPr>
      <w:bookmarkStart w:id="61" w:name="_Toc173414338"/>
      <w:r w:rsidRPr="00444459">
        <w:rPr>
          <w:lang w:val="en-GB"/>
        </w:rPr>
        <w:lastRenderedPageBreak/>
        <w:t>Reference List</w:t>
      </w:r>
      <w:bookmarkEnd w:id="61"/>
    </w:p>
    <w:p w:rsidR="00444459" w:rsidRPr="00444459" w:rsidRDefault="00444459" w:rsidP="00444459">
      <w:pPr>
        <w:pStyle w:val="Normal1"/>
        <w:rPr>
          <w:color w:val="222222"/>
          <w:highlight w:val="white"/>
          <w:lang w:val="en-GB"/>
        </w:rPr>
      </w:pPr>
      <w:r w:rsidRPr="00444459">
        <w:rPr>
          <w:color w:val="222222"/>
          <w:highlight w:val="white"/>
          <w:lang w:val="en-GB"/>
        </w:rPr>
        <w:t>Al-Busaidi, K.A. and Al-Muharrami, S., 2021. Beyond profitability: ICT investments and financial institutions performance measures in developing economies. Journal of Enterprise Information Management, 34(3), pp.900-921.</w:t>
      </w:r>
    </w:p>
    <w:p w:rsidR="00444459" w:rsidRPr="00444459" w:rsidRDefault="00444459" w:rsidP="00444459">
      <w:pPr>
        <w:pStyle w:val="Normal1"/>
        <w:rPr>
          <w:color w:val="222222"/>
          <w:highlight w:val="white"/>
          <w:lang w:val="en-GB"/>
        </w:rPr>
      </w:pPr>
      <w:r w:rsidRPr="00444459">
        <w:rPr>
          <w:color w:val="222222"/>
          <w:highlight w:val="white"/>
          <w:lang w:val="en-GB"/>
        </w:rPr>
        <w:t>Chambers, D., Spaenjers, C. and Steiner, E., 2021. The rate of return on real estate: Long-run micro-level evidence. The Review of Financial Studies, 34(8), pp.3572-3607.</w:t>
      </w:r>
    </w:p>
    <w:p w:rsidR="00444459" w:rsidRPr="00444459" w:rsidRDefault="00444459" w:rsidP="00444459">
      <w:pPr>
        <w:pStyle w:val="Normal1"/>
        <w:rPr>
          <w:color w:val="222222"/>
          <w:highlight w:val="white"/>
          <w:lang w:val="en-GB"/>
        </w:rPr>
      </w:pPr>
      <w:r w:rsidRPr="00444459">
        <w:rPr>
          <w:color w:val="222222"/>
          <w:highlight w:val="white"/>
          <w:lang w:val="en-GB"/>
        </w:rPr>
        <w:t>Dai, H., Li, N., Wang, Y. and Zhao, X., 2022, March. The analysis of three main investment criteria: NPV IRR and payback period. In 2022 7th International Conference on Financial Innovation and Economic Development (ICFIED 2022) (pp. 185-189). Atlantis Press.</w:t>
      </w:r>
    </w:p>
    <w:p w:rsidR="00444459" w:rsidRPr="00444459" w:rsidRDefault="00444459" w:rsidP="00444459">
      <w:pPr>
        <w:pStyle w:val="Normal1"/>
        <w:rPr>
          <w:color w:val="222222"/>
          <w:highlight w:val="white"/>
          <w:lang w:val="en-GB"/>
        </w:rPr>
      </w:pPr>
      <w:r w:rsidRPr="00444459">
        <w:rPr>
          <w:color w:val="222222"/>
          <w:highlight w:val="white"/>
          <w:lang w:val="en-GB"/>
        </w:rPr>
        <w:t>Demirel, H.C., Leendertse, W. and Volker, L., 2022. Mechanisms for protecting returns on private investments in public infrastructure projects. International Journal of Project Management, 40(3), pp.155-166.</w:t>
      </w:r>
    </w:p>
    <w:p w:rsidR="00444459" w:rsidRPr="00444459" w:rsidRDefault="00444459" w:rsidP="00444459">
      <w:pPr>
        <w:pStyle w:val="Normal1"/>
        <w:rPr>
          <w:color w:val="222222"/>
          <w:highlight w:val="white"/>
          <w:lang w:val="en-GB"/>
        </w:rPr>
      </w:pPr>
      <w:r w:rsidRPr="00444459">
        <w:rPr>
          <w:color w:val="222222"/>
          <w:highlight w:val="white"/>
          <w:lang w:val="en-GB"/>
        </w:rPr>
        <w:t>Dobrowolski, Z. and Drozdowski, G., 2022. Does the net present value as a financial metric fit investment in green energy security?. Energies, 15(1), p.353.</w:t>
      </w:r>
    </w:p>
    <w:p w:rsidR="00444459" w:rsidRPr="00444459" w:rsidRDefault="00444459" w:rsidP="00444459">
      <w:pPr>
        <w:pStyle w:val="Normal1"/>
        <w:rPr>
          <w:color w:val="222222"/>
          <w:highlight w:val="white"/>
          <w:lang w:val="en-GB"/>
        </w:rPr>
      </w:pPr>
      <w:r w:rsidRPr="00444459">
        <w:rPr>
          <w:color w:val="222222"/>
          <w:highlight w:val="white"/>
          <w:lang w:val="en-GB"/>
        </w:rPr>
        <w:t>Farida, I. and Setiawan, D., 2022. Business strategies and competitive advantage: the role of performance and innovation. Journal of Open Innovation: Technology, Market, and Complexity, 8(3), p.163.</w:t>
      </w:r>
    </w:p>
    <w:p w:rsidR="00444459" w:rsidRPr="00444459" w:rsidRDefault="00444459" w:rsidP="00444459">
      <w:pPr>
        <w:pStyle w:val="Normal1"/>
        <w:rPr>
          <w:color w:val="222222"/>
          <w:highlight w:val="white"/>
          <w:lang w:val="en-GB"/>
        </w:rPr>
      </w:pPr>
      <w:r w:rsidRPr="00444459">
        <w:rPr>
          <w:color w:val="222222"/>
          <w:highlight w:val="white"/>
          <w:lang w:val="en-GB"/>
        </w:rPr>
        <w:t>Geraldi, J., Teerikangas, S. and Birollo, G., 2022. Project, program and portfolio management as modes of organizing: Theorising at the intersection between mergers and acquisitions and project studies. International Journal of Project Management, 40(4), pp.439-453.</w:t>
      </w:r>
    </w:p>
    <w:p w:rsidR="00444459" w:rsidRPr="00444459" w:rsidRDefault="00444459" w:rsidP="00444459">
      <w:pPr>
        <w:pStyle w:val="Normal1"/>
        <w:rPr>
          <w:lang w:val="en-GB"/>
        </w:rPr>
      </w:pPr>
      <w:r w:rsidRPr="00444459">
        <w:rPr>
          <w:lang w:val="en-GB"/>
        </w:rPr>
        <w:t xml:space="preserve">GlobalData (2021). J Sainsbury Plc Peers &amp; Key Competitors - </w:t>
      </w:r>
      <w:hyperlink r:id="rId9">
        <w:r w:rsidRPr="00444459">
          <w:rPr>
            <w:color w:val="1155CC"/>
            <w:u w:val="single"/>
            <w:lang w:val="en-GB"/>
          </w:rPr>
          <w:t>https://www.globaldata.com/company-profile/j-sainsbury-plc/competitors/</w:t>
        </w:r>
      </w:hyperlink>
      <w:r w:rsidRPr="00444459">
        <w:rPr>
          <w:lang w:val="en-GB"/>
        </w:rPr>
        <w:t>.</w:t>
      </w:r>
    </w:p>
    <w:p w:rsidR="00444459" w:rsidRPr="00444459" w:rsidRDefault="00444459" w:rsidP="00444459">
      <w:pPr>
        <w:pStyle w:val="Normal1"/>
        <w:rPr>
          <w:color w:val="222222"/>
          <w:highlight w:val="white"/>
          <w:lang w:val="en-GB"/>
        </w:rPr>
      </w:pPr>
      <w:r w:rsidRPr="00444459">
        <w:rPr>
          <w:color w:val="222222"/>
          <w:highlight w:val="white"/>
          <w:lang w:val="en-GB"/>
        </w:rPr>
        <w:t>Hilton, R.W. and Platt, D.E., 2020. Managerial accounting: creating value in a dynamic business environment. McGraw-Hill.</w:t>
      </w:r>
    </w:p>
    <w:p w:rsidR="00444459" w:rsidRPr="00444459" w:rsidRDefault="00444459" w:rsidP="00444459">
      <w:pPr>
        <w:pStyle w:val="Normal1"/>
        <w:rPr>
          <w:color w:val="222222"/>
          <w:highlight w:val="white"/>
          <w:lang w:val="en-GB"/>
        </w:rPr>
      </w:pPr>
      <w:r w:rsidRPr="00444459">
        <w:rPr>
          <w:color w:val="222222"/>
          <w:highlight w:val="white"/>
          <w:lang w:val="en-GB"/>
        </w:rPr>
        <w:t>Jayathilaka, A.K., 2020. Operating profit and net profit: measurements of profitability. Open Access Library Journal, 7(12), pp.1-11.</w:t>
      </w:r>
    </w:p>
    <w:p w:rsidR="00444459" w:rsidRPr="00444459" w:rsidRDefault="00444459" w:rsidP="00444459">
      <w:pPr>
        <w:pStyle w:val="Normal1"/>
        <w:rPr>
          <w:color w:val="222222"/>
          <w:highlight w:val="white"/>
          <w:lang w:val="en-GB"/>
        </w:rPr>
      </w:pPr>
      <w:r w:rsidRPr="00444459">
        <w:rPr>
          <w:color w:val="222222"/>
          <w:highlight w:val="white"/>
          <w:lang w:val="en-GB"/>
        </w:rPr>
        <w:t>Khan, H. and Lee, R., 2020. Does packaging influence taste and quality perceptions across varying consumer demographics?. Food Quality and Preference, 84, p.103932.</w:t>
      </w:r>
    </w:p>
    <w:p w:rsidR="00444459" w:rsidRPr="00444459" w:rsidRDefault="00444459" w:rsidP="00444459">
      <w:pPr>
        <w:pStyle w:val="Normal1"/>
        <w:rPr>
          <w:color w:val="222222"/>
          <w:highlight w:val="white"/>
          <w:lang w:val="en-GB"/>
        </w:rPr>
      </w:pPr>
      <w:r w:rsidRPr="00444459">
        <w:rPr>
          <w:color w:val="222222"/>
          <w:highlight w:val="white"/>
          <w:lang w:val="en-GB"/>
        </w:rPr>
        <w:t>KINYANJUI, P.W., 2020. ANALYSIS OF KEY FINANCIAL RATIOS ON PERFORMANCE OF GENERAL INSURANCE BUSINESS IN KENYA.</w:t>
      </w:r>
    </w:p>
    <w:p w:rsidR="00444459" w:rsidRPr="00444459" w:rsidRDefault="00444459" w:rsidP="00444459">
      <w:pPr>
        <w:pStyle w:val="Normal1"/>
        <w:rPr>
          <w:color w:val="222222"/>
          <w:highlight w:val="white"/>
          <w:lang w:val="en-GB"/>
        </w:rPr>
      </w:pPr>
      <w:r w:rsidRPr="00444459">
        <w:rPr>
          <w:color w:val="222222"/>
          <w:highlight w:val="white"/>
          <w:lang w:val="en-GB"/>
        </w:rPr>
        <w:lastRenderedPageBreak/>
        <w:t>Kipkirui, L.P. and Kimungunyi, S., 2022. Effect Of Net Present Value Investment Appraisal Practice On Financial Performance Of Cement Manufacturing Firms In Kenya. International Research Journal of Economics and Finance, 4(2).</w:t>
      </w:r>
    </w:p>
    <w:p w:rsidR="00444459" w:rsidRPr="00444459" w:rsidRDefault="00444459" w:rsidP="00444459">
      <w:pPr>
        <w:pStyle w:val="Normal1"/>
        <w:rPr>
          <w:color w:val="222222"/>
          <w:highlight w:val="white"/>
          <w:lang w:val="en-GB"/>
        </w:rPr>
      </w:pPr>
      <w:r w:rsidRPr="00444459">
        <w:rPr>
          <w:color w:val="222222"/>
          <w:highlight w:val="white"/>
          <w:lang w:val="en-GB"/>
        </w:rPr>
        <w:t>Koparan, I., 2020. An Integrated Approach to Development of Dynamic Capabilities and Investments in Strategic Factor Markets. Kent State University.</w:t>
      </w:r>
    </w:p>
    <w:p w:rsidR="00444459" w:rsidRPr="00444459" w:rsidRDefault="00444459" w:rsidP="00444459">
      <w:pPr>
        <w:pStyle w:val="Normal1"/>
        <w:rPr>
          <w:lang w:val="en-GB"/>
        </w:rPr>
      </w:pPr>
      <w:r w:rsidRPr="00444459">
        <w:rPr>
          <w:lang w:val="en-GB"/>
        </w:rPr>
        <w:t>Kovalchuk, T. and Verhun, A., 2019. Improvement of the method of analysis of asset management efficiency. Baltic Journal of Economic Studies, 5(5), pp.61-66.</w:t>
      </w:r>
    </w:p>
    <w:p w:rsidR="00444459" w:rsidRPr="00444459" w:rsidRDefault="00444459" w:rsidP="00444459">
      <w:pPr>
        <w:pStyle w:val="Normal1"/>
        <w:rPr>
          <w:color w:val="222222"/>
          <w:highlight w:val="white"/>
          <w:lang w:val="en-GB"/>
        </w:rPr>
      </w:pPr>
      <w:r w:rsidRPr="00444459">
        <w:rPr>
          <w:color w:val="222222"/>
          <w:highlight w:val="white"/>
          <w:lang w:val="en-GB"/>
        </w:rPr>
        <w:t>Li, Q., Li, Q., Xu, D. and Zhou, S., 2022, A Systematic Literature Review on the Traditional NPV Model and Its Improved Versions. In 2022 7th International Conference on Financial Innovation and Economic Development (ICFIED 2022) (pp. 2487-2492). Atlantis Press.</w:t>
      </w:r>
    </w:p>
    <w:p w:rsidR="00444459" w:rsidRPr="00444459" w:rsidRDefault="00444459" w:rsidP="00444459">
      <w:pPr>
        <w:pStyle w:val="Normal1"/>
        <w:rPr>
          <w:color w:val="222222"/>
          <w:highlight w:val="white"/>
          <w:lang w:val="en-GB"/>
        </w:rPr>
      </w:pPr>
      <w:r w:rsidRPr="00444459">
        <w:rPr>
          <w:color w:val="222222"/>
          <w:highlight w:val="white"/>
          <w:lang w:val="en-GB"/>
        </w:rPr>
        <w:t>Magni, C.A. and Marchioni, A., 2020. Average rates of return, working capital, and NPV-consistency in project appraisal: A sensitivity analysis approach. International Journal of Production Economics, 229, p.107769.</w:t>
      </w:r>
    </w:p>
    <w:p w:rsidR="00444459" w:rsidRPr="00444459" w:rsidRDefault="00444459" w:rsidP="00444459">
      <w:pPr>
        <w:pStyle w:val="Normal1"/>
        <w:rPr>
          <w:lang w:val="en-GB"/>
        </w:rPr>
      </w:pPr>
      <w:r w:rsidRPr="00444459">
        <w:rPr>
          <w:lang w:val="en-GB"/>
        </w:rPr>
        <w:t>Martini, L.K.B. and Suardana, I.B.R., 2019. Company performance measurement applying balanced scorecard approach. International Journal of Social Sciences and Humanities, 3(1), pp.7-13.</w:t>
      </w:r>
    </w:p>
    <w:p w:rsidR="00444459" w:rsidRPr="00444459" w:rsidRDefault="00444459" w:rsidP="00444459">
      <w:pPr>
        <w:pStyle w:val="Normal1"/>
        <w:rPr>
          <w:lang w:val="en-GB"/>
        </w:rPr>
      </w:pPr>
      <w:r w:rsidRPr="00444459">
        <w:rPr>
          <w:lang w:val="en-GB"/>
        </w:rPr>
        <w:t>Nukala, V.B. and Prasada Rao, S.S., 2021. Role of debt-to-equity ratio in project investment valuation, assessing risk and return in capital markets. Future Business Journal, 7(1), p.13.</w:t>
      </w:r>
    </w:p>
    <w:p w:rsidR="00444459" w:rsidRPr="00444459" w:rsidRDefault="00444459" w:rsidP="00444459">
      <w:pPr>
        <w:pStyle w:val="Normal1"/>
        <w:rPr>
          <w:color w:val="222222"/>
          <w:highlight w:val="white"/>
          <w:lang w:val="en-GB"/>
        </w:rPr>
      </w:pPr>
      <w:r w:rsidRPr="00444459">
        <w:rPr>
          <w:color w:val="222222"/>
          <w:highlight w:val="white"/>
          <w:lang w:val="en-GB"/>
        </w:rPr>
        <w:t>Olayinka, A.A., 2022. Financial statement analysis as a tool for investment decisions and assessment of companies’ performance. International Journal of Financial, Accounting, and Management, 4(1), pp.49-66.</w:t>
      </w:r>
    </w:p>
    <w:p w:rsidR="00444459" w:rsidRPr="00444459" w:rsidRDefault="00444459" w:rsidP="00444459">
      <w:pPr>
        <w:pStyle w:val="Normal1"/>
        <w:rPr>
          <w:lang w:val="en-GB"/>
        </w:rPr>
      </w:pPr>
      <w:r w:rsidRPr="00444459">
        <w:rPr>
          <w:lang w:val="en-GB"/>
        </w:rPr>
        <w:t>Orji, A., EO, N. and Agubata, N., 2021. Effect of debt-equity financing on firms performance in Nigeria. J Account Financ Manag, 73.</w:t>
      </w:r>
    </w:p>
    <w:p w:rsidR="00444459" w:rsidRPr="00444459" w:rsidRDefault="00444459" w:rsidP="00444459">
      <w:pPr>
        <w:pStyle w:val="Normal1"/>
        <w:rPr>
          <w:lang w:val="en-GB"/>
        </w:rPr>
      </w:pPr>
      <w:r w:rsidRPr="00444459">
        <w:rPr>
          <w:lang w:val="en-GB"/>
        </w:rPr>
        <w:t xml:space="preserve">Sainsbury 2023.Welcome to </w:t>
      </w:r>
      <w:r w:rsidR="00D75F48">
        <w:rPr>
          <w:lang w:val="en-GB"/>
        </w:rPr>
        <w:t>Sainsbury's</w:t>
      </w:r>
      <w:r w:rsidRPr="00444459">
        <w:rPr>
          <w:lang w:val="en-GB"/>
        </w:rPr>
        <w:t xml:space="preserve"> Home. </w:t>
      </w:r>
      <w:hyperlink r:id="rId10">
        <w:r w:rsidRPr="00444459">
          <w:rPr>
            <w:color w:val="1155CC"/>
            <w:u w:val="single"/>
            <w:lang w:val="en-GB"/>
          </w:rPr>
          <w:t>https://www.about.sainsburys.co.uk/</w:t>
        </w:r>
      </w:hyperlink>
      <w:r w:rsidRPr="00444459">
        <w:rPr>
          <w:lang w:val="en-GB"/>
        </w:rPr>
        <w:t>.</w:t>
      </w:r>
    </w:p>
    <w:p w:rsidR="00444459" w:rsidRPr="00444459" w:rsidRDefault="00444459" w:rsidP="00444459">
      <w:pPr>
        <w:pStyle w:val="Normal1"/>
        <w:rPr>
          <w:color w:val="222222"/>
          <w:highlight w:val="white"/>
          <w:lang w:val="en-GB"/>
        </w:rPr>
      </w:pPr>
      <w:r w:rsidRPr="00444459">
        <w:rPr>
          <w:color w:val="222222"/>
          <w:highlight w:val="white"/>
          <w:lang w:val="en-GB"/>
        </w:rPr>
        <w:t>Saur, M.V. and Meschan, E., 2022. How do enterprises in the production sector use the Net Present Value method when conducting project appraisal? (Master's thesis, Handelshøyskolen BI).</w:t>
      </w:r>
    </w:p>
    <w:p w:rsidR="00444459" w:rsidRPr="00444459" w:rsidRDefault="00444459" w:rsidP="00444459">
      <w:pPr>
        <w:pStyle w:val="Normal1"/>
        <w:rPr>
          <w:color w:val="222222"/>
          <w:highlight w:val="white"/>
          <w:lang w:val="en-GB"/>
        </w:rPr>
      </w:pPr>
      <w:r w:rsidRPr="00444459">
        <w:rPr>
          <w:color w:val="222222"/>
          <w:highlight w:val="white"/>
          <w:lang w:val="en-GB"/>
        </w:rPr>
        <w:t>Sinaga, A.S., Sari, M.M., Hutasuhut, A.A., Zahara, S.T., Amanda, A., Fitri, A. and Caesario, M.A., 2023. Comparison of capital budgeting methods: NPV, IRR, PAYBACK PERIOD. World Journal of Advanced Research and Reviews, 19(2), pp.1078-1081.</w:t>
      </w:r>
    </w:p>
    <w:p w:rsidR="00444459" w:rsidRPr="00444459" w:rsidRDefault="00444459" w:rsidP="00444459">
      <w:pPr>
        <w:pStyle w:val="Normal1"/>
        <w:rPr>
          <w:color w:val="222222"/>
          <w:highlight w:val="white"/>
          <w:lang w:val="en-GB"/>
        </w:rPr>
      </w:pPr>
      <w:r w:rsidRPr="00444459">
        <w:rPr>
          <w:color w:val="222222"/>
          <w:highlight w:val="white"/>
          <w:lang w:val="en-GB"/>
        </w:rPr>
        <w:lastRenderedPageBreak/>
        <w:t>Sinaga, A.S., Sari, M.M., Hutasuhut, A.A., Zahara, S.T., Amanda, A., Fitri, A. and Caesario, M.A., 2023. Comparison of capital budgeting methods: NPV, IRR, PAYBACK PERIOD. World Journal of Advanced Research and Reviews, 19(2), pp.1078-1081.</w:t>
      </w:r>
    </w:p>
    <w:p w:rsidR="00444459" w:rsidRPr="00444459" w:rsidRDefault="00444459" w:rsidP="00444459">
      <w:pPr>
        <w:pStyle w:val="Normal1"/>
        <w:rPr>
          <w:lang w:val="en-GB"/>
        </w:rPr>
      </w:pPr>
      <w:r w:rsidRPr="00444459">
        <w:rPr>
          <w:color w:val="222222"/>
          <w:highlight w:val="white"/>
          <w:lang w:val="en-GB"/>
        </w:rPr>
        <w:t xml:space="preserve">Sustainability: Our progress &amp; latest news | Sainsbury’s. Available at: https://www.about.sainsburys.co.uk/sustainability (Accessed: 31 July 2024). </w:t>
      </w:r>
    </w:p>
    <w:p w:rsidR="00444459" w:rsidRPr="00444459" w:rsidRDefault="00444459" w:rsidP="00444459">
      <w:pPr>
        <w:pStyle w:val="Normal1"/>
        <w:rPr>
          <w:lang w:val="en-GB"/>
        </w:rPr>
      </w:pPr>
      <w:r w:rsidRPr="00444459">
        <w:rPr>
          <w:lang w:val="en-GB"/>
        </w:rPr>
        <w:t>Xiao, B., Chen, Q. and Yu, Z., 2021, April. Research on the Investment Value of Sainsbury’s. In 2021 6th International Conference on Social Sciences and Economic Development (ICSSED 2021) (pp. 108-115). Atlantis Press.</w:t>
      </w:r>
    </w:p>
    <w:p w:rsidR="00CE2ACC" w:rsidRPr="00D75F48" w:rsidRDefault="00444459" w:rsidP="00D75F48">
      <w:pPr>
        <w:pStyle w:val="Normal1"/>
        <w:rPr>
          <w:color w:val="222222"/>
          <w:highlight w:val="white"/>
          <w:lang w:val="en-GB"/>
        </w:rPr>
      </w:pPr>
      <w:r w:rsidRPr="00444459">
        <w:rPr>
          <w:color w:val="222222"/>
          <w:highlight w:val="white"/>
          <w:lang w:val="en-GB"/>
        </w:rPr>
        <w:t>Xiao, D., Liu, M., Li, L., Cai, X., Qin, S., Gao, R., Liu, J., Liu, X., Tang, H. and Li, G., 2023. Model for economic evaluation of closed-loop geothermal systems based on net present value. Applied Thermal Engineering, 231, p.121008.</w:t>
      </w:r>
      <w:bookmarkStart w:id="62" w:name="_6k2v91c5xgrb" w:colFirst="0" w:colLast="0"/>
      <w:bookmarkEnd w:id="62"/>
    </w:p>
    <w:p w:rsidR="00D75F48" w:rsidRDefault="00D75F48">
      <w:pPr>
        <w:rPr>
          <w:b/>
          <w:sz w:val="28"/>
          <w:szCs w:val="28"/>
          <w:lang w:val="en-GB"/>
        </w:rPr>
      </w:pPr>
      <w:bookmarkStart w:id="63" w:name="_cf2yzvipqfiv" w:colFirst="0" w:colLast="0"/>
      <w:bookmarkEnd w:id="63"/>
      <w:r>
        <w:rPr>
          <w:lang w:val="en-GB"/>
        </w:rPr>
        <w:br w:type="page"/>
      </w:r>
    </w:p>
    <w:p w:rsidR="00CE2ACC" w:rsidRPr="00444459" w:rsidRDefault="002A2FDB" w:rsidP="00444459">
      <w:pPr>
        <w:pStyle w:val="Heading1"/>
        <w:rPr>
          <w:lang w:val="en-GB"/>
        </w:rPr>
      </w:pPr>
      <w:bookmarkStart w:id="64" w:name="_Toc173414339"/>
      <w:r w:rsidRPr="00444459">
        <w:rPr>
          <w:lang w:val="en-GB"/>
        </w:rPr>
        <w:lastRenderedPageBreak/>
        <w:t>Appendices</w:t>
      </w:r>
      <w:bookmarkEnd w:id="64"/>
    </w:p>
    <w:p w:rsidR="00CE2ACC" w:rsidRPr="00444459" w:rsidRDefault="002A2FDB" w:rsidP="00444459">
      <w:pPr>
        <w:pStyle w:val="Heading2"/>
        <w:rPr>
          <w:lang w:val="en-GB"/>
        </w:rPr>
      </w:pPr>
      <w:bookmarkStart w:id="65" w:name="_k57t1hn839gj" w:colFirst="0" w:colLast="0"/>
      <w:bookmarkStart w:id="66" w:name="_Toc173414340"/>
      <w:bookmarkEnd w:id="65"/>
      <w:r w:rsidRPr="00444459">
        <w:rPr>
          <w:lang w:val="en-GB"/>
        </w:rPr>
        <w:t>Appendix 1: Sainsbury</w:t>
      </w:r>
      <w:bookmarkEnd w:id="66"/>
    </w:p>
    <w:p w:rsidR="00CE2ACC" w:rsidRPr="00444459" w:rsidRDefault="002A2FDB" w:rsidP="00444459">
      <w:pPr>
        <w:pStyle w:val="Normal1"/>
        <w:rPr>
          <w:lang w:val="en-GB"/>
        </w:rPr>
      </w:pPr>
      <w:r w:rsidRPr="00444459">
        <w:rPr>
          <w:noProof/>
          <w:lang w:val="en-US" w:bidi="gu-IN"/>
        </w:rPr>
        <w:drawing>
          <wp:inline distT="114300" distB="114300" distL="114300" distR="114300">
            <wp:extent cx="5943600" cy="30734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5943600" cy="30734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67310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2"/>
                    <a:stretch>
                      <a:fillRect/>
                    </a:stretch>
                  </pic:blipFill>
                  <pic:spPr>
                    <a:xfrm>
                      <a:off x="0" y="0"/>
                      <a:ext cx="5943600" cy="67310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3149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3"/>
                    <a:stretch>
                      <a:fillRect/>
                    </a:stretch>
                  </pic:blipFill>
                  <pic:spPr>
                    <a:xfrm>
                      <a:off x="0" y="0"/>
                      <a:ext cx="5943600" cy="31496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drawing>
          <wp:inline distT="114300" distB="114300" distL="114300" distR="114300">
            <wp:extent cx="5943600" cy="29337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4"/>
                    <a:stretch>
                      <a:fillRect/>
                    </a:stretch>
                  </pic:blipFill>
                  <pic:spPr>
                    <a:xfrm>
                      <a:off x="0" y="0"/>
                      <a:ext cx="5943600" cy="29337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69596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5"/>
                    <a:stretch>
                      <a:fillRect/>
                    </a:stretch>
                  </pic:blipFill>
                  <pic:spPr>
                    <a:xfrm>
                      <a:off x="0" y="0"/>
                      <a:ext cx="5943600" cy="6959600"/>
                    </a:xfrm>
                    <a:prstGeom prst="rect">
                      <a:avLst/>
                    </a:prstGeom>
                  </pic:spPr>
                </pic:pic>
              </a:graphicData>
            </a:graphic>
          </wp:inline>
        </w:drawing>
      </w:r>
    </w:p>
    <w:p w:rsidR="00CE2ACC" w:rsidRPr="00444459" w:rsidRDefault="002A2FDB" w:rsidP="00444459">
      <w:pPr>
        <w:pStyle w:val="Heading2"/>
        <w:rPr>
          <w:lang w:val="en-GB"/>
        </w:rPr>
      </w:pPr>
      <w:bookmarkStart w:id="67" w:name="_urui1xijhhb1" w:colFirst="0" w:colLast="0"/>
      <w:bookmarkStart w:id="68" w:name="_Toc173414341"/>
      <w:bookmarkEnd w:id="67"/>
      <w:r w:rsidRPr="00444459">
        <w:rPr>
          <w:lang w:val="en-GB"/>
        </w:rPr>
        <w:lastRenderedPageBreak/>
        <w:t>Appendix 2: Morrisons</w:t>
      </w:r>
      <w:bookmarkEnd w:id="68"/>
    </w:p>
    <w:p w:rsidR="00CE2ACC" w:rsidRPr="00444459" w:rsidRDefault="002A2FDB" w:rsidP="00444459">
      <w:pPr>
        <w:pStyle w:val="Normal1"/>
        <w:rPr>
          <w:lang w:val="en-GB"/>
        </w:rPr>
      </w:pPr>
      <w:r w:rsidRPr="00444459">
        <w:rPr>
          <w:noProof/>
          <w:lang w:val="en-US" w:bidi="gu-IN"/>
        </w:rPr>
        <w:drawing>
          <wp:inline distT="114300" distB="114300" distL="114300" distR="114300">
            <wp:extent cx="5943600" cy="27051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16"/>
                    <a:stretch>
                      <a:fillRect/>
                    </a:stretch>
                  </pic:blipFill>
                  <pic:spPr>
                    <a:xfrm>
                      <a:off x="0" y="0"/>
                      <a:ext cx="5943600" cy="27051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6400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7"/>
                    <a:stretch>
                      <a:fillRect/>
                    </a:stretch>
                  </pic:blipFill>
                  <pic:spPr>
                    <a:xfrm>
                      <a:off x="0" y="0"/>
                      <a:ext cx="5943600" cy="64008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31369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18"/>
                    <a:stretch>
                      <a:fillRect/>
                    </a:stretch>
                  </pic:blipFill>
                  <pic:spPr>
                    <a:xfrm>
                      <a:off x="0" y="0"/>
                      <a:ext cx="5943600" cy="31369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drawing>
          <wp:inline distT="114300" distB="114300" distL="114300" distR="114300">
            <wp:extent cx="5943600" cy="3060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9"/>
                    <a:stretch>
                      <a:fillRect/>
                    </a:stretch>
                  </pic:blipFill>
                  <pic:spPr>
                    <a:xfrm>
                      <a:off x="0" y="0"/>
                      <a:ext cx="5943600" cy="3060700"/>
                    </a:xfrm>
                    <a:prstGeom prst="rect">
                      <a:avLst/>
                    </a:prstGeom>
                  </pic:spPr>
                </pic:pic>
              </a:graphicData>
            </a:graphic>
          </wp:inline>
        </w:drawing>
      </w:r>
    </w:p>
    <w:p w:rsidR="00CE2ACC" w:rsidRPr="00444459" w:rsidRDefault="002A2FDB" w:rsidP="00444459">
      <w:pPr>
        <w:pStyle w:val="Normal1"/>
        <w:rPr>
          <w:lang w:val="en-GB"/>
        </w:rPr>
      </w:pPr>
      <w:r w:rsidRPr="00444459">
        <w:rPr>
          <w:noProof/>
          <w:lang w:val="en-US" w:bidi="gu-IN"/>
        </w:rPr>
        <w:lastRenderedPageBreak/>
        <w:drawing>
          <wp:inline distT="114300" distB="114300" distL="114300" distR="114300">
            <wp:extent cx="5943600" cy="69088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20"/>
                    <a:stretch>
                      <a:fillRect/>
                    </a:stretch>
                  </pic:blipFill>
                  <pic:spPr>
                    <a:xfrm>
                      <a:off x="0" y="0"/>
                      <a:ext cx="5943600" cy="6908800"/>
                    </a:xfrm>
                    <a:prstGeom prst="rect">
                      <a:avLst/>
                    </a:prstGeom>
                  </pic:spPr>
                </pic:pic>
              </a:graphicData>
            </a:graphic>
          </wp:inline>
        </w:drawing>
      </w:r>
    </w:p>
    <w:sectPr w:rsidR="00CE2ACC" w:rsidRPr="00444459" w:rsidSect="00444459">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2FDB" w:rsidRDefault="002A2FDB" w:rsidP="00444459">
      <w:pPr>
        <w:spacing w:line="240" w:lineRule="auto"/>
      </w:pPr>
      <w:r>
        <w:separator/>
      </w:r>
    </w:p>
  </w:endnote>
  <w:endnote w:type="continuationSeparator" w:id="1">
    <w:p w:rsidR="002A2FDB" w:rsidRDefault="002A2FDB" w:rsidP="0044445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8577791"/>
      <w:docPartObj>
        <w:docPartGallery w:val="Page Numbers (Bottom of Page)"/>
        <w:docPartUnique/>
      </w:docPartObj>
    </w:sdtPr>
    <w:sdtEndPr>
      <w:rPr>
        <w:sz w:val="22"/>
        <w:szCs w:val="22"/>
      </w:rPr>
    </w:sdtEndPr>
    <w:sdtContent>
      <w:sdt>
        <w:sdtPr>
          <w:rPr>
            <w:sz w:val="22"/>
            <w:szCs w:val="22"/>
          </w:rPr>
          <w:id w:val="-1769616900"/>
          <w:docPartObj>
            <w:docPartGallery w:val="Page Numbers (Top of Page)"/>
            <w:docPartUnique/>
          </w:docPartObj>
        </w:sdtPr>
        <w:sdtContent>
          <w:p w:rsidR="00444459" w:rsidRPr="00444459" w:rsidRDefault="00444459">
            <w:pPr>
              <w:pStyle w:val="Footer"/>
              <w:jc w:val="right"/>
              <w:rPr>
                <w:sz w:val="22"/>
                <w:szCs w:val="22"/>
              </w:rPr>
            </w:pPr>
            <w:r w:rsidRPr="00444459">
              <w:rPr>
                <w:sz w:val="22"/>
                <w:szCs w:val="22"/>
              </w:rPr>
              <w:t xml:space="preserve">Page </w:t>
            </w:r>
            <w:r w:rsidR="007A788D" w:rsidRPr="00444459">
              <w:rPr>
                <w:sz w:val="22"/>
                <w:szCs w:val="22"/>
              </w:rPr>
              <w:fldChar w:fldCharType="begin"/>
            </w:r>
            <w:r w:rsidRPr="00444459">
              <w:rPr>
                <w:sz w:val="22"/>
                <w:szCs w:val="22"/>
              </w:rPr>
              <w:instrText xml:space="preserve"> PAGE </w:instrText>
            </w:r>
            <w:r w:rsidR="007A788D" w:rsidRPr="00444459">
              <w:rPr>
                <w:sz w:val="22"/>
                <w:szCs w:val="22"/>
              </w:rPr>
              <w:fldChar w:fldCharType="separate"/>
            </w:r>
            <w:r w:rsidR="00047E83">
              <w:rPr>
                <w:noProof/>
                <w:sz w:val="22"/>
                <w:szCs w:val="22"/>
              </w:rPr>
              <w:t>1</w:t>
            </w:r>
            <w:r w:rsidR="007A788D" w:rsidRPr="00444459">
              <w:rPr>
                <w:sz w:val="22"/>
                <w:szCs w:val="22"/>
              </w:rPr>
              <w:fldChar w:fldCharType="end"/>
            </w:r>
            <w:r w:rsidRPr="00444459">
              <w:rPr>
                <w:sz w:val="22"/>
                <w:szCs w:val="22"/>
              </w:rPr>
              <w:t xml:space="preserve"> of </w:t>
            </w:r>
            <w:r w:rsidR="007A788D" w:rsidRPr="00444459">
              <w:rPr>
                <w:sz w:val="22"/>
                <w:szCs w:val="22"/>
              </w:rPr>
              <w:fldChar w:fldCharType="begin"/>
            </w:r>
            <w:r w:rsidRPr="00444459">
              <w:rPr>
                <w:sz w:val="22"/>
                <w:szCs w:val="22"/>
              </w:rPr>
              <w:instrText xml:space="preserve"> NUMPAGES  </w:instrText>
            </w:r>
            <w:r w:rsidR="007A788D" w:rsidRPr="00444459">
              <w:rPr>
                <w:sz w:val="22"/>
                <w:szCs w:val="22"/>
              </w:rPr>
              <w:fldChar w:fldCharType="separate"/>
            </w:r>
            <w:r w:rsidR="00047E83">
              <w:rPr>
                <w:noProof/>
                <w:sz w:val="22"/>
                <w:szCs w:val="22"/>
              </w:rPr>
              <w:t>31</w:t>
            </w:r>
            <w:r w:rsidR="007A788D" w:rsidRPr="00444459">
              <w:rPr>
                <w:sz w:val="22"/>
                <w:szCs w:val="22"/>
              </w:rPr>
              <w:fldChar w:fldCharType="end"/>
            </w:r>
          </w:p>
        </w:sdtContent>
      </w:sdt>
    </w:sdtContent>
  </w:sdt>
  <w:p w:rsidR="00444459" w:rsidRDefault="004444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2FDB" w:rsidRDefault="002A2FDB" w:rsidP="00444459">
      <w:pPr>
        <w:spacing w:line="240" w:lineRule="auto"/>
      </w:pPr>
      <w:r>
        <w:separator/>
      </w:r>
    </w:p>
  </w:footnote>
  <w:footnote w:type="continuationSeparator" w:id="1">
    <w:p w:rsidR="002A2FDB" w:rsidRDefault="002A2FDB" w:rsidP="0044445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96B1F"/>
    <w:multiLevelType w:val="hybridMultilevel"/>
    <w:tmpl w:val="00000000"/>
    <w:lvl w:ilvl="0" w:tplc="7C82078C">
      <w:start w:val="1"/>
      <w:numFmt w:val="bullet"/>
      <w:lvlText w:val="❖"/>
      <w:lvlJc w:val="left"/>
      <w:pPr>
        <w:ind w:left="720" w:hanging="360"/>
      </w:pPr>
      <w:rPr>
        <w:u w:val="none"/>
      </w:rPr>
    </w:lvl>
    <w:lvl w:ilvl="1" w:tplc="03D43200">
      <w:start w:val="1"/>
      <w:numFmt w:val="bullet"/>
      <w:lvlText w:val="➢"/>
      <w:lvlJc w:val="left"/>
      <w:pPr>
        <w:ind w:left="1440" w:hanging="360"/>
      </w:pPr>
      <w:rPr>
        <w:u w:val="none"/>
      </w:rPr>
    </w:lvl>
    <w:lvl w:ilvl="2" w:tplc="AA1A4038">
      <w:start w:val="1"/>
      <w:numFmt w:val="bullet"/>
      <w:lvlText w:val="■"/>
      <w:lvlJc w:val="left"/>
      <w:pPr>
        <w:ind w:left="2160" w:hanging="360"/>
      </w:pPr>
      <w:rPr>
        <w:u w:val="none"/>
      </w:rPr>
    </w:lvl>
    <w:lvl w:ilvl="3" w:tplc="2F3ED778">
      <w:start w:val="1"/>
      <w:numFmt w:val="bullet"/>
      <w:lvlText w:val="●"/>
      <w:lvlJc w:val="left"/>
      <w:pPr>
        <w:ind w:left="2880" w:hanging="360"/>
      </w:pPr>
      <w:rPr>
        <w:u w:val="none"/>
      </w:rPr>
    </w:lvl>
    <w:lvl w:ilvl="4" w:tplc="AD3C64F2">
      <w:start w:val="1"/>
      <w:numFmt w:val="bullet"/>
      <w:lvlText w:val="◆"/>
      <w:lvlJc w:val="left"/>
      <w:pPr>
        <w:ind w:left="3600" w:hanging="360"/>
      </w:pPr>
      <w:rPr>
        <w:u w:val="none"/>
      </w:rPr>
    </w:lvl>
    <w:lvl w:ilvl="5" w:tplc="381E20DA">
      <w:start w:val="1"/>
      <w:numFmt w:val="bullet"/>
      <w:lvlText w:val="➢"/>
      <w:lvlJc w:val="left"/>
      <w:pPr>
        <w:ind w:left="4320" w:hanging="360"/>
      </w:pPr>
      <w:rPr>
        <w:u w:val="none"/>
      </w:rPr>
    </w:lvl>
    <w:lvl w:ilvl="6" w:tplc="D1C072DA">
      <w:start w:val="1"/>
      <w:numFmt w:val="bullet"/>
      <w:lvlText w:val="■"/>
      <w:lvlJc w:val="left"/>
      <w:pPr>
        <w:ind w:left="5040" w:hanging="360"/>
      </w:pPr>
      <w:rPr>
        <w:u w:val="none"/>
      </w:rPr>
    </w:lvl>
    <w:lvl w:ilvl="7" w:tplc="7812D6E4">
      <w:start w:val="1"/>
      <w:numFmt w:val="bullet"/>
      <w:lvlText w:val="●"/>
      <w:lvlJc w:val="left"/>
      <w:pPr>
        <w:ind w:left="5760" w:hanging="360"/>
      </w:pPr>
      <w:rPr>
        <w:u w:val="none"/>
      </w:rPr>
    </w:lvl>
    <w:lvl w:ilvl="8" w:tplc="74BA8220">
      <w:start w:val="1"/>
      <w:numFmt w:val="bullet"/>
      <w:lvlText w:val="◆"/>
      <w:lvlJc w:val="left"/>
      <w:pPr>
        <w:ind w:left="6480" w:hanging="360"/>
      </w:pPr>
      <w:rPr>
        <w:u w:val="none"/>
      </w:rPr>
    </w:lvl>
  </w:abstractNum>
  <w:abstractNum w:abstractNumId="1">
    <w:nsid w:val="23F40831"/>
    <w:multiLevelType w:val="hybridMultilevel"/>
    <w:tmpl w:val="00000000"/>
    <w:lvl w:ilvl="0" w:tplc="4FA4DF04">
      <w:start w:val="1"/>
      <w:numFmt w:val="bullet"/>
      <w:lvlText w:val="❖"/>
      <w:lvlJc w:val="left"/>
      <w:pPr>
        <w:ind w:left="720" w:hanging="360"/>
      </w:pPr>
      <w:rPr>
        <w:u w:val="none"/>
      </w:rPr>
    </w:lvl>
    <w:lvl w:ilvl="1" w:tplc="4DA4DEBE">
      <w:start w:val="1"/>
      <w:numFmt w:val="bullet"/>
      <w:lvlText w:val="➢"/>
      <w:lvlJc w:val="left"/>
      <w:pPr>
        <w:ind w:left="1440" w:hanging="360"/>
      </w:pPr>
      <w:rPr>
        <w:u w:val="none"/>
      </w:rPr>
    </w:lvl>
    <w:lvl w:ilvl="2" w:tplc="D5AA6C9E">
      <w:start w:val="1"/>
      <w:numFmt w:val="bullet"/>
      <w:lvlText w:val="■"/>
      <w:lvlJc w:val="left"/>
      <w:pPr>
        <w:ind w:left="2160" w:hanging="360"/>
      </w:pPr>
      <w:rPr>
        <w:u w:val="none"/>
      </w:rPr>
    </w:lvl>
    <w:lvl w:ilvl="3" w:tplc="4F469E06">
      <w:start w:val="1"/>
      <w:numFmt w:val="bullet"/>
      <w:lvlText w:val="●"/>
      <w:lvlJc w:val="left"/>
      <w:pPr>
        <w:ind w:left="2880" w:hanging="360"/>
      </w:pPr>
      <w:rPr>
        <w:u w:val="none"/>
      </w:rPr>
    </w:lvl>
    <w:lvl w:ilvl="4" w:tplc="EDEAD8B0">
      <w:start w:val="1"/>
      <w:numFmt w:val="bullet"/>
      <w:lvlText w:val="◆"/>
      <w:lvlJc w:val="left"/>
      <w:pPr>
        <w:ind w:left="3600" w:hanging="360"/>
      </w:pPr>
      <w:rPr>
        <w:u w:val="none"/>
      </w:rPr>
    </w:lvl>
    <w:lvl w:ilvl="5" w:tplc="636A3A3A">
      <w:start w:val="1"/>
      <w:numFmt w:val="bullet"/>
      <w:lvlText w:val="➢"/>
      <w:lvlJc w:val="left"/>
      <w:pPr>
        <w:ind w:left="4320" w:hanging="360"/>
      </w:pPr>
      <w:rPr>
        <w:u w:val="none"/>
      </w:rPr>
    </w:lvl>
    <w:lvl w:ilvl="6" w:tplc="442A8B62">
      <w:start w:val="1"/>
      <w:numFmt w:val="bullet"/>
      <w:lvlText w:val="■"/>
      <w:lvlJc w:val="left"/>
      <w:pPr>
        <w:ind w:left="5040" w:hanging="360"/>
      </w:pPr>
      <w:rPr>
        <w:u w:val="none"/>
      </w:rPr>
    </w:lvl>
    <w:lvl w:ilvl="7" w:tplc="AF642530">
      <w:start w:val="1"/>
      <w:numFmt w:val="bullet"/>
      <w:lvlText w:val="●"/>
      <w:lvlJc w:val="left"/>
      <w:pPr>
        <w:ind w:left="5760" w:hanging="360"/>
      </w:pPr>
      <w:rPr>
        <w:u w:val="none"/>
      </w:rPr>
    </w:lvl>
    <w:lvl w:ilvl="8" w:tplc="17545B74">
      <w:start w:val="1"/>
      <w:numFmt w:val="bullet"/>
      <w:lvlText w:val="◆"/>
      <w:lvlJc w:val="left"/>
      <w:pPr>
        <w:ind w:left="6480" w:hanging="360"/>
      </w:pPr>
      <w:rPr>
        <w:u w:val="none"/>
      </w:rPr>
    </w:lvl>
  </w:abstractNum>
  <w:abstractNum w:abstractNumId="2">
    <w:nsid w:val="2E35F223"/>
    <w:multiLevelType w:val="hybridMultilevel"/>
    <w:tmpl w:val="00000000"/>
    <w:lvl w:ilvl="0" w:tplc="3142065C">
      <w:start w:val="1"/>
      <w:numFmt w:val="bullet"/>
      <w:lvlText w:val="❖"/>
      <w:lvlJc w:val="left"/>
      <w:pPr>
        <w:ind w:left="720" w:hanging="360"/>
      </w:pPr>
      <w:rPr>
        <w:u w:val="none"/>
      </w:rPr>
    </w:lvl>
    <w:lvl w:ilvl="1" w:tplc="5DC6EF78">
      <w:start w:val="1"/>
      <w:numFmt w:val="bullet"/>
      <w:lvlText w:val="➢"/>
      <w:lvlJc w:val="left"/>
      <w:pPr>
        <w:ind w:left="1440" w:hanging="360"/>
      </w:pPr>
      <w:rPr>
        <w:u w:val="none"/>
      </w:rPr>
    </w:lvl>
    <w:lvl w:ilvl="2" w:tplc="60D8BA70">
      <w:start w:val="1"/>
      <w:numFmt w:val="bullet"/>
      <w:lvlText w:val="■"/>
      <w:lvlJc w:val="left"/>
      <w:pPr>
        <w:ind w:left="2160" w:hanging="360"/>
      </w:pPr>
      <w:rPr>
        <w:u w:val="none"/>
      </w:rPr>
    </w:lvl>
    <w:lvl w:ilvl="3" w:tplc="EB0CE830">
      <w:start w:val="1"/>
      <w:numFmt w:val="bullet"/>
      <w:lvlText w:val="●"/>
      <w:lvlJc w:val="left"/>
      <w:pPr>
        <w:ind w:left="2880" w:hanging="360"/>
      </w:pPr>
      <w:rPr>
        <w:u w:val="none"/>
      </w:rPr>
    </w:lvl>
    <w:lvl w:ilvl="4" w:tplc="2528D9A4">
      <w:start w:val="1"/>
      <w:numFmt w:val="bullet"/>
      <w:lvlText w:val="◆"/>
      <w:lvlJc w:val="left"/>
      <w:pPr>
        <w:ind w:left="3600" w:hanging="360"/>
      </w:pPr>
      <w:rPr>
        <w:u w:val="none"/>
      </w:rPr>
    </w:lvl>
    <w:lvl w:ilvl="5" w:tplc="182CA6FE">
      <w:start w:val="1"/>
      <w:numFmt w:val="bullet"/>
      <w:lvlText w:val="➢"/>
      <w:lvlJc w:val="left"/>
      <w:pPr>
        <w:ind w:left="4320" w:hanging="360"/>
      </w:pPr>
      <w:rPr>
        <w:u w:val="none"/>
      </w:rPr>
    </w:lvl>
    <w:lvl w:ilvl="6" w:tplc="E48AFE98">
      <w:start w:val="1"/>
      <w:numFmt w:val="bullet"/>
      <w:lvlText w:val="■"/>
      <w:lvlJc w:val="left"/>
      <w:pPr>
        <w:ind w:left="5040" w:hanging="360"/>
      </w:pPr>
      <w:rPr>
        <w:u w:val="none"/>
      </w:rPr>
    </w:lvl>
    <w:lvl w:ilvl="7" w:tplc="A0B0FED4">
      <w:start w:val="1"/>
      <w:numFmt w:val="bullet"/>
      <w:lvlText w:val="●"/>
      <w:lvlJc w:val="left"/>
      <w:pPr>
        <w:ind w:left="5760" w:hanging="360"/>
      </w:pPr>
      <w:rPr>
        <w:u w:val="none"/>
      </w:rPr>
    </w:lvl>
    <w:lvl w:ilvl="8" w:tplc="CF78B62E">
      <w:start w:val="1"/>
      <w:numFmt w:val="bullet"/>
      <w:lvlText w:val="◆"/>
      <w:lvlJc w:val="left"/>
      <w:pPr>
        <w:ind w:left="6480" w:hanging="360"/>
      </w:pPr>
      <w:rPr>
        <w:u w:val="none"/>
      </w:rPr>
    </w:lvl>
  </w:abstractNum>
  <w:abstractNum w:abstractNumId="3">
    <w:nsid w:val="2F4E8959"/>
    <w:multiLevelType w:val="hybridMultilevel"/>
    <w:tmpl w:val="00000000"/>
    <w:lvl w:ilvl="0" w:tplc="99F8414E">
      <w:start w:val="1"/>
      <w:numFmt w:val="bullet"/>
      <w:lvlText w:val="❖"/>
      <w:lvlJc w:val="left"/>
      <w:pPr>
        <w:ind w:left="720" w:hanging="360"/>
      </w:pPr>
      <w:rPr>
        <w:u w:val="none"/>
      </w:rPr>
    </w:lvl>
    <w:lvl w:ilvl="1" w:tplc="DFCC18FC">
      <w:start w:val="1"/>
      <w:numFmt w:val="bullet"/>
      <w:lvlText w:val="➢"/>
      <w:lvlJc w:val="left"/>
      <w:pPr>
        <w:ind w:left="1440" w:hanging="360"/>
      </w:pPr>
      <w:rPr>
        <w:u w:val="none"/>
      </w:rPr>
    </w:lvl>
    <w:lvl w:ilvl="2" w:tplc="D012ED40">
      <w:start w:val="1"/>
      <w:numFmt w:val="bullet"/>
      <w:lvlText w:val="■"/>
      <w:lvlJc w:val="left"/>
      <w:pPr>
        <w:ind w:left="2160" w:hanging="360"/>
      </w:pPr>
      <w:rPr>
        <w:u w:val="none"/>
      </w:rPr>
    </w:lvl>
    <w:lvl w:ilvl="3" w:tplc="304C25F8">
      <w:start w:val="1"/>
      <w:numFmt w:val="bullet"/>
      <w:lvlText w:val="●"/>
      <w:lvlJc w:val="left"/>
      <w:pPr>
        <w:ind w:left="2880" w:hanging="360"/>
      </w:pPr>
      <w:rPr>
        <w:u w:val="none"/>
      </w:rPr>
    </w:lvl>
    <w:lvl w:ilvl="4" w:tplc="DF22CE0C">
      <w:start w:val="1"/>
      <w:numFmt w:val="bullet"/>
      <w:lvlText w:val="◆"/>
      <w:lvlJc w:val="left"/>
      <w:pPr>
        <w:ind w:left="3600" w:hanging="360"/>
      </w:pPr>
      <w:rPr>
        <w:u w:val="none"/>
      </w:rPr>
    </w:lvl>
    <w:lvl w:ilvl="5" w:tplc="4C40A96A">
      <w:start w:val="1"/>
      <w:numFmt w:val="bullet"/>
      <w:lvlText w:val="➢"/>
      <w:lvlJc w:val="left"/>
      <w:pPr>
        <w:ind w:left="4320" w:hanging="360"/>
      </w:pPr>
      <w:rPr>
        <w:u w:val="none"/>
      </w:rPr>
    </w:lvl>
    <w:lvl w:ilvl="6" w:tplc="B2EEF42C">
      <w:start w:val="1"/>
      <w:numFmt w:val="bullet"/>
      <w:lvlText w:val="■"/>
      <w:lvlJc w:val="left"/>
      <w:pPr>
        <w:ind w:left="5040" w:hanging="360"/>
      </w:pPr>
      <w:rPr>
        <w:u w:val="none"/>
      </w:rPr>
    </w:lvl>
    <w:lvl w:ilvl="7" w:tplc="EA72D5BA">
      <w:start w:val="1"/>
      <w:numFmt w:val="bullet"/>
      <w:lvlText w:val="●"/>
      <w:lvlJc w:val="left"/>
      <w:pPr>
        <w:ind w:left="5760" w:hanging="360"/>
      </w:pPr>
      <w:rPr>
        <w:u w:val="none"/>
      </w:rPr>
    </w:lvl>
    <w:lvl w:ilvl="8" w:tplc="B90A2F26">
      <w:start w:val="1"/>
      <w:numFmt w:val="bullet"/>
      <w:lvlText w:val="◆"/>
      <w:lvlJc w:val="left"/>
      <w:pPr>
        <w:ind w:left="6480" w:hanging="360"/>
      </w:pPr>
      <w:rPr>
        <w:u w:val="none"/>
      </w:rPr>
    </w:lvl>
  </w:abstractNum>
  <w:abstractNum w:abstractNumId="4">
    <w:nsid w:val="68D62F2B"/>
    <w:multiLevelType w:val="hybridMultilevel"/>
    <w:tmpl w:val="00000000"/>
    <w:lvl w:ilvl="0" w:tplc="45A08CCE">
      <w:start w:val="1"/>
      <w:numFmt w:val="bullet"/>
      <w:lvlText w:val="❖"/>
      <w:lvlJc w:val="left"/>
      <w:pPr>
        <w:ind w:left="720" w:hanging="360"/>
      </w:pPr>
      <w:rPr>
        <w:u w:val="none"/>
      </w:rPr>
    </w:lvl>
    <w:lvl w:ilvl="1" w:tplc="5AD05CBA">
      <w:start w:val="1"/>
      <w:numFmt w:val="bullet"/>
      <w:lvlText w:val="➢"/>
      <w:lvlJc w:val="left"/>
      <w:pPr>
        <w:ind w:left="1440" w:hanging="360"/>
      </w:pPr>
      <w:rPr>
        <w:u w:val="none"/>
      </w:rPr>
    </w:lvl>
    <w:lvl w:ilvl="2" w:tplc="C72695FE">
      <w:start w:val="1"/>
      <w:numFmt w:val="bullet"/>
      <w:lvlText w:val="■"/>
      <w:lvlJc w:val="left"/>
      <w:pPr>
        <w:ind w:left="2160" w:hanging="360"/>
      </w:pPr>
      <w:rPr>
        <w:u w:val="none"/>
      </w:rPr>
    </w:lvl>
    <w:lvl w:ilvl="3" w:tplc="D9182A88">
      <w:start w:val="1"/>
      <w:numFmt w:val="bullet"/>
      <w:lvlText w:val="●"/>
      <w:lvlJc w:val="left"/>
      <w:pPr>
        <w:ind w:left="2880" w:hanging="360"/>
      </w:pPr>
      <w:rPr>
        <w:u w:val="none"/>
      </w:rPr>
    </w:lvl>
    <w:lvl w:ilvl="4" w:tplc="2F66BFB2">
      <w:start w:val="1"/>
      <w:numFmt w:val="bullet"/>
      <w:lvlText w:val="◆"/>
      <w:lvlJc w:val="left"/>
      <w:pPr>
        <w:ind w:left="3600" w:hanging="360"/>
      </w:pPr>
      <w:rPr>
        <w:u w:val="none"/>
      </w:rPr>
    </w:lvl>
    <w:lvl w:ilvl="5" w:tplc="CBB2F9DA">
      <w:start w:val="1"/>
      <w:numFmt w:val="bullet"/>
      <w:lvlText w:val="➢"/>
      <w:lvlJc w:val="left"/>
      <w:pPr>
        <w:ind w:left="4320" w:hanging="360"/>
      </w:pPr>
      <w:rPr>
        <w:u w:val="none"/>
      </w:rPr>
    </w:lvl>
    <w:lvl w:ilvl="6" w:tplc="C132566E">
      <w:start w:val="1"/>
      <w:numFmt w:val="bullet"/>
      <w:lvlText w:val="■"/>
      <w:lvlJc w:val="left"/>
      <w:pPr>
        <w:ind w:left="5040" w:hanging="360"/>
      </w:pPr>
      <w:rPr>
        <w:u w:val="none"/>
      </w:rPr>
    </w:lvl>
    <w:lvl w:ilvl="7" w:tplc="426CA5E8">
      <w:start w:val="1"/>
      <w:numFmt w:val="bullet"/>
      <w:lvlText w:val="●"/>
      <w:lvlJc w:val="left"/>
      <w:pPr>
        <w:ind w:left="5760" w:hanging="360"/>
      </w:pPr>
      <w:rPr>
        <w:u w:val="none"/>
      </w:rPr>
    </w:lvl>
    <w:lvl w:ilvl="8" w:tplc="34DAEF0E">
      <w:start w:val="1"/>
      <w:numFmt w:val="bullet"/>
      <w:lvlText w:val="◆"/>
      <w:lvlJc w:val="left"/>
      <w:pPr>
        <w:ind w:left="6480" w:hanging="360"/>
      </w:pPr>
      <w:rPr>
        <w:u w:val="none"/>
      </w:rPr>
    </w:lvl>
  </w:abstractNum>
  <w:abstractNum w:abstractNumId="5">
    <w:nsid w:val="6B6D9733"/>
    <w:multiLevelType w:val="hybridMultilevel"/>
    <w:tmpl w:val="00000000"/>
    <w:lvl w:ilvl="0" w:tplc="48462D90">
      <w:start w:val="1"/>
      <w:numFmt w:val="bullet"/>
      <w:lvlText w:val="❖"/>
      <w:lvlJc w:val="left"/>
      <w:pPr>
        <w:ind w:left="720" w:hanging="360"/>
      </w:pPr>
      <w:rPr>
        <w:u w:val="none"/>
      </w:rPr>
    </w:lvl>
    <w:lvl w:ilvl="1" w:tplc="7B9806B8">
      <w:start w:val="1"/>
      <w:numFmt w:val="bullet"/>
      <w:lvlText w:val="➢"/>
      <w:lvlJc w:val="left"/>
      <w:pPr>
        <w:ind w:left="1440" w:hanging="360"/>
      </w:pPr>
      <w:rPr>
        <w:u w:val="none"/>
      </w:rPr>
    </w:lvl>
    <w:lvl w:ilvl="2" w:tplc="1542EFF0">
      <w:start w:val="1"/>
      <w:numFmt w:val="bullet"/>
      <w:lvlText w:val="■"/>
      <w:lvlJc w:val="left"/>
      <w:pPr>
        <w:ind w:left="2160" w:hanging="360"/>
      </w:pPr>
      <w:rPr>
        <w:u w:val="none"/>
      </w:rPr>
    </w:lvl>
    <w:lvl w:ilvl="3" w:tplc="6E844486">
      <w:start w:val="1"/>
      <w:numFmt w:val="bullet"/>
      <w:lvlText w:val="●"/>
      <w:lvlJc w:val="left"/>
      <w:pPr>
        <w:ind w:left="2880" w:hanging="360"/>
      </w:pPr>
      <w:rPr>
        <w:u w:val="none"/>
      </w:rPr>
    </w:lvl>
    <w:lvl w:ilvl="4" w:tplc="1A6C100C">
      <w:start w:val="1"/>
      <w:numFmt w:val="bullet"/>
      <w:lvlText w:val="◆"/>
      <w:lvlJc w:val="left"/>
      <w:pPr>
        <w:ind w:left="3600" w:hanging="360"/>
      </w:pPr>
      <w:rPr>
        <w:u w:val="none"/>
      </w:rPr>
    </w:lvl>
    <w:lvl w:ilvl="5" w:tplc="16CA9278">
      <w:start w:val="1"/>
      <w:numFmt w:val="bullet"/>
      <w:lvlText w:val="➢"/>
      <w:lvlJc w:val="left"/>
      <w:pPr>
        <w:ind w:left="4320" w:hanging="360"/>
      </w:pPr>
      <w:rPr>
        <w:u w:val="none"/>
      </w:rPr>
    </w:lvl>
    <w:lvl w:ilvl="6" w:tplc="A4D89CBE">
      <w:start w:val="1"/>
      <w:numFmt w:val="bullet"/>
      <w:lvlText w:val="■"/>
      <w:lvlJc w:val="left"/>
      <w:pPr>
        <w:ind w:left="5040" w:hanging="360"/>
      </w:pPr>
      <w:rPr>
        <w:u w:val="none"/>
      </w:rPr>
    </w:lvl>
    <w:lvl w:ilvl="7" w:tplc="CAA0F646">
      <w:start w:val="1"/>
      <w:numFmt w:val="bullet"/>
      <w:lvlText w:val="●"/>
      <w:lvlJc w:val="left"/>
      <w:pPr>
        <w:ind w:left="5760" w:hanging="360"/>
      </w:pPr>
      <w:rPr>
        <w:u w:val="none"/>
      </w:rPr>
    </w:lvl>
    <w:lvl w:ilvl="8" w:tplc="77B83B08">
      <w:start w:val="1"/>
      <w:numFmt w:val="bullet"/>
      <w:lvlText w:val="◆"/>
      <w:lvlJc w:val="left"/>
      <w:pPr>
        <w:ind w:left="6480" w:hanging="360"/>
      </w:pPr>
      <w:rPr>
        <w:u w:val="none"/>
      </w:rPr>
    </w:lvl>
  </w:abstractNum>
  <w:num w:numId="1">
    <w:abstractNumId w:val="4"/>
  </w:num>
  <w:num w:numId="2">
    <w:abstractNumId w:val="3"/>
  </w:num>
  <w:num w:numId="3">
    <w:abstractNumId w:val="2"/>
  </w:num>
  <w:num w:numId="4">
    <w:abstractNumId w:val="0"/>
  </w:num>
  <w:num w:numId="5">
    <w:abstractNumId w:val="5"/>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7M0NzU3szQyMbA0tDBQ0lEKTi0uzszPAykwrAUAg1acOiwAAAA="/>
  </w:docVars>
  <w:rsids>
    <w:rsidRoot w:val="00CE2ACC"/>
    <w:rsid w:val="00047E83"/>
    <w:rsid w:val="000B692E"/>
    <w:rsid w:val="000C2491"/>
    <w:rsid w:val="000C5617"/>
    <w:rsid w:val="002A2FDB"/>
    <w:rsid w:val="002D68DE"/>
    <w:rsid w:val="00350AD0"/>
    <w:rsid w:val="00353669"/>
    <w:rsid w:val="00444459"/>
    <w:rsid w:val="004940B3"/>
    <w:rsid w:val="007A788D"/>
    <w:rsid w:val="008628DC"/>
    <w:rsid w:val="008A4188"/>
    <w:rsid w:val="008B05A9"/>
    <w:rsid w:val="009070E9"/>
    <w:rsid w:val="00A924DF"/>
    <w:rsid w:val="00AA1F3D"/>
    <w:rsid w:val="00B77E3F"/>
    <w:rsid w:val="00CE2ACC"/>
    <w:rsid w:val="00D75F48"/>
    <w:rsid w:val="00E535BF"/>
    <w:rsid w:val="00E85355"/>
    <w:rsid w:val="00EA18F0"/>
    <w:rsid w:val="00F80A2C"/>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7A788D"/>
    <w:pPr>
      <w:keepNext/>
      <w:keepLines/>
      <w:outlineLvl w:val="0"/>
    </w:pPr>
    <w:rPr>
      <w:b/>
      <w:sz w:val="28"/>
      <w:szCs w:val="28"/>
    </w:rPr>
  </w:style>
  <w:style w:type="paragraph" w:styleId="Heading2">
    <w:name w:val="heading 2"/>
    <w:basedOn w:val="Normal1"/>
    <w:next w:val="Normal1"/>
    <w:rsid w:val="007A788D"/>
    <w:pPr>
      <w:keepNext/>
      <w:keepLines/>
      <w:outlineLvl w:val="1"/>
    </w:pPr>
    <w:rPr>
      <w:b/>
      <w:i/>
      <w:sz w:val="26"/>
      <w:szCs w:val="26"/>
    </w:rPr>
  </w:style>
  <w:style w:type="paragraph" w:styleId="Heading3">
    <w:name w:val="heading 3"/>
    <w:basedOn w:val="Normal1"/>
    <w:next w:val="Normal1"/>
    <w:rsid w:val="007A788D"/>
    <w:pPr>
      <w:keepNext/>
      <w:keepLines/>
      <w:outlineLvl w:val="2"/>
    </w:pPr>
    <w:rPr>
      <w:b/>
      <w:u w:val="single"/>
    </w:rPr>
  </w:style>
  <w:style w:type="paragraph" w:styleId="Heading4">
    <w:name w:val="heading 4"/>
    <w:basedOn w:val="Normal1"/>
    <w:next w:val="Normal1"/>
    <w:rsid w:val="007A788D"/>
    <w:pPr>
      <w:keepNext/>
      <w:keepLines/>
      <w:spacing w:before="280" w:after="80"/>
      <w:outlineLvl w:val="3"/>
    </w:pPr>
    <w:rPr>
      <w:color w:val="666666"/>
    </w:rPr>
  </w:style>
  <w:style w:type="paragraph" w:styleId="Heading5">
    <w:name w:val="heading 5"/>
    <w:basedOn w:val="Normal1"/>
    <w:next w:val="Normal1"/>
    <w:rsid w:val="007A788D"/>
    <w:pPr>
      <w:keepNext/>
      <w:keepLines/>
      <w:spacing w:before="240" w:after="80"/>
      <w:outlineLvl w:val="4"/>
    </w:pPr>
    <w:rPr>
      <w:color w:val="666666"/>
      <w:sz w:val="22"/>
      <w:szCs w:val="22"/>
    </w:rPr>
  </w:style>
  <w:style w:type="paragraph" w:styleId="Heading6">
    <w:name w:val="heading 6"/>
    <w:basedOn w:val="Normal1"/>
    <w:next w:val="Normal1"/>
    <w:rsid w:val="007A788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788D"/>
  </w:style>
  <w:style w:type="table" w:customStyle="1" w:styleId="TableNormal1">
    <w:name w:val="Table Normal1"/>
    <w:rsid w:val="007A788D"/>
    <w:tblPr>
      <w:tblCellMar>
        <w:top w:w="0" w:type="dxa"/>
        <w:left w:w="0" w:type="dxa"/>
        <w:bottom w:w="0" w:type="dxa"/>
        <w:right w:w="0" w:type="dxa"/>
      </w:tblCellMar>
    </w:tblPr>
  </w:style>
  <w:style w:type="paragraph" w:styleId="Title">
    <w:name w:val="Title"/>
    <w:basedOn w:val="Normal1"/>
    <w:next w:val="Normal1"/>
    <w:rsid w:val="007A788D"/>
    <w:pPr>
      <w:keepNext/>
      <w:keepLines/>
      <w:spacing w:after="60"/>
    </w:pPr>
    <w:rPr>
      <w:sz w:val="52"/>
      <w:szCs w:val="52"/>
    </w:rPr>
  </w:style>
  <w:style w:type="paragraph" w:styleId="Subtitle">
    <w:name w:val="Subtitle"/>
    <w:basedOn w:val="Normal1"/>
    <w:next w:val="Normal1"/>
    <w:rsid w:val="007A788D"/>
    <w:pPr>
      <w:keepNext/>
      <w:keepLines/>
      <w:spacing w:after="320"/>
    </w:pPr>
    <w:rPr>
      <w:rFonts w:ascii="Arial" w:eastAsia="Arial" w:hAnsi="Arial" w:cs="Arial"/>
      <w:color w:val="666666"/>
      <w:sz w:val="30"/>
      <w:szCs w:val="30"/>
    </w:rPr>
  </w:style>
  <w:style w:type="table" w:customStyle="1" w:styleId="Table1">
    <w:name w:val="Table1"/>
    <w:basedOn w:val="TableNormal1"/>
    <w:rsid w:val="007A788D"/>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7A788D"/>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7A788D"/>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7A788D"/>
    <w:tblPr>
      <w:tblStyleRowBandSize w:val="1"/>
      <w:tblStyleColBandSize w:val="1"/>
      <w:tblCellMar>
        <w:top w:w="100" w:type="dxa"/>
        <w:left w:w="100" w:type="dxa"/>
        <w:bottom w:w="100" w:type="dxa"/>
        <w:right w:w="100" w:type="dxa"/>
      </w:tblCellMar>
    </w:tblPr>
  </w:style>
  <w:style w:type="table" w:customStyle="1" w:styleId="Table5">
    <w:name w:val="Table5"/>
    <w:basedOn w:val="TableNormal1"/>
    <w:rsid w:val="007A788D"/>
    <w:tblPr>
      <w:tblStyleRowBandSize w:val="1"/>
      <w:tblStyleColBandSize w:val="1"/>
      <w:tblCellMar>
        <w:top w:w="100" w:type="dxa"/>
        <w:left w:w="100" w:type="dxa"/>
        <w:bottom w:w="100" w:type="dxa"/>
        <w:right w:w="100" w:type="dxa"/>
      </w:tblCellMar>
    </w:tblPr>
  </w:style>
  <w:style w:type="table" w:customStyle="1" w:styleId="Table6">
    <w:name w:val="Table6"/>
    <w:basedOn w:val="TableNormal1"/>
    <w:rsid w:val="007A788D"/>
    <w:tblPr>
      <w:tblStyleRowBandSize w:val="1"/>
      <w:tblStyleColBandSize w:val="1"/>
      <w:tblCellMar>
        <w:top w:w="100" w:type="dxa"/>
        <w:left w:w="100" w:type="dxa"/>
        <w:bottom w:w="100" w:type="dxa"/>
        <w:right w:w="100" w:type="dxa"/>
      </w:tblCellMar>
    </w:tblPr>
  </w:style>
  <w:style w:type="table" w:customStyle="1" w:styleId="Table7">
    <w:name w:val="Table7"/>
    <w:basedOn w:val="TableNormal1"/>
    <w:rsid w:val="007A788D"/>
    <w:tblPr>
      <w:tblStyleRowBandSize w:val="1"/>
      <w:tblStyleColBandSize w:val="1"/>
      <w:tblCellMar>
        <w:top w:w="100" w:type="dxa"/>
        <w:left w:w="100" w:type="dxa"/>
        <w:bottom w:w="100" w:type="dxa"/>
        <w:right w:w="100" w:type="dxa"/>
      </w:tblCellMar>
    </w:tblPr>
  </w:style>
  <w:style w:type="table" w:customStyle="1" w:styleId="Table8">
    <w:name w:val="Table8"/>
    <w:basedOn w:val="TableNormal1"/>
    <w:rsid w:val="007A788D"/>
    <w:tblPr>
      <w:tblStyleRowBandSize w:val="1"/>
      <w:tblStyleColBandSize w:val="1"/>
      <w:tblCellMar>
        <w:top w:w="100" w:type="dxa"/>
        <w:left w:w="100" w:type="dxa"/>
        <w:bottom w:w="100" w:type="dxa"/>
        <w:right w:w="100" w:type="dxa"/>
      </w:tblCellMar>
    </w:tblPr>
  </w:style>
  <w:style w:type="table" w:customStyle="1" w:styleId="Table9">
    <w:name w:val="Table9"/>
    <w:basedOn w:val="TableNormal1"/>
    <w:rsid w:val="007A788D"/>
    <w:tblPr>
      <w:tblStyleRowBandSize w:val="1"/>
      <w:tblStyleColBandSize w:val="1"/>
      <w:tblCellMar>
        <w:top w:w="100" w:type="dxa"/>
        <w:left w:w="100" w:type="dxa"/>
        <w:bottom w:w="100" w:type="dxa"/>
        <w:right w:w="100" w:type="dxa"/>
      </w:tblCellMar>
    </w:tblPr>
  </w:style>
  <w:style w:type="table" w:customStyle="1" w:styleId="Table10">
    <w:name w:val="Table10"/>
    <w:basedOn w:val="TableNormal1"/>
    <w:rsid w:val="007A788D"/>
    <w:tblPr>
      <w:tblStyleRowBandSize w:val="1"/>
      <w:tblStyleColBandSize w:val="1"/>
      <w:tblCellMar>
        <w:top w:w="100" w:type="dxa"/>
        <w:left w:w="100" w:type="dxa"/>
        <w:bottom w:w="100" w:type="dxa"/>
        <w:right w:w="100" w:type="dxa"/>
      </w:tblCellMar>
    </w:tblPr>
  </w:style>
  <w:style w:type="table" w:customStyle="1" w:styleId="Table11">
    <w:name w:val="Table11"/>
    <w:basedOn w:val="TableNormal1"/>
    <w:rsid w:val="007A788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44459"/>
    <w:pPr>
      <w:tabs>
        <w:tab w:val="center" w:pos="4513"/>
        <w:tab w:val="right" w:pos="9026"/>
      </w:tabs>
      <w:spacing w:line="240" w:lineRule="auto"/>
    </w:pPr>
  </w:style>
  <w:style w:type="character" w:customStyle="1" w:styleId="HeaderChar">
    <w:name w:val="Header Char"/>
    <w:basedOn w:val="DefaultParagraphFont"/>
    <w:link w:val="Header"/>
    <w:uiPriority w:val="99"/>
    <w:rsid w:val="00444459"/>
  </w:style>
  <w:style w:type="paragraph" w:styleId="Footer">
    <w:name w:val="footer"/>
    <w:basedOn w:val="Normal"/>
    <w:link w:val="FooterChar"/>
    <w:uiPriority w:val="99"/>
    <w:unhideWhenUsed/>
    <w:rsid w:val="00444459"/>
    <w:pPr>
      <w:tabs>
        <w:tab w:val="center" w:pos="4513"/>
        <w:tab w:val="right" w:pos="9026"/>
      </w:tabs>
      <w:spacing w:line="240" w:lineRule="auto"/>
    </w:pPr>
  </w:style>
  <w:style w:type="character" w:customStyle="1" w:styleId="FooterChar">
    <w:name w:val="Footer Char"/>
    <w:basedOn w:val="DefaultParagraphFont"/>
    <w:link w:val="Footer"/>
    <w:uiPriority w:val="99"/>
    <w:rsid w:val="00444459"/>
  </w:style>
  <w:style w:type="paragraph" w:styleId="TOCHeading">
    <w:name w:val="TOC Heading"/>
    <w:basedOn w:val="Heading1"/>
    <w:next w:val="Normal"/>
    <w:uiPriority w:val="39"/>
    <w:unhideWhenUsed/>
    <w:qFormat/>
    <w:rsid w:val="0044445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4459"/>
    <w:pPr>
      <w:spacing w:after="100"/>
    </w:pPr>
  </w:style>
  <w:style w:type="paragraph" w:styleId="TOC2">
    <w:name w:val="toc 2"/>
    <w:basedOn w:val="Normal"/>
    <w:next w:val="Normal"/>
    <w:autoRedefine/>
    <w:uiPriority w:val="39"/>
    <w:unhideWhenUsed/>
    <w:rsid w:val="00444459"/>
    <w:pPr>
      <w:spacing w:after="100"/>
      <w:ind w:left="240"/>
    </w:pPr>
  </w:style>
  <w:style w:type="paragraph" w:styleId="TOC3">
    <w:name w:val="toc 3"/>
    <w:basedOn w:val="Normal"/>
    <w:next w:val="Normal"/>
    <w:autoRedefine/>
    <w:uiPriority w:val="39"/>
    <w:unhideWhenUsed/>
    <w:rsid w:val="00444459"/>
    <w:pPr>
      <w:spacing w:after="100"/>
      <w:ind w:left="480"/>
    </w:pPr>
  </w:style>
  <w:style w:type="character" w:styleId="Hyperlink">
    <w:name w:val="Hyperlink"/>
    <w:basedOn w:val="DefaultParagraphFont"/>
    <w:uiPriority w:val="99"/>
    <w:unhideWhenUsed/>
    <w:rsid w:val="00444459"/>
    <w:rPr>
      <w:color w:val="0000FF" w:themeColor="hyperlink"/>
      <w:u w:val="single"/>
    </w:rPr>
  </w:style>
  <w:style w:type="paragraph" w:styleId="BalloonText">
    <w:name w:val="Balloon Text"/>
    <w:basedOn w:val="Normal"/>
    <w:link w:val="BalloonTextChar"/>
    <w:uiPriority w:val="99"/>
    <w:semiHidden/>
    <w:unhideWhenUsed/>
    <w:rsid w:val="00047E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E8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hyperlink" Target="https://www.about.sainsburys.co.uk/"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globaldata.com/company-profile/j-sainsbury-plc/competitors/"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5020C-AEE5-4E7A-AEAE-7D29F93CE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31</Pages>
  <Words>5540</Words>
  <Characters>31582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Soham</cp:lastModifiedBy>
  <cp:revision>3</cp:revision>
  <dcterms:created xsi:type="dcterms:W3CDTF">2024-07-31T14:57:00Z</dcterms:created>
  <dcterms:modified xsi:type="dcterms:W3CDTF">2024-08-19T22:20:00Z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72ad1defb508d1d3e6581b077304a216471c0e27539401acdc38409b9828ac9e</vt:lpwstr>
  </property>
</Properties>
</file>